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190C" w14:textId="77777777" w:rsidR="001B3C12" w:rsidRPr="001D47B8" w:rsidRDefault="001B3C12" w:rsidP="001C4B9F">
      <w:pPr>
        <w:pStyle w:val="GvdeMetni"/>
        <w:jc w:val="both"/>
        <w:rPr>
          <w:sz w:val="20"/>
          <w:lang w:val="tr-TR"/>
        </w:rPr>
      </w:pPr>
      <w:bookmarkStart w:id="0" w:name="_GoBack"/>
      <w:bookmarkEnd w:id="0"/>
    </w:p>
    <w:p w14:paraId="0AA6A087" w14:textId="77777777" w:rsidR="001B3C12" w:rsidRPr="001D47B8" w:rsidRDefault="001B3C12" w:rsidP="001C4B9F">
      <w:pPr>
        <w:pStyle w:val="GvdeMetni"/>
        <w:jc w:val="both"/>
        <w:rPr>
          <w:sz w:val="14"/>
          <w:lang w:val="tr-TR"/>
        </w:rPr>
      </w:pPr>
    </w:p>
    <w:p w14:paraId="3569133D" w14:textId="77777777" w:rsidR="001B3C12" w:rsidRPr="001D47B8" w:rsidRDefault="00C77180" w:rsidP="001C4B9F">
      <w:pPr>
        <w:pStyle w:val="GvdeMetni"/>
        <w:ind w:left="7250"/>
        <w:jc w:val="both"/>
        <w:rPr>
          <w:sz w:val="20"/>
          <w:lang w:val="tr-TR"/>
        </w:rPr>
      </w:pPr>
      <w:r w:rsidRPr="001D47B8">
        <w:rPr>
          <w:noProof/>
          <w:sz w:val="20"/>
          <w:lang w:val="tr-TR" w:eastAsia="tr-TR"/>
        </w:rPr>
        <w:drawing>
          <wp:inline distT="0" distB="0" distL="0" distR="0" wp14:anchorId="703F5CF6" wp14:editId="49DE4DFD">
            <wp:extent cx="902451" cy="646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02451" cy="646176"/>
                    </a:xfrm>
                    <a:prstGeom prst="rect">
                      <a:avLst/>
                    </a:prstGeom>
                  </pic:spPr>
                </pic:pic>
              </a:graphicData>
            </a:graphic>
          </wp:inline>
        </w:drawing>
      </w:r>
    </w:p>
    <w:p w14:paraId="1B13EDD8" w14:textId="77777777" w:rsidR="001B3C12" w:rsidRPr="001D47B8" w:rsidRDefault="001B3C12" w:rsidP="001C4B9F">
      <w:pPr>
        <w:jc w:val="both"/>
        <w:rPr>
          <w:sz w:val="20"/>
          <w:lang w:val="tr-TR"/>
        </w:rPr>
        <w:sectPr w:rsidR="001B3C12" w:rsidRPr="001D47B8">
          <w:type w:val="continuous"/>
          <w:pgSz w:w="11910" w:h="16840"/>
          <w:pgMar w:top="1580" w:right="1080" w:bottom="280" w:left="1440" w:header="720" w:footer="720" w:gutter="0"/>
          <w:cols w:space="720"/>
        </w:sectPr>
      </w:pPr>
    </w:p>
    <w:p w14:paraId="66983369" w14:textId="77777777" w:rsidR="001B3C12" w:rsidRPr="001D47B8" w:rsidRDefault="001B3C12" w:rsidP="001C4B9F">
      <w:pPr>
        <w:pStyle w:val="GvdeMetni"/>
        <w:jc w:val="both"/>
        <w:rPr>
          <w:sz w:val="22"/>
          <w:lang w:val="tr-TR"/>
        </w:rPr>
      </w:pPr>
    </w:p>
    <w:p w14:paraId="77F928F8" w14:textId="77777777" w:rsidR="001B3C12" w:rsidRPr="001D47B8" w:rsidRDefault="001B3C12" w:rsidP="001C4B9F">
      <w:pPr>
        <w:pStyle w:val="GvdeMetni"/>
        <w:jc w:val="both"/>
        <w:rPr>
          <w:sz w:val="22"/>
          <w:lang w:val="tr-TR"/>
        </w:rPr>
      </w:pPr>
    </w:p>
    <w:p w14:paraId="2CA5AC87" w14:textId="77777777" w:rsidR="001B3C12" w:rsidRPr="001D47B8" w:rsidRDefault="001B3C12" w:rsidP="001C4B9F">
      <w:pPr>
        <w:pStyle w:val="GvdeMetni"/>
        <w:jc w:val="both"/>
        <w:rPr>
          <w:sz w:val="22"/>
          <w:lang w:val="tr-TR"/>
        </w:rPr>
      </w:pPr>
    </w:p>
    <w:p w14:paraId="6AD88963" w14:textId="6D95C26B" w:rsidR="001B3C12" w:rsidRPr="001D47B8" w:rsidRDefault="00C77180" w:rsidP="001C4B9F">
      <w:pPr>
        <w:spacing w:before="193" w:line="525" w:lineRule="auto"/>
        <w:ind w:left="232" w:right="-422" w:firstLine="5"/>
        <w:jc w:val="both"/>
        <w:rPr>
          <w:sz w:val="20"/>
          <w:lang w:val="tr-TR"/>
        </w:rPr>
      </w:pPr>
      <w:r w:rsidRPr="001D47B8">
        <w:rPr>
          <w:color w:val="010101"/>
          <w:w w:val="105"/>
          <w:sz w:val="20"/>
          <w:lang w:val="tr-TR"/>
        </w:rPr>
        <w:t>Strasburg,</w:t>
      </w:r>
      <w:r w:rsidRPr="001D47B8">
        <w:rPr>
          <w:color w:val="010101"/>
          <w:spacing w:val="1"/>
          <w:w w:val="105"/>
          <w:sz w:val="20"/>
          <w:lang w:val="tr-TR"/>
        </w:rPr>
        <w:t xml:space="preserve"> </w:t>
      </w:r>
      <w:r w:rsidRPr="001D47B8">
        <w:rPr>
          <w:color w:val="010101"/>
          <w:w w:val="105"/>
          <w:sz w:val="20"/>
          <w:lang w:val="tr-TR"/>
        </w:rPr>
        <w:t xml:space="preserve">6 </w:t>
      </w:r>
      <w:r w:rsidR="0013522F" w:rsidRPr="001D47B8">
        <w:rPr>
          <w:color w:val="010101"/>
          <w:w w:val="105"/>
          <w:sz w:val="20"/>
          <w:lang w:val="tr-TR"/>
        </w:rPr>
        <w:t xml:space="preserve">Temmuz </w:t>
      </w:r>
      <w:r w:rsidRPr="001D47B8">
        <w:rPr>
          <w:color w:val="010101"/>
          <w:w w:val="105"/>
          <w:sz w:val="20"/>
          <w:lang w:val="tr-TR"/>
        </w:rPr>
        <w:t>2021</w:t>
      </w:r>
      <w:r w:rsidRPr="001D47B8">
        <w:rPr>
          <w:color w:val="010101"/>
          <w:spacing w:val="-56"/>
          <w:w w:val="105"/>
          <w:sz w:val="20"/>
          <w:lang w:val="tr-TR"/>
        </w:rPr>
        <w:t xml:space="preserve"> </w:t>
      </w:r>
      <w:r w:rsidRPr="001D47B8">
        <w:rPr>
          <w:color w:val="010101"/>
          <w:w w:val="110"/>
          <w:sz w:val="20"/>
          <w:lang w:val="tr-TR"/>
        </w:rPr>
        <w:t>1028/2021</w:t>
      </w:r>
      <w:r w:rsidR="00A77F4A" w:rsidRPr="001D47B8">
        <w:rPr>
          <w:color w:val="010101"/>
          <w:w w:val="110"/>
          <w:sz w:val="20"/>
          <w:lang w:val="tr-TR"/>
        </w:rPr>
        <w:t xml:space="preserve"> sayılı Görüş</w:t>
      </w:r>
    </w:p>
    <w:p w14:paraId="101B8CB6" w14:textId="77777777" w:rsidR="001B3C12" w:rsidRPr="001D47B8" w:rsidRDefault="00C77180" w:rsidP="001C4B9F">
      <w:pPr>
        <w:spacing w:line="160" w:lineRule="exact"/>
        <w:ind w:left="1811"/>
        <w:jc w:val="both"/>
        <w:rPr>
          <w:sz w:val="14"/>
          <w:lang w:val="tr-TR"/>
        </w:rPr>
      </w:pPr>
      <w:r w:rsidRPr="001D47B8">
        <w:rPr>
          <w:lang w:val="tr-TR"/>
        </w:rPr>
        <w:br w:type="column"/>
      </w:r>
      <w:r w:rsidRPr="001D47B8">
        <w:rPr>
          <w:color w:val="858585"/>
          <w:w w:val="90"/>
          <w:sz w:val="14"/>
          <w:lang w:val="tr-TR"/>
        </w:rPr>
        <w:lastRenderedPageBreak/>
        <w:t>CONSEIL</w:t>
      </w:r>
      <w:r w:rsidRPr="001D47B8">
        <w:rPr>
          <w:color w:val="858585"/>
          <w:spacing w:val="22"/>
          <w:w w:val="90"/>
          <w:sz w:val="14"/>
          <w:lang w:val="tr-TR"/>
        </w:rPr>
        <w:t xml:space="preserve"> </w:t>
      </w:r>
      <w:r w:rsidRPr="001D47B8">
        <w:rPr>
          <w:color w:val="757575"/>
          <w:w w:val="90"/>
          <w:sz w:val="14"/>
          <w:lang w:val="tr-TR"/>
        </w:rPr>
        <w:t>DE</w:t>
      </w:r>
      <w:r w:rsidRPr="001D47B8">
        <w:rPr>
          <w:color w:val="757575"/>
          <w:spacing w:val="22"/>
          <w:w w:val="90"/>
          <w:sz w:val="14"/>
          <w:lang w:val="tr-TR"/>
        </w:rPr>
        <w:t xml:space="preserve"> </w:t>
      </w:r>
      <w:r w:rsidRPr="001D47B8">
        <w:rPr>
          <w:color w:val="9E9E9E"/>
          <w:w w:val="90"/>
          <w:sz w:val="14"/>
          <w:lang w:val="tr-TR"/>
        </w:rPr>
        <w:t>L</w:t>
      </w:r>
      <w:r w:rsidRPr="001D47B8">
        <w:rPr>
          <w:color w:val="858585"/>
          <w:w w:val="90"/>
          <w:sz w:val="14"/>
          <w:lang w:val="tr-TR"/>
        </w:rPr>
        <w:t>EUltOPE</w:t>
      </w:r>
    </w:p>
    <w:p w14:paraId="0BF1CB68" w14:textId="77777777" w:rsidR="001B3C12" w:rsidRPr="001D47B8" w:rsidRDefault="001B3C12" w:rsidP="001C4B9F">
      <w:pPr>
        <w:pStyle w:val="GvdeMetni"/>
        <w:jc w:val="both"/>
        <w:rPr>
          <w:sz w:val="16"/>
          <w:lang w:val="tr-TR"/>
        </w:rPr>
      </w:pPr>
    </w:p>
    <w:p w14:paraId="56150B7A" w14:textId="77777777" w:rsidR="001B3C12" w:rsidRPr="001D47B8" w:rsidRDefault="001B3C12" w:rsidP="001C4B9F">
      <w:pPr>
        <w:pStyle w:val="GvdeMetni"/>
        <w:jc w:val="both"/>
        <w:rPr>
          <w:sz w:val="16"/>
          <w:lang w:val="tr-TR"/>
        </w:rPr>
      </w:pPr>
    </w:p>
    <w:p w14:paraId="00663817" w14:textId="77777777" w:rsidR="001B3C12" w:rsidRPr="001D47B8" w:rsidRDefault="001B3C12" w:rsidP="001C4B9F">
      <w:pPr>
        <w:pStyle w:val="GvdeMetni"/>
        <w:jc w:val="both"/>
        <w:rPr>
          <w:sz w:val="16"/>
          <w:lang w:val="tr-TR"/>
        </w:rPr>
      </w:pPr>
    </w:p>
    <w:p w14:paraId="6C828BFE" w14:textId="77777777" w:rsidR="001B3C12" w:rsidRPr="001D47B8" w:rsidRDefault="001B3C12" w:rsidP="001C4B9F">
      <w:pPr>
        <w:pStyle w:val="GvdeMetni"/>
        <w:spacing w:before="9"/>
        <w:jc w:val="both"/>
        <w:rPr>
          <w:sz w:val="20"/>
          <w:lang w:val="tr-TR"/>
        </w:rPr>
      </w:pPr>
    </w:p>
    <w:p w14:paraId="67416D9C" w14:textId="77777777" w:rsidR="001B3C12" w:rsidRPr="001D47B8" w:rsidRDefault="00C77180" w:rsidP="001C4B9F">
      <w:pPr>
        <w:spacing w:before="1"/>
        <w:ind w:left="2034"/>
        <w:jc w:val="both"/>
        <w:rPr>
          <w:sz w:val="20"/>
          <w:lang w:val="tr-TR"/>
        </w:rPr>
      </w:pPr>
      <w:r w:rsidRPr="001D47B8">
        <w:rPr>
          <w:noProof/>
          <w:lang w:val="tr-TR" w:eastAsia="tr-TR"/>
        </w:rPr>
        <w:drawing>
          <wp:anchor distT="0" distB="0" distL="0" distR="0" simplePos="0" relativeHeight="15729152" behindDoc="0" locked="0" layoutInCell="1" allowOverlap="1" wp14:anchorId="7062D03A" wp14:editId="19DB41CD">
            <wp:simplePos x="0" y="0"/>
            <wp:positionH relativeFrom="page">
              <wp:posOffset>4508245</wp:posOffset>
            </wp:positionH>
            <wp:positionV relativeFrom="paragraph">
              <wp:posOffset>-1360207</wp:posOffset>
            </wp:positionV>
            <wp:extent cx="839382" cy="9642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39382" cy="964266"/>
                    </a:xfrm>
                    <a:prstGeom prst="rect">
                      <a:avLst/>
                    </a:prstGeom>
                  </pic:spPr>
                </pic:pic>
              </a:graphicData>
            </a:graphic>
          </wp:anchor>
        </w:drawing>
      </w:r>
      <w:r w:rsidRPr="001D47B8">
        <w:rPr>
          <w:color w:val="010101"/>
          <w:w w:val="110"/>
          <w:sz w:val="20"/>
          <w:lang w:val="tr-TR"/>
        </w:rPr>
        <w:t>CDL-AD(2021)023</w:t>
      </w:r>
    </w:p>
    <w:p w14:paraId="5416D5E8" w14:textId="77777777" w:rsidR="001B3C12" w:rsidRPr="001D47B8" w:rsidRDefault="001B3C12" w:rsidP="001C4B9F">
      <w:pPr>
        <w:pStyle w:val="GvdeMetni"/>
        <w:spacing w:before="10"/>
        <w:jc w:val="both"/>
        <w:rPr>
          <w:sz w:val="23"/>
          <w:lang w:val="tr-TR"/>
        </w:rPr>
      </w:pPr>
    </w:p>
    <w:p w14:paraId="0B191620" w14:textId="5D29164E" w:rsidR="001B3C12" w:rsidRPr="001D47B8" w:rsidRDefault="00C77180" w:rsidP="001C4B9F">
      <w:pPr>
        <w:ind w:right="114"/>
        <w:jc w:val="both"/>
        <w:rPr>
          <w:sz w:val="20"/>
          <w:lang w:val="tr-TR"/>
        </w:rPr>
      </w:pPr>
      <w:r w:rsidRPr="001D47B8">
        <w:rPr>
          <w:color w:val="010101"/>
          <w:w w:val="105"/>
          <w:sz w:val="20"/>
          <w:lang w:val="tr-TR"/>
        </w:rPr>
        <w:t>Or</w:t>
      </w:r>
      <w:r w:rsidR="0013522F" w:rsidRPr="001D47B8">
        <w:rPr>
          <w:color w:val="010101"/>
          <w:w w:val="105"/>
          <w:sz w:val="20"/>
          <w:lang w:val="tr-TR"/>
        </w:rPr>
        <w:t>iji</w:t>
      </w:r>
      <w:r w:rsidR="00FA5931" w:rsidRPr="001D47B8">
        <w:rPr>
          <w:color w:val="010101"/>
          <w:w w:val="105"/>
          <w:sz w:val="20"/>
          <w:lang w:val="tr-TR"/>
        </w:rPr>
        <w:t>nal:</w:t>
      </w:r>
      <w:r w:rsidRPr="001D47B8">
        <w:rPr>
          <w:color w:val="010101"/>
          <w:spacing w:val="6"/>
          <w:w w:val="105"/>
          <w:sz w:val="20"/>
          <w:lang w:val="tr-TR"/>
        </w:rPr>
        <w:t xml:space="preserve"> </w:t>
      </w:r>
      <w:r w:rsidR="0013522F" w:rsidRPr="001D47B8">
        <w:rPr>
          <w:color w:val="010101"/>
          <w:w w:val="105"/>
          <w:sz w:val="20"/>
          <w:lang w:val="tr-TR"/>
        </w:rPr>
        <w:t>İngilizce</w:t>
      </w:r>
      <w:r w:rsidRPr="001D47B8">
        <w:rPr>
          <w:color w:val="010101"/>
          <w:w w:val="105"/>
          <w:sz w:val="20"/>
          <w:lang w:val="tr-TR"/>
        </w:rPr>
        <w:t>.</w:t>
      </w:r>
    </w:p>
    <w:p w14:paraId="5C72923B" w14:textId="77777777" w:rsidR="001B3C12" w:rsidRPr="001D47B8" w:rsidRDefault="001B3C12" w:rsidP="001C4B9F">
      <w:pPr>
        <w:jc w:val="both"/>
        <w:rPr>
          <w:sz w:val="20"/>
          <w:lang w:val="tr-TR"/>
        </w:rPr>
        <w:sectPr w:rsidR="001B3C12" w:rsidRPr="001D47B8" w:rsidSect="0013522F">
          <w:type w:val="continuous"/>
          <w:pgSz w:w="11910" w:h="16840"/>
          <w:pgMar w:top="1580" w:right="1080" w:bottom="280" w:left="1440" w:header="720" w:footer="720" w:gutter="0"/>
          <w:cols w:num="2" w:space="152" w:equalWidth="0">
            <w:col w:w="2555" w:space="2872"/>
            <w:col w:w="3963"/>
          </w:cols>
        </w:sectPr>
      </w:pPr>
    </w:p>
    <w:p w14:paraId="3260BBA6" w14:textId="392974F5" w:rsidR="001B3C12" w:rsidRPr="00334298" w:rsidRDefault="00334298" w:rsidP="00334298">
      <w:pPr>
        <w:pStyle w:val="GvdeMetni"/>
        <w:jc w:val="center"/>
        <w:rPr>
          <w:b/>
          <w:bCs/>
          <w:i/>
          <w:iCs/>
          <w:color w:val="FF0000"/>
          <w:sz w:val="20"/>
          <w:lang w:val="tr-TR"/>
        </w:rPr>
      </w:pPr>
      <w:r w:rsidRPr="00334298">
        <w:rPr>
          <w:b/>
          <w:bCs/>
          <w:i/>
          <w:iCs/>
          <w:color w:val="FF0000"/>
          <w:sz w:val="20"/>
          <w:lang w:val="tr-TR"/>
        </w:rPr>
        <w:lastRenderedPageBreak/>
        <w:t>(GAYRİ RESMİ ÇEVİRİ İHOP TARAFINDAN SAĞLANMIŞTIR.)</w:t>
      </w:r>
    </w:p>
    <w:p w14:paraId="440B9D74" w14:textId="77777777" w:rsidR="001B3C12" w:rsidRPr="001D47B8" w:rsidRDefault="001B3C12" w:rsidP="001C4B9F">
      <w:pPr>
        <w:pStyle w:val="GvdeMetni"/>
        <w:jc w:val="both"/>
        <w:rPr>
          <w:sz w:val="20"/>
          <w:lang w:val="tr-TR"/>
        </w:rPr>
      </w:pPr>
    </w:p>
    <w:p w14:paraId="178F24FC" w14:textId="77777777" w:rsidR="001B3C12" w:rsidRPr="001D47B8" w:rsidRDefault="001B3C12" w:rsidP="001C4B9F">
      <w:pPr>
        <w:pStyle w:val="GvdeMetni"/>
        <w:jc w:val="both"/>
        <w:rPr>
          <w:sz w:val="20"/>
          <w:lang w:val="tr-TR"/>
        </w:rPr>
      </w:pPr>
    </w:p>
    <w:p w14:paraId="698A91B0" w14:textId="77777777" w:rsidR="001B3C12" w:rsidRPr="001D47B8" w:rsidRDefault="001B3C12" w:rsidP="001C4B9F">
      <w:pPr>
        <w:pStyle w:val="GvdeMetni"/>
        <w:spacing w:before="8"/>
        <w:jc w:val="both"/>
        <w:rPr>
          <w:sz w:val="22"/>
          <w:lang w:val="tr-TR"/>
        </w:rPr>
      </w:pPr>
    </w:p>
    <w:p w14:paraId="14EB3464" w14:textId="77C6DD55" w:rsidR="0013522F" w:rsidRPr="001D47B8" w:rsidRDefault="0013522F" w:rsidP="00285FA1">
      <w:pPr>
        <w:spacing w:before="93" w:line="252" w:lineRule="auto"/>
        <w:ind w:left="653" w:right="863"/>
        <w:jc w:val="center"/>
        <w:rPr>
          <w:color w:val="010101"/>
          <w:w w:val="105"/>
          <w:sz w:val="20"/>
          <w:u w:val="thick" w:color="010101"/>
          <w:lang w:val="tr-TR"/>
        </w:rPr>
      </w:pPr>
      <w:r w:rsidRPr="001D47B8">
        <w:rPr>
          <w:color w:val="010101"/>
          <w:w w:val="105"/>
          <w:sz w:val="20"/>
          <w:u w:val="thick" w:color="010101"/>
          <w:lang w:val="tr-TR"/>
        </w:rPr>
        <w:t>AVRUPA HUKUK YOLUYLA DEMOKRASİ KOMİSYONU</w:t>
      </w:r>
    </w:p>
    <w:p w14:paraId="25F884C4" w14:textId="4E32FB9A" w:rsidR="001B3C12" w:rsidRPr="001D47B8" w:rsidRDefault="0013522F" w:rsidP="00285FA1">
      <w:pPr>
        <w:spacing w:before="93" w:line="252" w:lineRule="auto"/>
        <w:ind w:left="653" w:right="863"/>
        <w:jc w:val="center"/>
        <w:rPr>
          <w:sz w:val="23"/>
          <w:lang w:val="tr-TR"/>
        </w:rPr>
      </w:pPr>
      <w:r w:rsidRPr="001D47B8">
        <w:rPr>
          <w:color w:val="010101"/>
          <w:w w:val="105"/>
          <w:sz w:val="20"/>
          <w:u w:val="thick" w:color="010101"/>
          <w:lang w:val="tr-TR"/>
        </w:rPr>
        <w:t>(VENEDİK KOMİSYONU</w:t>
      </w:r>
    </w:p>
    <w:p w14:paraId="4A0A1870" w14:textId="77777777" w:rsidR="001B3C12" w:rsidRPr="001D47B8" w:rsidRDefault="001B3C12" w:rsidP="00285FA1">
      <w:pPr>
        <w:pStyle w:val="GvdeMetni"/>
        <w:jc w:val="center"/>
        <w:rPr>
          <w:sz w:val="26"/>
          <w:lang w:val="tr-TR"/>
        </w:rPr>
      </w:pPr>
    </w:p>
    <w:p w14:paraId="0058543D" w14:textId="77777777" w:rsidR="001B3C12" w:rsidRPr="001D47B8" w:rsidRDefault="001B3C12" w:rsidP="00285FA1">
      <w:pPr>
        <w:pStyle w:val="GvdeMetni"/>
        <w:jc w:val="center"/>
        <w:rPr>
          <w:sz w:val="26"/>
          <w:lang w:val="tr-TR"/>
        </w:rPr>
      </w:pPr>
    </w:p>
    <w:p w14:paraId="57A44994" w14:textId="232608DB" w:rsidR="001B3C12" w:rsidRPr="001D47B8" w:rsidRDefault="0088607F" w:rsidP="00285FA1">
      <w:pPr>
        <w:spacing w:line="496" w:lineRule="auto"/>
        <w:ind w:left="3997" w:right="4003" w:hanging="3"/>
        <w:jc w:val="center"/>
        <w:rPr>
          <w:sz w:val="27"/>
          <w:lang w:val="tr-TR"/>
        </w:rPr>
      </w:pPr>
      <w:r w:rsidRPr="001D47B8">
        <w:rPr>
          <w:color w:val="010101"/>
          <w:w w:val="105"/>
          <w:sz w:val="27"/>
          <w:lang w:val="tr-TR"/>
        </w:rPr>
        <w:t>TÜRKİYE</w:t>
      </w:r>
    </w:p>
    <w:p w14:paraId="54A78D0E" w14:textId="2C78EB8E" w:rsidR="001B3C12" w:rsidRPr="001D47B8" w:rsidRDefault="00D260A1" w:rsidP="00285FA1">
      <w:pPr>
        <w:spacing w:before="3" w:line="249" w:lineRule="auto"/>
        <w:ind w:left="214" w:right="435"/>
        <w:jc w:val="center"/>
        <w:rPr>
          <w:color w:val="010101"/>
          <w:w w:val="105"/>
          <w:sz w:val="27"/>
          <w:lang w:val="tr-TR"/>
        </w:rPr>
      </w:pPr>
      <w:r w:rsidRPr="001D47B8">
        <w:rPr>
          <w:color w:val="010101"/>
          <w:w w:val="105"/>
          <w:sz w:val="27"/>
          <w:lang w:val="tr-TR"/>
        </w:rPr>
        <w:t>KİTLE İMHA SİLAHLARININ YAYILMASININ FİNANSMANININ ÖNLENMESİNE İLİŞKİN 7262 SAYILI KANUNUN</w:t>
      </w:r>
      <w:r w:rsidR="0088607F" w:rsidRPr="001D47B8">
        <w:rPr>
          <w:color w:val="010101"/>
          <w:w w:val="105"/>
          <w:sz w:val="27"/>
          <w:lang w:val="tr-TR"/>
        </w:rPr>
        <w:t xml:space="preserve"> ULUSLARARASI İNSAN HAKLARI STANDARTLARINA </w:t>
      </w:r>
      <w:r w:rsidR="002375F6" w:rsidRPr="001D47B8">
        <w:rPr>
          <w:color w:val="010101"/>
          <w:w w:val="105"/>
          <w:sz w:val="27"/>
          <w:lang w:val="tr-TR"/>
        </w:rPr>
        <w:t>UYGUNLUĞU</w:t>
      </w:r>
      <w:r w:rsidR="00AC16B1" w:rsidRPr="001D47B8">
        <w:rPr>
          <w:color w:val="010101"/>
          <w:w w:val="105"/>
          <w:sz w:val="27"/>
          <w:lang w:val="tr-TR"/>
        </w:rPr>
        <w:t xml:space="preserve"> HAKKINDA</w:t>
      </w:r>
    </w:p>
    <w:p w14:paraId="0E9197CF" w14:textId="77777777" w:rsidR="00AC16B1" w:rsidRPr="001D47B8" w:rsidRDefault="00AC16B1" w:rsidP="00285FA1">
      <w:pPr>
        <w:spacing w:before="3" w:line="249" w:lineRule="auto"/>
        <w:ind w:left="214" w:right="435"/>
        <w:jc w:val="center"/>
        <w:rPr>
          <w:color w:val="010101"/>
          <w:w w:val="105"/>
          <w:sz w:val="27"/>
          <w:lang w:val="tr-TR"/>
        </w:rPr>
      </w:pPr>
    </w:p>
    <w:p w14:paraId="081E7B2E" w14:textId="34BC4F3C" w:rsidR="00AC16B1" w:rsidRPr="001D47B8" w:rsidRDefault="00AC16B1" w:rsidP="00285FA1">
      <w:pPr>
        <w:spacing w:before="3" w:line="249" w:lineRule="auto"/>
        <w:ind w:left="214" w:right="435"/>
        <w:jc w:val="center"/>
        <w:rPr>
          <w:sz w:val="27"/>
          <w:lang w:val="tr-TR"/>
        </w:rPr>
      </w:pPr>
      <w:r w:rsidRPr="001D47B8">
        <w:rPr>
          <w:color w:val="010101"/>
          <w:w w:val="105"/>
          <w:sz w:val="27"/>
          <w:lang w:val="tr-TR"/>
        </w:rPr>
        <w:t>GÖRÜŞ</w:t>
      </w:r>
    </w:p>
    <w:p w14:paraId="3ADB3597" w14:textId="77777777" w:rsidR="001B3C12" w:rsidRPr="001D47B8" w:rsidRDefault="001B3C12" w:rsidP="001C4B9F">
      <w:pPr>
        <w:pStyle w:val="GvdeMetni"/>
        <w:spacing w:before="1"/>
        <w:jc w:val="both"/>
        <w:rPr>
          <w:sz w:val="28"/>
          <w:lang w:val="tr-TR"/>
        </w:rPr>
      </w:pPr>
    </w:p>
    <w:p w14:paraId="50841812" w14:textId="3E792FC7" w:rsidR="00656045" w:rsidRPr="001D47B8" w:rsidRDefault="00656045" w:rsidP="00285FA1">
      <w:pPr>
        <w:spacing w:line="249" w:lineRule="auto"/>
        <w:ind w:left="2199" w:right="2419"/>
        <w:jc w:val="center"/>
        <w:rPr>
          <w:color w:val="010101"/>
          <w:w w:val="110"/>
          <w:sz w:val="27"/>
          <w:lang w:val="tr-TR"/>
        </w:rPr>
      </w:pPr>
      <w:r w:rsidRPr="001D47B8">
        <w:rPr>
          <w:color w:val="010101"/>
          <w:w w:val="110"/>
          <w:sz w:val="27"/>
          <w:lang w:val="tr-TR"/>
        </w:rPr>
        <w:t>Venedik Komisyonu tarafından 127. Genel Oturumunda kabul edilmiştir</w:t>
      </w:r>
    </w:p>
    <w:p w14:paraId="769C4D71" w14:textId="7BE6D306" w:rsidR="00656045" w:rsidRPr="001D47B8" w:rsidRDefault="00656045" w:rsidP="00285FA1">
      <w:pPr>
        <w:spacing w:line="249" w:lineRule="auto"/>
        <w:ind w:left="2199" w:right="2419"/>
        <w:jc w:val="center"/>
        <w:rPr>
          <w:color w:val="010101"/>
          <w:w w:val="110"/>
          <w:sz w:val="27"/>
          <w:lang w:val="tr-TR"/>
        </w:rPr>
      </w:pPr>
      <w:r w:rsidRPr="001D47B8">
        <w:rPr>
          <w:color w:val="010101"/>
          <w:w w:val="110"/>
          <w:sz w:val="27"/>
          <w:lang w:val="tr-TR"/>
        </w:rPr>
        <w:t>(Venedik</w:t>
      </w:r>
      <w:r w:rsidR="00747F62">
        <w:rPr>
          <w:color w:val="010101"/>
          <w:w w:val="110"/>
          <w:sz w:val="27"/>
          <w:lang w:val="tr-TR"/>
        </w:rPr>
        <w:t>’te</w:t>
      </w:r>
      <w:r w:rsidRPr="001D47B8">
        <w:rPr>
          <w:color w:val="010101"/>
          <w:w w:val="110"/>
          <w:sz w:val="27"/>
          <w:lang w:val="tr-TR"/>
        </w:rPr>
        <w:t xml:space="preserve"> ve çevrimiçi</w:t>
      </w:r>
      <w:r w:rsidR="00747F62">
        <w:rPr>
          <w:color w:val="010101"/>
          <w:w w:val="110"/>
          <w:sz w:val="27"/>
          <w:lang w:val="tr-TR"/>
        </w:rPr>
        <w:t xml:space="preserve"> düzenlenen</w:t>
      </w:r>
      <w:r w:rsidR="00A6356D">
        <w:rPr>
          <w:color w:val="010101"/>
          <w:w w:val="110"/>
          <w:sz w:val="27"/>
          <w:lang w:val="tr-TR"/>
        </w:rPr>
        <w:t xml:space="preserve"> oturum</w:t>
      </w:r>
      <w:r w:rsidRPr="001D47B8">
        <w:rPr>
          <w:color w:val="010101"/>
          <w:w w:val="110"/>
          <w:sz w:val="27"/>
          <w:lang w:val="tr-TR"/>
        </w:rPr>
        <w:t>, 2-3 Temmuz 2021)</w:t>
      </w:r>
    </w:p>
    <w:p w14:paraId="6553DF42" w14:textId="77777777" w:rsidR="00656045" w:rsidRPr="001D47B8" w:rsidRDefault="00656045" w:rsidP="00285FA1">
      <w:pPr>
        <w:spacing w:line="249" w:lineRule="auto"/>
        <w:ind w:left="2199" w:right="2419"/>
        <w:jc w:val="center"/>
        <w:rPr>
          <w:color w:val="010101"/>
          <w:w w:val="110"/>
          <w:sz w:val="27"/>
          <w:lang w:val="tr-TR"/>
        </w:rPr>
      </w:pPr>
    </w:p>
    <w:p w14:paraId="3285B4E3" w14:textId="7877E515" w:rsidR="00206925" w:rsidRPr="001D47B8" w:rsidRDefault="003D325A" w:rsidP="00285FA1">
      <w:pPr>
        <w:spacing w:line="249" w:lineRule="auto"/>
        <w:ind w:left="653" w:right="866"/>
        <w:jc w:val="center"/>
        <w:rPr>
          <w:color w:val="010101"/>
          <w:w w:val="105"/>
          <w:sz w:val="27"/>
          <w:lang w:val="tr-TR"/>
        </w:rPr>
      </w:pPr>
      <w:r w:rsidRPr="001D47B8">
        <w:rPr>
          <w:color w:val="010101"/>
          <w:w w:val="105"/>
          <w:sz w:val="27"/>
          <w:lang w:val="tr-TR"/>
        </w:rPr>
        <w:t>Sayın</w:t>
      </w:r>
      <w:r w:rsidR="00C77180" w:rsidRPr="001D47B8">
        <w:rPr>
          <w:color w:val="010101"/>
          <w:w w:val="105"/>
          <w:sz w:val="27"/>
          <w:lang w:val="tr-TR"/>
        </w:rPr>
        <w:t xml:space="preserve"> Herdis</w:t>
      </w:r>
      <w:r w:rsidR="00C77180" w:rsidRPr="001D47B8">
        <w:rPr>
          <w:color w:val="010101"/>
          <w:spacing w:val="1"/>
          <w:w w:val="105"/>
          <w:sz w:val="27"/>
          <w:lang w:val="tr-TR"/>
        </w:rPr>
        <w:t xml:space="preserve"> </w:t>
      </w:r>
      <w:r w:rsidR="00C77180" w:rsidRPr="001D47B8">
        <w:rPr>
          <w:color w:val="010101"/>
          <w:w w:val="105"/>
          <w:sz w:val="27"/>
          <w:lang w:val="tr-TR"/>
        </w:rPr>
        <w:t>KJERULF-THORGEIRSDOTTIR (</w:t>
      </w:r>
      <w:r w:rsidR="00206925" w:rsidRPr="001D47B8">
        <w:rPr>
          <w:color w:val="010101"/>
          <w:w w:val="105"/>
          <w:sz w:val="27"/>
          <w:lang w:val="tr-TR"/>
        </w:rPr>
        <w:t>Üye</w:t>
      </w:r>
      <w:r w:rsidR="00C77180" w:rsidRPr="001D47B8">
        <w:rPr>
          <w:color w:val="010101"/>
          <w:w w:val="105"/>
          <w:sz w:val="27"/>
          <w:lang w:val="tr-TR"/>
        </w:rPr>
        <w:t xml:space="preserve">, </w:t>
      </w:r>
      <w:r w:rsidR="00206925" w:rsidRPr="001D47B8">
        <w:rPr>
          <w:color w:val="010101"/>
          <w:w w:val="105"/>
          <w:sz w:val="27"/>
          <w:lang w:val="tr-TR"/>
        </w:rPr>
        <w:t>İzlanda</w:t>
      </w:r>
      <w:r w:rsidR="00E94E74" w:rsidRPr="001D47B8">
        <w:rPr>
          <w:color w:val="010101"/>
          <w:w w:val="105"/>
          <w:sz w:val="27"/>
          <w:lang w:val="tr-TR"/>
        </w:rPr>
        <w:t>)</w:t>
      </w:r>
    </w:p>
    <w:p w14:paraId="3091A963" w14:textId="34025984" w:rsidR="001B3C12" w:rsidRPr="001D47B8" w:rsidRDefault="003D325A" w:rsidP="00285FA1">
      <w:pPr>
        <w:spacing w:line="249" w:lineRule="auto"/>
        <w:ind w:left="653" w:right="866"/>
        <w:jc w:val="center"/>
        <w:rPr>
          <w:sz w:val="27"/>
          <w:lang w:val="tr-TR"/>
        </w:rPr>
      </w:pPr>
      <w:r w:rsidRPr="001D47B8">
        <w:rPr>
          <w:color w:val="010101"/>
          <w:w w:val="110"/>
          <w:sz w:val="27"/>
          <w:lang w:val="tr-TR"/>
        </w:rPr>
        <w:t>Sayın</w:t>
      </w:r>
      <w:r w:rsidR="00C77180" w:rsidRPr="001D47B8">
        <w:rPr>
          <w:color w:val="010101"/>
          <w:spacing w:val="-4"/>
          <w:w w:val="110"/>
          <w:sz w:val="27"/>
          <w:lang w:val="tr-TR"/>
        </w:rPr>
        <w:t xml:space="preserve"> </w:t>
      </w:r>
      <w:r w:rsidR="00C77180" w:rsidRPr="001D47B8">
        <w:rPr>
          <w:color w:val="010101"/>
          <w:w w:val="110"/>
          <w:sz w:val="27"/>
          <w:lang w:val="tr-TR"/>
        </w:rPr>
        <w:t>Cesare</w:t>
      </w:r>
      <w:r w:rsidR="00C77180" w:rsidRPr="001D47B8">
        <w:rPr>
          <w:color w:val="010101"/>
          <w:spacing w:val="3"/>
          <w:w w:val="110"/>
          <w:sz w:val="27"/>
          <w:lang w:val="tr-TR"/>
        </w:rPr>
        <w:t xml:space="preserve"> </w:t>
      </w:r>
      <w:r w:rsidR="00C77180" w:rsidRPr="001D47B8">
        <w:rPr>
          <w:color w:val="010101"/>
          <w:w w:val="110"/>
          <w:sz w:val="27"/>
          <w:lang w:val="tr-TR"/>
        </w:rPr>
        <w:t>PINELLI</w:t>
      </w:r>
      <w:r w:rsidR="00C77180" w:rsidRPr="001D47B8">
        <w:rPr>
          <w:color w:val="010101"/>
          <w:spacing w:val="-2"/>
          <w:w w:val="110"/>
          <w:sz w:val="27"/>
          <w:lang w:val="tr-TR"/>
        </w:rPr>
        <w:t xml:space="preserve"> </w:t>
      </w:r>
      <w:r w:rsidR="00C77180" w:rsidRPr="001D47B8">
        <w:rPr>
          <w:color w:val="010101"/>
          <w:w w:val="110"/>
          <w:sz w:val="27"/>
          <w:lang w:val="tr-TR"/>
        </w:rPr>
        <w:t>(</w:t>
      </w:r>
      <w:r w:rsidRPr="001D47B8">
        <w:rPr>
          <w:color w:val="010101"/>
          <w:w w:val="110"/>
          <w:sz w:val="27"/>
          <w:lang w:val="tr-TR"/>
        </w:rPr>
        <w:t>Yedek üye</w:t>
      </w:r>
      <w:r w:rsidR="00C77180" w:rsidRPr="001D47B8">
        <w:rPr>
          <w:color w:val="010101"/>
          <w:w w:val="110"/>
          <w:sz w:val="27"/>
          <w:lang w:val="tr-TR"/>
        </w:rPr>
        <w:t>,</w:t>
      </w:r>
      <w:r w:rsidR="00C77180" w:rsidRPr="001D47B8">
        <w:rPr>
          <w:color w:val="010101"/>
          <w:spacing w:val="-6"/>
          <w:w w:val="110"/>
          <w:sz w:val="27"/>
          <w:lang w:val="tr-TR"/>
        </w:rPr>
        <w:t xml:space="preserve"> </w:t>
      </w:r>
      <w:r w:rsidRPr="001D47B8">
        <w:rPr>
          <w:color w:val="010101"/>
          <w:w w:val="110"/>
          <w:sz w:val="27"/>
          <w:lang w:val="tr-TR"/>
        </w:rPr>
        <w:t>İtalya</w:t>
      </w:r>
      <w:r w:rsidR="00C77180" w:rsidRPr="001D47B8">
        <w:rPr>
          <w:color w:val="010101"/>
          <w:w w:val="110"/>
          <w:sz w:val="27"/>
          <w:lang w:val="tr-TR"/>
        </w:rPr>
        <w:t>)</w:t>
      </w:r>
    </w:p>
    <w:p w14:paraId="5F1C0CC9" w14:textId="73628AB3" w:rsidR="001B3C12" w:rsidRPr="001D47B8" w:rsidRDefault="003D325A" w:rsidP="00285FA1">
      <w:pPr>
        <w:spacing w:line="309" w:lineRule="exact"/>
        <w:ind w:left="204" w:right="435"/>
        <w:jc w:val="center"/>
        <w:rPr>
          <w:sz w:val="27"/>
          <w:lang w:val="tr-TR"/>
        </w:rPr>
      </w:pPr>
      <w:r w:rsidRPr="001D47B8">
        <w:rPr>
          <w:color w:val="010101"/>
          <w:w w:val="110"/>
          <w:sz w:val="27"/>
          <w:lang w:val="tr-TR"/>
        </w:rPr>
        <w:t>Sayın</w:t>
      </w:r>
      <w:r w:rsidR="00C77180" w:rsidRPr="001D47B8">
        <w:rPr>
          <w:color w:val="010101"/>
          <w:spacing w:val="-15"/>
          <w:w w:val="110"/>
          <w:sz w:val="27"/>
          <w:lang w:val="tr-TR"/>
        </w:rPr>
        <w:t xml:space="preserve"> </w:t>
      </w:r>
      <w:r w:rsidR="00C77180" w:rsidRPr="001D47B8">
        <w:rPr>
          <w:color w:val="010101"/>
          <w:w w:val="110"/>
          <w:sz w:val="27"/>
          <w:lang w:val="tr-TR"/>
        </w:rPr>
        <w:t>Pieter</w:t>
      </w:r>
      <w:r w:rsidR="00C77180" w:rsidRPr="001D47B8">
        <w:rPr>
          <w:color w:val="010101"/>
          <w:spacing w:val="-7"/>
          <w:w w:val="110"/>
          <w:sz w:val="27"/>
          <w:lang w:val="tr-TR"/>
        </w:rPr>
        <w:t xml:space="preserve"> </w:t>
      </w:r>
      <w:r w:rsidR="00C77180" w:rsidRPr="001D47B8">
        <w:rPr>
          <w:color w:val="010101"/>
          <w:w w:val="110"/>
          <w:sz w:val="27"/>
          <w:lang w:val="tr-TR"/>
        </w:rPr>
        <w:t>VAN</w:t>
      </w:r>
      <w:r w:rsidR="00C77180" w:rsidRPr="001D47B8">
        <w:rPr>
          <w:color w:val="010101"/>
          <w:spacing w:val="-14"/>
          <w:w w:val="110"/>
          <w:sz w:val="27"/>
          <w:lang w:val="tr-TR"/>
        </w:rPr>
        <w:t xml:space="preserve"> </w:t>
      </w:r>
      <w:r w:rsidR="00C77180" w:rsidRPr="001D47B8">
        <w:rPr>
          <w:color w:val="010101"/>
          <w:w w:val="110"/>
          <w:sz w:val="27"/>
          <w:lang w:val="tr-TR"/>
        </w:rPr>
        <w:t>DIJK</w:t>
      </w:r>
      <w:r w:rsidR="00C77180" w:rsidRPr="001D47B8">
        <w:rPr>
          <w:color w:val="010101"/>
          <w:spacing w:val="-7"/>
          <w:w w:val="110"/>
          <w:sz w:val="27"/>
          <w:lang w:val="tr-TR"/>
        </w:rPr>
        <w:t xml:space="preserve"> </w:t>
      </w:r>
      <w:r w:rsidR="00C77180" w:rsidRPr="001D47B8">
        <w:rPr>
          <w:color w:val="010101"/>
          <w:w w:val="110"/>
          <w:sz w:val="27"/>
          <w:lang w:val="tr-TR"/>
        </w:rPr>
        <w:t>(</w:t>
      </w:r>
      <w:r w:rsidRPr="001D47B8">
        <w:rPr>
          <w:color w:val="010101"/>
          <w:w w:val="110"/>
          <w:sz w:val="27"/>
          <w:lang w:val="tr-TR"/>
        </w:rPr>
        <w:t>Uzman</w:t>
      </w:r>
      <w:r w:rsidR="00C77180" w:rsidRPr="001D47B8">
        <w:rPr>
          <w:color w:val="010101"/>
          <w:w w:val="110"/>
          <w:sz w:val="27"/>
          <w:lang w:val="tr-TR"/>
        </w:rPr>
        <w:t>,</w:t>
      </w:r>
      <w:r w:rsidR="00C77180" w:rsidRPr="001D47B8">
        <w:rPr>
          <w:color w:val="010101"/>
          <w:spacing w:val="-9"/>
          <w:w w:val="110"/>
          <w:sz w:val="27"/>
          <w:lang w:val="tr-TR"/>
        </w:rPr>
        <w:t xml:space="preserve"> </w:t>
      </w:r>
      <w:r w:rsidRPr="001D47B8">
        <w:rPr>
          <w:color w:val="010101"/>
          <w:w w:val="110"/>
          <w:sz w:val="27"/>
          <w:lang w:val="tr-TR"/>
        </w:rPr>
        <w:t>Eski üye</w:t>
      </w:r>
      <w:r w:rsidR="00C77180" w:rsidRPr="001D47B8">
        <w:rPr>
          <w:color w:val="010101"/>
          <w:w w:val="110"/>
          <w:sz w:val="27"/>
          <w:lang w:val="tr-TR"/>
        </w:rPr>
        <w:t>,</w:t>
      </w:r>
      <w:r w:rsidR="00C77180" w:rsidRPr="001D47B8">
        <w:rPr>
          <w:color w:val="010101"/>
          <w:spacing w:val="-8"/>
          <w:w w:val="110"/>
          <w:sz w:val="27"/>
          <w:lang w:val="tr-TR"/>
        </w:rPr>
        <w:t xml:space="preserve"> </w:t>
      </w:r>
      <w:r w:rsidRPr="001D47B8">
        <w:rPr>
          <w:color w:val="010101"/>
          <w:w w:val="110"/>
          <w:sz w:val="27"/>
          <w:lang w:val="tr-TR"/>
        </w:rPr>
        <w:t>Hollanda</w:t>
      </w:r>
      <w:r w:rsidR="00C77180" w:rsidRPr="001D47B8">
        <w:rPr>
          <w:color w:val="010101"/>
          <w:w w:val="110"/>
          <w:sz w:val="27"/>
          <w:lang w:val="tr-TR"/>
        </w:rPr>
        <w:t>)</w:t>
      </w:r>
    </w:p>
    <w:p w14:paraId="52236258" w14:textId="77777777" w:rsidR="001B3C12" w:rsidRPr="001D47B8" w:rsidRDefault="001B3C12" w:rsidP="00285FA1">
      <w:pPr>
        <w:pStyle w:val="GvdeMetni"/>
        <w:jc w:val="center"/>
        <w:rPr>
          <w:sz w:val="20"/>
          <w:lang w:val="tr-TR"/>
        </w:rPr>
      </w:pPr>
    </w:p>
    <w:p w14:paraId="3280B651" w14:textId="77777777" w:rsidR="001B3C12" w:rsidRPr="001D47B8" w:rsidRDefault="001B3C12" w:rsidP="001C4B9F">
      <w:pPr>
        <w:pStyle w:val="GvdeMetni"/>
        <w:jc w:val="both"/>
        <w:rPr>
          <w:sz w:val="20"/>
          <w:lang w:val="tr-TR"/>
        </w:rPr>
      </w:pPr>
    </w:p>
    <w:p w14:paraId="0EDF0DEE" w14:textId="77777777" w:rsidR="001B3C12" w:rsidRPr="001D47B8" w:rsidRDefault="001B3C12" w:rsidP="001C4B9F">
      <w:pPr>
        <w:pStyle w:val="GvdeMetni"/>
        <w:jc w:val="both"/>
        <w:rPr>
          <w:sz w:val="20"/>
          <w:lang w:val="tr-TR"/>
        </w:rPr>
      </w:pPr>
    </w:p>
    <w:p w14:paraId="1E262866" w14:textId="77777777" w:rsidR="001B3C12" w:rsidRPr="001D47B8" w:rsidRDefault="001B3C12" w:rsidP="001C4B9F">
      <w:pPr>
        <w:pStyle w:val="GvdeMetni"/>
        <w:jc w:val="both"/>
        <w:rPr>
          <w:sz w:val="20"/>
          <w:lang w:val="tr-TR"/>
        </w:rPr>
      </w:pPr>
    </w:p>
    <w:p w14:paraId="38E888BA" w14:textId="77777777" w:rsidR="001B3C12" w:rsidRPr="001D47B8" w:rsidRDefault="001B3C12" w:rsidP="001C4B9F">
      <w:pPr>
        <w:pStyle w:val="GvdeMetni"/>
        <w:jc w:val="both"/>
        <w:rPr>
          <w:sz w:val="20"/>
          <w:lang w:val="tr-TR"/>
        </w:rPr>
      </w:pPr>
    </w:p>
    <w:p w14:paraId="4BD21FD6" w14:textId="77777777" w:rsidR="001B3C12" w:rsidRPr="001D47B8" w:rsidRDefault="001B3C12" w:rsidP="001C4B9F">
      <w:pPr>
        <w:pStyle w:val="GvdeMetni"/>
        <w:jc w:val="both"/>
        <w:rPr>
          <w:sz w:val="20"/>
          <w:lang w:val="tr-TR"/>
        </w:rPr>
      </w:pPr>
    </w:p>
    <w:p w14:paraId="571C2D88" w14:textId="05B224E0" w:rsidR="001B3C12" w:rsidRPr="001D47B8" w:rsidRDefault="00B37537" w:rsidP="001C4B9F">
      <w:pPr>
        <w:pStyle w:val="GvdeMetni"/>
        <w:spacing w:before="10"/>
        <w:jc w:val="both"/>
        <w:rPr>
          <w:sz w:val="19"/>
          <w:lang w:val="tr-TR"/>
        </w:rPr>
      </w:pPr>
      <w:r w:rsidRPr="001D47B8">
        <w:rPr>
          <w:noProof/>
          <w:lang w:val="tr-TR" w:eastAsia="tr-TR"/>
        </w:rPr>
        <mc:AlternateContent>
          <mc:Choice Requires="wps">
            <w:drawing>
              <wp:anchor distT="0" distB="0" distL="0" distR="0" simplePos="0" relativeHeight="487587840" behindDoc="1" locked="0" layoutInCell="1" allowOverlap="1" wp14:anchorId="0B780B5A" wp14:editId="6DB64CED">
                <wp:simplePos x="0" y="0"/>
                <wp:positionH relativeFrom="page">
                  <wp:posOffset>2014220</wp:posOffset>
                </wp:positionH>
                <wp:positionV relativeFrom="paragraph">
                  <wp:posOffset>160655</wp:posOffset>
                </wp:positionV>
                <wp:extent cx="3943985" cy="1270"/>
                <wp:effectExtent l="0" t="0" r="0" b="0"/>
                <wp:wrapTopAndBottom/>
                <wp:docPr id="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985" cy="1270"/>
                        </a:xfrm>
                        <a:custGeom>
                          <a:avLst/>
                          <a:gdLst>
                            <a:gd name="T0" fmla="+- 0 3172 3172"/>
                            <a:gd name="T1" fmla="*/ T0 w 6211"/>
                            <a:gd name="T2" fmla="+- 0 9383 3172"/>
                            <a:gd name="T3" fmla="*/ T2 w 6211"/>
                          </a:gdLst>
                          <a:ahLst/>
                          <a:cxnLst>
                            <a:cxn ang="0">
                              <a:pos x="T1" y="0"/>
                            </a:cxn>
                            <a:cxn ang="0">
                              <a:pos x="T3" y="0"/>
                            </a:cxn>
                          </a:cxnLst>
                          <a:rect l="0" t="0" r="r" b="b"/>
                          <a:pathLst>
                            <a:path w="6211">
                              <a:moveTo>
                                <a:pt x="0" y="0"/>
                              </a:moveTo>
                              <a:lnTo>
                                <a:pt x="621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45D490" id="docshape1" o:spid="_x0000_s1026" style="position:absolute;margin-left:158.6pt;margin-top:12.65pt;width:310.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" path="m,l6211,e" filled="f" strokeweight=".16953mm">
                <v:path arrowok="t" o:connecttype="custom" o:connectlocs="0,0;3943985,0" o:connectangles="0,0"/>
                <w10:wrap type="topAndBottom" anchorx="page"/>
              </v:shape>
            </w:pict>
          </mc:Fallback>
        </mc:AlternateContent>
      </w:r>
    </w:p>
    <w:p w14:paraId="6F0B9D9C" w14:textId="76FE42B5" w:rsidR="001B3C12" w:rsidRPr="001D47B8" w:rsidRDefault="00E10B82" w:rsidP="001C4B9F">
      <w:pPr>
        <w:spacing w:before="181" w:line="254" w:lineRule="auto"/>
        <w:ind w:left="1925" w:right="2126"/>
        <w:jc w:val="both"/>
        <w:rPr>
          <w:i/>
          <w:sz w:val="15"/>
          <w:lang w:val="tr-TR"/>
        </w:rPr>
      </w:pPr>
      <w:r w:rsidRPr="001D47B8">
        <w:rPr>
          <w:i/>
          <w:color w:val="010101"/>
          <w:w w:val="105"/>
          <w:sz w:val="15"/>
          <w:lang w:val="tr-TR"/>
        </w:rPr>
        <w:t>Bu belge toplantıda dağıtılmayacaktır. Lütfen kopyasını birlikte getiriniz.</w:t>
      </w:r>
      <w:r w:rsidR="00C77180" w:rsidRPr="001D47B8">
        <w:rPr>
          <w:i/>
          <w:color w:val="232323"/>
          <w:spacing w:val="1"/>
          <w:w w:val="105"/>
          <w:sz w:val="15"/>
          <w:lang w:val="tr-TR"/>
        </w:rPr>
        <w:t xml:space="preserve"> </w:t>
      </w:r>
      <w:hyperlink r:id="rId10">
        <w:r w:rsidR="00C77180" w:rsidRPr="001D47B8">
          <w:rPr>
            <w:i/>
            <w:color w:val="232323"/>
            <w:w w:val="105"/>
            <w:sz w:val="15"/>
            <w:u w:val="thick" w:color="232323"/>
            <w:lang w:val="tr-TR"/>
          </w:rPr>
          <w:t>www.venice.coe.in</w:t>
        </w:r>
        <w:r w:rsidR="00C77180" w:rsidRPr="001D47B8">
          <w:rPr>
            <w:i/>
            <w:color w:val="232323"/>
            <w:w w:val="105"/>
            <w:sz w:val="15"/>
            <w:lang w:val="tr-TR"/>
          </w:rPr>
          <w:t>t</w:t>
        </w:r>
      </w:hyperlink>
    </w:p>
    <w:p w14:paraId="2BAA5665" w14:textId="77777777" w:rsidR="001B3C12" w:rsidRPr="001D47B8" w:rsidRDefault="001B3C12" w:rsidP="001C4B9F">
      <w:pPr>
        <w:spacing w:line="254" w:lineRule="auto"/>
        <w:jc w:val="both"/>
        <w:rPr>
          <w:sz w:val="15"/>
          <w:lang w:val="tr-TR"/>
        </w:rPr>
        <w:sectPr w:rsidR="001B3C12" w:rsidRPr="001D47B8">
          <w:type w:val="continuous"/>
          <w:pgSz w:w="11910" w:h="16840"/>
          <w:pgMar w:top="1580" w:right="1080" w:bottom="280" w:left="1440" w:header="720" w:footer="720" w:gutter="0"/>
          <w:cols w:space="720"/>
        </w:sectPr>
      </w:pPr>
    </w:p>
    <w:p w14:paraId="40C129BF" w14:textId="77777777" w:rsidR="001B3C12" w:rsidRPr="001D47B8" w:rsidRDefault="001B3C12" w:rsidP="001C4B9F">
      <w:pPr>
        <w:pStyle w:val="GvdeMetni"/>
        <w:jc w:val="both"/>
        <w:rPr>
          <w:i/>
          <w:sz w:val="20"/>
          <w:lang w:val="tr-TR"/>
        </w:rPr>
      </w:pPr>
    </w:p>
    <w:p w14:paraId="4D6B620C" w14:textId="77777777" w:rsidR="001B3C12" w:rsidRPr="001D47B8" w:rsidRDefault="001B3C12" w:rsidP="001C4B9F">
      <w:pPr>
        <w:pStyle w:val="GvdeMetni"/>
        <w:jc w:val="both"/>
        <w:rPr>
          <w:i/>
          <w:sz w:val="20"/>
          <w:lang w:val="tr-TR"/>
        </w:rPr>
      </w:pPr>
    </w:p>
    <w:p w14:paraId="2B9D4226" w14:textId="77777777" w:rsidR="001B3C12" w:rsidRPr="001D47B8" w:rsidRDefault="001B3C12" w:rsidP="001C4B9F">
      <w:pPr>
        <w:pStyle w:val="GvdeMetni"/>
        <w:jc w:val="both"/>
        <w:rPr>
          <w:i/>
          <w:sz w:val="20"/>
          <w:lang w:val="tr-TR"/>
        </w:rPr>
      </w:pPr>
    </w:p>
    <w:p w14:paraId="4AFF72D6" w14:textId="77777777" w:rsidR="001B3C12" w:rsidRPr="001D47B8" w:rsidRDefault="001B3C12" w:rsidP="001C4B9F">
      <w:pPr>
        <w:pStyle w:val="GvdeMetni"/>
        <w:jc w:val="both"/>
        <w:rPr>
          <w:i/>
          <w:sz w:val="20"/>
          <w:lang w:val="tr-TR"/>
        </w:rPr>
      </w:pPr>
    </w:p>
    <w:p w14:paraId="44E55D13" w14:textId="77777777" w:rsidR="001B3C12" w:rsidRPr="001D47B8" w:rsidRDefault="001B3C12" w:rsidP="001C4B9F">
      <w:pPr>
        <w:pStyle w:val="GvdeMetni"/>
        <w:spacing w:before="8"/>
        <w:jc w:val="both"/>
        <w:rPr>
          <w:i/>
          <w:sz w:val="22"/>
          <w:lang w:val="tr-TR"/>
        </w:rPr>
      </w:pPr>
    </w:p>
    <w:p w14:paraId="2E3079DF" w14:textId="5E082B1E" w:rsidR="001B3C12" w:rsidRPr="001D47B8" w:rsidRDefault="00C55E3B" w:rsidP="001C4B9F">
      <w:pPr>
        <w:spacing w:before="93"/>
        <w:ind w:left="126"/>
        <w:jc w:val="both"/>
        <w:rPr>
          <w:b/>
          <w:sz w:val="21"/>
          <w:lang w:val="tr-TR"/>
        </w:rPr>
      </w:pPr>
      <w:r w:rsidRPr="001D47B8">
        <w:rPr>
          <w:b/>
          <w:sz w:val="21"/>
          <w:lang w:val="tr-TR"/>
        </w:rPr>
        <w:t xml:space="preserve">İçerik </w:t>
      </w:r>
    </w:p>
    <w:sdt>
      <w:sdtPr>
        <w:rPr>
          <w:lang w:val="tr-TR"/>
        </w:rPr>
        <w:id w:val="636997142"/>
        <w:docPartObj>
          <w:docPartGallery w:val="Table of Contents"/>
          <w:docPartUnique/>
        </w:docPartObj>
      </w:sdtPr>
      <w:sdtEndPr/>
      <w:sdtContent>
        <w:p w14:paraId="14C01CEE" w14:textId="2CB87085" w:rsidR="001B3C12" w:rsidRPr="001D47B8" w:rsidRDefault="003C393E" w:rsidP="001C4B9F">
          <w:pPr>
            <w:pStyle w:val="T1"/>
            <w:numPr>
              <w:ilvl w:val="0"/>
              <w:numId w:val="14"/>
            </w:numPr>
            <w:tabs>
              <w:tab w:val="left" w:pos="607"/>
              <w:tab w:val="left" w:pos="608"/>
              <w:tab w:val="left" w:leader="dot" w:pos="8924"/>
            </w:tabs>
            <w:spacing w:before="14"/>
            <w:ind w:hanging="482"/>
            <w:jc w:val="both"/>
            <w:rPr>
              <w:lang w:val="tr-TR"/>
            </w:rPr>
          </w:pPr>
          <w:hyperlink w:anchor="_TOC_250013" w:history="1">
            <w:r w:rsidR="00C55E3B" w:rsidRPr="001D47B8">
              <w:rPr>
                <w:w w:val="105"/>
                <w:lang w:val="tr-TR"/>
              </w:rPr>
              <w:t>Giriş</w:t>
            </w:r>
            <w:r w:rsidR="00C77180" w:rsidRPr="001D47B8">
              <w:rPr>
                <w:w w:val="105"/>
                <w:lang w:val="tr-TR"/>
              </w:rPr>
              <w:tab/>
              <w:t>3</w:t>
            </w:r>
          </w:hyperlink>
        </w:p>
        <w:p w14:paraId="2922A3CA" w14:textId="43CB4876" w:rsidR="001B3C12" w:rsidRPr="001D47B8" w:rsidRDefault="003C393E" w:rsidP="001C4B9F">
          <w:pPr>
            <w:pStyle w:val="T1"/>
            <w:numPr>
              <w:ilvl w:val="0"/>
              <w:numId w:val="14"/>
            </w:numPr>
            <w:tabs>
              <w:tab w:val="left" w:pos="606"/>
              <w:tab w:val="left" w:pos="607"/>
              <w:tab w:val="left" w:leader="dot" w:pos="8924"/>
            </w:tabs>
            <w:ind w:left="606"/>
            <w:jc w:val="both"/>
            <w:rPr>
              <w:lang w:val="tr-TR"/>
            </w:rPr>
          </w:pPr>
          <w:hyperlink w:anchor="_TOC_250012" w:history="1">
            <w:r w:rsidR="00C55E3B" w:rsidRPr="001D47B8">
              <w:rPr>
                <w:w w:val="105"/>
                <w:lang w:val="tr-TR"/>
              </w:rPr>
              <w:t>Arka</w:t>
            </w:r>
            <w:r w:rsidR="00BA1483" w:rsidRPr="001D47B8">
              <w:rPr>
                <w:w w:val="105"/>
                <w:lang w:val="tr-TR"/>
              </w:rPr>
              <w:t xml:space="preserve"> </w:t>
            </w:r>
            <w:r w:rsidR="00C55E3B" w:rsidRPr="001D47B8">
              <w:rPr>
                <w:w w:val="105"/>
                <w:lang w:val="tr-TR"/>
              </w:rPr>
              <w:t>plan</w:t>
            </w:r>
            <w:r w:rsidR="00C77180" w:rsidRPr="001D47B8">
              <w:rPr>
                <w:w w:val="105"/>
                <w:lang w:val="tr-TR"/>
              </w:rPr>
              <w:tab/>
              <w:t>3</w:t>
            </w:r>
          </w:hyperlink>
        </w:p>
        <w:p w14:paraId="30F2413E" w14:textId="3F8063FF" w:rsidR="001B3C12" w:rsidRPr="001D47B8" w:rsidRDefault="00051100" w:rsidP="001C4B9F">
          <w:pPr>
            <w:pStyle w:val="T2"/>
            <w:numPr>
              <w:ilvl w:val="1"/>
              <w:numId w:val="14"/>
            </w:numPr>
            <w:tabs>
              <w:tab w:val="left" w:pos="850"/>
              <w:tab w:val="left" w:pos="852"/>
              <w:tab w:val="left" w:leader="dot" w:pos="8920"/>
            </w:tabs>
            <w:spacing w:before="8" w:line="252" w:lineRule="auto"/>
            <w:ind w:firstLine="2"/>
            <w:jc w:val="both"/>
            <w:rPr>
              <w:lang w:val="tr-TR"/>
            </w:rPr>
          </w:pPr>
          <w:r w:rsidRPr="001D47B8">
            <w:rPr>
              <w:lang w:val="tr-TR"/>
            </w:rPr>
            <w:t>Kitle imha silahlarının yayılmasının fina</w:t>
          </w:r>
          <w:r w:rsidR="00B2580B" w:rsidRPr="001D47B8">
            <w:rPr>
              <w:lang w:val="tr-TR"/>
            </w:rPr>
            <w:t xml:space="preserve">nsmanının önlenmesi ve </w:t>
          </w:r>
          <w:r w:rsidR="0091304A" w:rsidRPr="001D47B8">
            <w:rPr>
              <w:lang w:val="tr-TR"/>
            </w:rPr>
            <w:t xml:space="preserve">durdurulması </w:t>
          </w:r>
          <w:hyperlink w:anchor="_TOC_250011" w:history="1">
            <w:r w:rsidR="00C77180" w:rsidRPr="001D47B8">
              <w:rPr>
                <w:w w:val="105"/>
                <w:lang w:val="tr-TR"/>
              </w:rPr>
              <w:tab/>
              <w:t>4</w:t>
            </w:r>
          </w:hyperlink>
        </w:p>
        <w:p w14:paraId="58BDBE97" w14:textId="1D92674F" w:rsidR="001B3C12" w:rsidRPr="001D47B8" w:rsidRDefault="003C393E" w:rsidP="001C4B9F">
          <w:pPr>
            <w:pStyle w:val="T2"/>
            <w:numPr>
              <w:ilvl w:val="1"/>
              <w:numId w:val="14"/>
            </w:numPr>
            <w:tabs>
              <w:tab w:val="left" w:pos="847"/>
              <w:tab w:val="left" w:pos="848"/>
              <w:tab w:val="left" w:leader="dot" w:pos="8920"/>
            </w:tabs>
            <w:spacing w:line="252" w:lineRule="auto"/>
            <w:ind w:left="369" w:hanging="3"/>
            <w:jc w:val="both"/>
            <w:rPr>
              <w:lang w:val="tr-TR"/>
            </w:rPr>
          </w:pPr>
          <w:hyperlink w:anchor="_TOC_250010" w:history="1">
            <w:bookmarkStart w:id="1" w:name="_Hlk76743097"/>
            <w:r w:rsidR="00D45844" w:rsidRPr="001D47B8">
              <w:rPr>
                <w:w w:val="105"/>
                <w:lang w:val="tr-TR"/>
              </w:rPr>
              <w:t xml:space="preserve">Mali Eylem Görev Gücünün </w:t>
            </w:r>
            <w:r w:rsidR="00C77180" w:rsidRPr="001D47B8">
              <w:rPr>
                <w:w w:val="105"/>
                <w:lang w:val="tr-TR"/>
              </w:rPr>
              <w:t>(FATF)</w:t>
            </w:r>
            <w:r w:rsidR="00993A0A" w:rsidRPr="001D47B8">
              <w:rPr>
                <w:w w:val="105"/>
                <w:lang w:val="tr-TR"/>
              </w:rPr>
              <w:t xml:space="preserve"> Türkiye hakkında </w:t>
            </w:r>
            <w:r w:rsidR="00977BC7" w:rsidRPr="001D47B8">
              <w:rPr>
                <w:w w:val="105"/>
                <w:lang w:val="tr-TR"/>
              </w:rPr>
              <w:t xml:space="preserve">2019 tarihli </w:t>
            </w:r>
            <w:r w:rsidR="00993A0A" w:rsidRPr="001D47B8">
              <w:rPr>
                <w:w w:val="105"/>
                <w:lang w:val="tr-TR"/>
              </w:rPr>
              <w:t>karşılıklı değerlendirme raporu ve tavsiyeleri</w:t>
            </w:r>
            <w:bookmarkEnd w:id="1"/>
            <w:r w:rsidR="00993A0A" w:rsidRPr="001D47B8">
              <w:rPr>
                <w:w w:val="105"/>
                <w:lang w:val="tr-TR"/>
              </w:rPr>
              <w:t xml:space="preserve"> </w:t>
            </w:r>
            <w:r w:rsidR="00C77180" w:rsidRPr="001D47B8">
              <w:rPr>
                <w:w w:val="105"/>
                <w:lang w:val="tr-TR"/>
              </w:rPr>
              <w:tab/>
              <w:t>4</w:t>
            </w:r>
          </w:hyperlink>
        </w:p>
        <w:p w14:paraId="0245833F" w14:textId="7F257947" w:rsidR="001B3C12" w:rsidRPr="001D47B8" w:rsidRDefault="00DC47E3" w:rsidP="001C4B9F">
          <w:pPr>
            <w:pStyle w:val="T2"/>
            <w:numPr>
              <w:ilvl w:val="1"/>
              <w:numId w:val="14"/>
            </w:numPr>
            <w:tabs>
              <w:tab w:val="left" w:pos="847"/>
              <w:tab w:val="left" w:pos="848"/>
              <w:tab w:val="left" w:leader="dot" w:pos="8924"/>
            </w:tabs>
            <w:spacing w:line="252" w:lineRule="auto"/>
            <w:ind w:left="366" w:right="332" w:firstLine="0"/>
            <w:jc w:val="both"/>
            <w:rPr>
              <w:lang w:val="tr-TR"/>
            </w:rPr>
          </w:pPr>
          <w:r w:rsidRPr="001D47B8">
            <w:rPr>
              <w:w w:val="105"/>
              <w:lang w:val="tr-TR"/>
            </w:rPr>
            <w:t>7262 sayılı Kanun</w:t>
          </w:r>
          <w:r w:rsidR="00237199" w:rsidRPr="001D47B8">
            <w:rPr>
              <w:w w:val="105"/>
              <w:lang w:val="tr-TR"/>
            </w:rPr>
            <w:t xml:space="preserve"> ile getirilen değişikliklerin</w:t>
          </w:r>
          <w:r w:rsidR="00AD75B8" w:rsidRPr="001D47B8">
            <w:rPr>
              <w:w w:val="105"/>
              <w:lang w:val="tr-TR"/>
            </w:rPr>
            <w:t xml:space="preserve"> ardında yatan mantık ve </w:t>
          </w:r>
          <w:r w:rsidR="00237199" w:rsidRPr="001D47B8">
            <w:rPr>
              <w:w w:val="105"/>
              <w:lang w:val="tr-TR"/>
            </w:rPr>
            <w:t>k</w:t>
          </w:r>
          <w:r w:rsidR="00801BA7" w:rsidRPr="001D47B8">
            <w:rPr>
              <w:w w:val="105"/>
              <w:lang w:val="tr-TR"/>
            </w:rPr>
            <w:t>anun yapım süreci</w:t>
          </w:r>
          <w:r w:rsidR="00C77180" w:rsidRPr="001D47B8">
            <w:rPr>
              <w:w w:val="105"/>
              <w:lang w:val="tr-TR"/>
            </w:rPr>
            <w:tab/>
            <w:t>5</w:t>
          </w:r>
        </w:p>
        <w:p w14:paraId="3FC8B9F0" w14:textId="21595324" w:rsidR="001B3C12" w:rsidRPr="001D47B8" w:rsidRDefault="003C393E" w:rsidP="001C4B9F">
          <w:pPr>
            <w:pStyle w:val="T1"/>
            <w:tabs>
              <w:tab w:val="left" w:pos="612"/>
              <w:tab w:val="left" w:leader="dot" w:pos="8924"/>
            </w:tabs>
            <w:spacing w:before="2"/>
            <w:ind w:firstLine="0"/>
            <w:jc w:val="both"/>
            <w:rPr>
              <w:lang w:val="tr-TR"/>
            </w:rPr>
          </w:pPr>
          <w:hyperlink w:anchor="_TOC_250009" w:history="1">
            <w:r w:rsidR="00C77180" w:rsidRPr="001D47B8">
              <w:rPr>
                <w:w w:val="110"/>
                <w:lang w:val="tr-TR"/>
              </w:rPr>
              <w:t>Ill.</w:t>
            </w:r>
            <w:r w:rsidR="00C77180" w:rsidRPr="001D47B8">
              <w:rPr>
                <w:w w:val="110"/>
                <w:lang w:val="tr-TR"/>
              </w:rPr>
              <w:tab/>
            </w:r>
            <w:r w:rsidR="004E3651" w:rsidRPr="001D47B8">
              <w:rPr>
                <w:w w:val="110"/>
                <w:lang w:val="tr-TR"/>
              </w:rPr>
              <w:t>Analiz</w:t>
            </w:r>
            <w:r w:rsidR="00C77180" w:rsidRPr="001D47B8">
              <w:rPr>
                <w:w w:val="110"/>
                <w:lang w:val="tr-TR"/>
              </w:rPr>
              <w:tab/>
              <w:t>6</w:t>
            </w:r>
          </w:hyperlink>
        </w:p>
        <w:p w14:paraId="129212EB" w14:textId="5FDEB729" w:rsidR="001B3C12" w:rsidRPr="001D47B8" w:rsidRDefault="003C393E" w:rsidP="001C4B9F">
          <w:pPr>
            <w:pStyle w:val="T2"/>
            <w:numPr>
              <w:ilvl w:val="0"/>
              <w:numId w:val="13"/>
            </w:numPr>
            <w:tabs>
              <w:tab w:val="left" w:pos="847"/>
              <w:tab w:val="left" w:pos="848"/>
              <w:tab w:val="left" w:leader="dot" w:pos="8924"/>
            </w:tabs>
            <w:spacing w:before="13"/>
            <w:ind w:right="0"/>
            <w:jc w:val="both"/>
            <w:rPr>
              <w:lang w:val="tr-TR"/>
            </w:rPr>
          </w:pPr>
          <w:hyperlink w:anchor="_TOC_250008" w:history="1">
            <w:r w:rsidR="004E3651" w:rsidRPr="001D47B8">
              <w:rPr>
                <w:w w:val="105"/>
                <w:lang w:val="tr-TR"/>
              </w:rPr>
              <w:t>Uluslararası standartlar</w:t>
            </w:r>
            <w:r w:rsidR="00C77180" w:rsidRPr="001D47B8">
              <w:rPr>
                <w:w w:val="105"/>
                <w:lang w:val="tr-TR"/>
              </w:rPr>
              <w:tab/>
              <w:t>6</w:t>
            </w:r>
          </w:hyperlink>
        </w:p>
        <w:p w14:paraId="08EC8CFA" w14:textId="783E32C2" w:rsidR="001B3C12" w:rsidRPr="001D47B8" w:rsidRDefault="003C393E" w:rsidP="001C4B9F">
          <w:pPr>
            <w:pStyle w:val="T3"/>
            <w:numPr>
              <w:ilvl w:val="1"/>
              <w:numId w:val="13"/>
            </w:numPr>
            <w:tabs>
              <w:tab w:val="left" w:pos="1229"/>
              <w:tab w:val="left" w:pos="1230"/>
              <w:tab w:val="left" w:leader="dot" w:pos="8924"/>
            </w:tabs>
            <w:spacing w:before="9"/>
            <w:jc w:val="both"/>
            <w:rPr>
              <w:lang w:val="tr-TR"/>
            </w:rPr>
          </w:pPr>
          <w:hyperlink w:anchor="_TOC_250007" w:history="1">
            <w:r w:rsidR="00FF6E07" w:rsidRPr="001D47B8">
              <w:rPr>
                <w:w w:val="105"/>
                <w:lang w:val="tr-TR"/>
              </w:rPr>
              <w:t>Örgütlenme</w:t>
            </w:r>
            <w:r w:rsidR="004E3651" w:rsidRPr="001D47B8">
              <w:rPr>
                <w:w w:val="105"/>
                <w:lang w:val="tr-TR"/>
              </w:rPr>
              <w:t xml:space="preserve"> özgürlüğü</w:t>
            </w:r>
            <w:r w:rsidR="00C77180" w:rsidRPr="001D47B8">
              <w:rPr>
                <w:w w:val="105"/>
                <w:lang w:val="tr-TR"/>
              </w:rPr>
              <w:tab/>
              <w:t>6</w:t>
            </w:r>
          </w:hyperlink>
        </w:p>
        <w:p w14:paraId="092C0D39" w14:textId="46B54871" w:rsidR="009E526A" w:rsidRPr="001D47B8" w:rsidRDefault="00656284" w:rsidP="001C4B9F">
          <w:pPr>
            <w:pStyle w:val="T3"/>
            <w:numPr>
              <w:ilvl w:val="1"/>
              <w:numId w:val="13"/>
            </w:numPr>
            <w:tabs>
              <w:tab w:val="left" w:pos="1227"/>
              <w:tab w:val="left" w:pos="1231"/>
              <w:tab w:val="left" w:leader="dot" w:pos="8799"/>
            </w:tabs>
            <w:spacing w:before="13" w:line="252" w:lineRule="auto"/>
            <w:ind w:left="606" w:right="336" w:hanging="1"/>
            <w:jc w:val="both"/>
            <w:rPr>
              <w:lang w:val="tr-TR"/>
            </w:rPr>
          </w:pPr>
          <w:r w:rsidRPr="001D47B8">
            <w:rPr>
              <w:w w:val="105"/>
              <w:lang w:val="tr-TR"/>
            </w:rPr>
            <w:t>U</w:t>
          </w:r>
          <w:r w:rsidR="009E526A" w:rsidRPr="001D47B8">
            <w:rPr>
              <w:w w:val="105"/>
              <w:lang w:val="tr-TR"/>
            </w:rPr>
            <w:t>lusal güvenlik ve kamu güvenliği</w:t>
          </w:r>
          <w:r w:rsidRPr="001D47B8">
            <w:rPr>
              <w:w w:val="105"/>
              <w:lang w:val="tr-TR"/>
            </w:rPr>
            <w:t xml:space="preserve"> temelinde belli bazı insan haklarının sınırlandırılması </w:t>
          </w:r>
          <w:r w:rsidR="00B348C5" w:rsidRPr="001D47B8">
            <w:rPr>
              <w:w w:val="105"/>
              <w:lang w:val="tr-TR"/>
            </w:rPr>
            <w:t>………………………………………………………………………………9</w:t>
          </w:r>
        </w:p>
        <w:p w14:paraId="75E910DC" w14:textId="2DCA0AE0" w:rsidR="001B3C12" w:rsidRPr="001D47B8" w:rsidRDefault="00C77180" w:rsidP="001C4B9F">
          <w:pPr>
            <w:pStyle w:val="T3"/>
            <w:tabs>
              <w:tab w:val="left" w:pos="1227"/>
              <w:tab w:val="left" w:pos="1231"/>
              <w:tab w:val="left" w:leader="dot" w:pos="8799"/>
            </w:tabs>
            <w:spacing w:before="13" w:line="252" w:lineRule="auto"/>
            <w:ind w:left="606" w:right="336" w:firstLine="0"/>
            <w:jc w:val="both"/>
            <w:rPr>
              <w:lang w:val="tr-TR"/>
            </w:rPr>
          </w:pPr>
          <w:r w:rsidRPr="001D47B8">
            <w:rPr>
              <w:spacing w:val="-59"/>
              <w:w w:val="105"/>
              <w:lang w:val="tr-TR"/>
            </w:rPr>
            <w:t xml:space="preserve"> </w:t>
          </w:r>
          <w:r w:rsidRPr="001D47B8">
            <w:rPr>
              <w:w w:val="105"/>
              <w:lang w:val="tr-TR"/>
            </w:rPr>
            <w:t>B.</w:t>
          </w:r>
          <w:r w:rsidRPr="001D47B8">
            <w:rPr>
              <w:w w:val="105"/>
              <w:lang w:val="tr-TR"/>
            </w:rPr>
            <w:tab/>
          </w:r>
          <w:r w:rsidR="00B348C5" w:rsidRPr="001D47B8">
            <w:rPr>
              <w:w w:val="105"/>
              <w:lang w:val="tr-TR"/>
            </w:rPr>
            <w:t>Anayasal çerçeve</w:t>
          </w:r>
          <w:r w:rsidRPr="001D47B8">
            <w:rPr>
              <w:w w:val="105"/>
              <w:lang w:val="tr-TR"/>
            </w:rPr>
            <w:tab/>
            <w:t>10</w:t>
          </w:r>
        </w:p>
        <w:p w14:paraId="217EFE9C" w14:textId="25072C80" w:rsidR="00B348C5" w:rsidRPr="001D47B8" w:rsidRDefault="00B348C5" w:rsidP="001C4B9F">
          <w:pPr>
            <w:pStyle w:val="T2"/>
            <w:numPr>
              <w:ilvl w:val="0"/>
              <w:numId w:val="12"/>
            </w:numPr>
            <w:tabs>
              <w:tab w:val="left" w:pos="847"/>
              <w:tab w:val="left" w:pos="848"/>
              <w:tab w:val="left" w:leader="dot" w:pos="8799"/>
            </w:tabs>
            <w:spacing w:line="252" w:lineRule="auto"/>
            <w:ind w:firstLine="0"/>
            <w:jc w:val="both"/>
            <w:rPr>
              <w:lang w:val="tr-TR"/>
            </w:rPr>
          </w:pPr>
          <w:r w:rsidRPr="001D47B8">
            <w:rPr>
              <w:lang w:val="tr-TR"/>
            </w:rPr>
            <w:t>Uluslararası standartlar ve T.C. Anayasası</w:t>
          </w:r>
          <w:r w:rsidR="006B314A" w:rsidRPr="001D47B8">
            <w:rPr>
              <w:lang w:val="tr-TR"/>
            </w:rPr>
            <w:t xml:space="preserve"> hükümleri ışığında 7262 sayılı Kanun………………………………………………………………………………………………….12</w:t>
          </w:r>
        </w:p>
        <w:p w14:paraId="5EECED34" w14:textId="75E38883" w:rsidR="001B3C12" w:rsidRPr="001D47B8" w:rsidRDefault="00A30F33" w:rsidP="001C4B9F">
          <w:pPr>
            <w:pStyle w:val="T3"/>
            <w:numPr>
              <w:ilvl w:val="1"/>
              <w:numId w:val="12"/>
            </w:numPr>
            <w:tabs>
              <w:tab w:val="left" w:pos="856"/>
              <w:tab w:val="left" w:leader="dot" w:pos="8799"/>
            </w:tabs>
            <w:jc w:val="both"/>
            <w:rPr>
              <w:lang w:val="tr-TR"/>
            </w:rPr>
          </w:pPr>
          <w:r w:rsidRPr="001D47B8">
            <w:rPr>
              <w:lang w:val="tr-TR"/>
            </w:rPr>
            <w:t>Yard</w:t>
          </w:r>
          <w:r w:rsidR="004946E0" w:rsidRPr="001D47B8">
            <w:rPr>
              <w:lang w:val="tr-TR"/>
            </w:rPr>
            <w:t>ı</w:t>
          </w:r>
          <w:r w:rsidRPr="001D47B8">
            <w:rPr>
              <w:lang w:val="tr-TR"/>
            </w:rPr>
            <w:t xml:space="preserve">m toplama faaliyetlerine </w:t>
          </w:r>
          <w:r w:rsidR="00020CC1" w:rsidRPr="001D47B8">
            <w:rPr>
              <w:lang w:val="tr-TR"/>
            </w:rPr>
            <w:t>yönelik</w:t>
          </w:r>
          <w:r w:rsidRPr="001D47B8">
            <w:rPr>
              <w:lang w:val="tr-TR"/>
            </w:rPr>
            <w:t xml:space="preserve"> kısıtlamalar </w:t>
          </w:r>
          <w:hyperlink w:anchor="_TOC_250005" w:history="1">
            <w:r w:rsidR="00C77180" w:rsidRPr="001D47B8">
              <w:rPr>
                <w:w w:val="105"/>
                <w:lang w:val="tr-TR"/>
              </w:rPr>
              <w:tab/>
              <w:t>12</w:t>
            </w:r>
          </w:hyperlink>
        </w:p>
        <w:p w14:paraId="2D0B9A21" w14:textId="3F63466A" w:rsidR="00BA4E5C" w:rsidRPr="001D47B8" w:rsidRDefault="00BA4E5C" w:rsidP="001C4B9F">
          <w:pPr>
            <w:pStyle w:val="T3"/>
            <w:numPr>
              <w:ilvl w:val="1"/>
              <w:numId w:val="12"/>
            </w:numPr>
            <w:tabs>
              <w:tab w:val="left" w:pos="858"/>
              <w:tab w:val="left" w:leader="dot" w:pos="8799"/>
            </w:tabs>
            <w:spacing w:before="8" w:line="256" w:lineRule="auto"/>
            <w:ind w:left="608" w:right="336" w:firstLine="0"/>
            <w:jc w:val="both"/>
            <w:rPr>
              <w:lang w:val="tr-TR"/>
            </w:rPr>
          </w:pPr>
          <w:r w:rsidRPr="001D47B8">
            <w:rPr>
              <w:lang w:val="tr-TR"/>
            </w:rPr>
            <w:t xml:space="preserve">Terör ile ilgili suçlardan </w:t>
          </w:r>
          <w:r w:rsidR="00977BC7" w:rsidRPr="001D47B8">
            <w:rPr>
              <w:lang w:val="tr-TR"/>
            </w:rPr>
            <w:t>mahkûm</w:t>
          </w:r>
          <w:r w:rsidR="00B94BF0" w:rsidRPr="001D47B8">
            <w:rPr>
              <w:lang w:val="tr-TR"/>
            </w:rPr>
            <w:t xml:space="preserve"> olan</w:t>
          </w:r>
          <w:r w:rsidR="00E841EB" w:rsidRPr="001D47B8">
            <w:rPr>
              <w:lang w:val="tr-TR"/>
            </w:rPr>
            <w:t xml:space="preserve"> kişilerin</w:t>
          </w:r>
          <w:r w:rsidRPr="001D47B8">
            <w:rPr>
              <w:lang w:val="tr-TR"/>
            </w:rPr>
            <w:t xml:space="preserve"> idari görev</w:t>
          </w:r>
          <w:r w:rsidR="00E841EB" w:rsidRPr="001D47B8">
            <w:rPr>
              <w:lang w:val="tr-TR"/>
            </w:rPr>
            <w:t>lerinin sona erdirilmesi</w:t>
          </w:r>
        </w:p>
        <w:p w14:paraId="4254C78C" w14:textId="3363E8E5" w:rsidR="001B3C12" w:rsidRPr="001D47B8" w:rsidRDefault="003C393E" w:rsidP="001C4B9F">
          <w:pPr>
            <w:pStyle w:val="T3"/>
            <w:tabs>
              <w:tab w:val="left" w:pos="858"/>
              <w:tab w:val="left" w:leader="dot" w:pos="8799"/>
            </w:tabs>
            <w:spacing w:before="8" w:line="256" w:lineRule="auto"/>
            <w:ind w:right="336" w:firstLine="0"/>
            <w:jc w:val="both"/>
            <w:rPr>
              <w:lang w:val="tr-TR"/>
            </w:rPr>
          </w:pPr>
          <w:hyperlink w:anchor="_TOC_250004" w:history="1">
            <w:r w:rsidR="00C77180" w:rsidRPr="001D47B8">
              <w:rPr>
                <w:spacing w:val="4"/>
                <w:w w:val="105"/>
                <w:lang w:val="tr-TR"/>
              </w:rPr>
              <w:t xml:space="preserve"> </w:t>
            </w:r>
            <w:r w:rsidR="00C77180" w:rsidRPr="001D47B8">
              <w:rPr>
                <w:w w:val="105"/>
                <w:lang w:val="tr-TR"/>
              </w:rPr>
              <w:t>(</w:t>
            </w:r>
            <w:r w:rsidR="004A16B0" w:rsidRPr="001D47B8">
              <w:rPr>
                <w:w w:val="105"/>
                <w:lang w:val="tr-TR"/>
              </w:rPr>
              <w:t>Dernekler Kanununun değiştirilen 3. Maddesi</w:t>
            </w:r>
            <w:r w:rsidR="00C77180" w:rsidRPr="001D47B8">
              <w:rPr>
                <w:w w:val="105"/>
                <w:lang w:val="tr-TR"/>
              </w:rPr>
              <w:t>)</w:t>
            </w:r>
            <w:r w:rsidR="00C77180" w:rsidRPr="001D47B8">
              <w:rPr>
                <w:w w:val="105"/>
                <w:lang w:val="tr-TR"/>
              </w:rPr>
              <w:tab/>
              <w:t>14</w:t>
            </w:r>
          </w:hyperlink>
        </w:p>
        <w:p w14:paraId="1E2572FE" w14:textId="545FCB37" w:rsidR="00EA2115" w:rsidRPr="001D47B8" w:rsidRDefault="003707B8" w:rsidP="001C4B9F">
          <w:pPr>
            <w:pStyle w:val="T3"/>
            <w:numPr>
              <w:ilvl w:val="1"/>
              <w:numId w:val="12"/>
            </w:numPr>
            <w:tabs>
              <w:tab w:val="left" w:pos="858"/>
              <w:tab w:val="left" w:leader="dot" w:pos="8799"/>
            </w:tabs>
            <w:spacing w:line="252" w:lineRule="auto"/>
            <w:ind w:left="612" w:right="336" w:hanging="5"/>
            <w:jc w:val="both"/>
            <w:rPr>
              <w:lang w:val="tr-TR"/>
            </w:rPr>
          </w:pPr>
          <w:r>
            <w:rPr>
              <w:lang w:val="tr-TR"/>
            </w:rPr>
            <w:t>STÖ’lerin t</w:t>
          </w:r>
          <w:r w:rsidR="00903738" w:rsidRPr="001D47B8">
            <w:rPr>
              <w:lang w:val="tr-TR"/>
            </w:rPr>
            <w:t xml:space="preserve">erörist </w:t>
          </w:r>
          <w:r w:rsidR="00BD6412" w:rsidRPr="001D47B8">
            <w:rPr>
              <w:lang w:val="tr-TR"/>
            </w:rPr>
            <w:t>unsur</w:t>
          </w:r>
          <w:r w:rsidR="003842A3">
            <w:rPr>
              <w:lang w:val="tr-TR"/>
            </w:rPr>
            <w:t>lar</w:t>
          </w:r>
          <w:r>
            <w:rPr>
              <w:lang w:val="tr-TR"/>
            </w:rPr>
            <w:t xml:space="preserve"> tarafından </w:t>
          </w:r>
          <w:r w:rsidR="00FA777D" w:rsidRPr="00DD78CC">
            <w:rPr>
              <w:lang w:val="tr-TR"/>
            </w:rPr>
            <w:t>istismarını</w:t>
          </w:r>
          <w:r w:rsidR="00903738" w:rsidRPr="00DD78CC">
            <w:rPr>
              <w:lang w:val="tr-TR"/>
            </w:rPr>
            <w:t xml:space="preserve"> </w:t>
          </w:r>
          <w:r w:rsidR="00143444" w:rsidRPr="00DD78CC">
            <w:rPr>
              <w:lang w:val="tr-TR"/>
            </w:rPr>
            <w:t>tespit</w:t>
          </w:r>
          <w:r w:rsidR="00AA0AD0" w:rsidRPr="00DD78CC">
            <w:rPr>
              <w:lang w:val="tr-TR"/>
            </w:rPr>
            <w:t>e</w:t>
          </w:r>
          <w:r w:rsidR="00143444" w:rsidRPr="00DD78CC">
            <w:rPr>
              <w:lang w:val="tr-TR"/>
            </w:rPr>
            <w:t xml:space="preserve"> </w:t>
          </w:r>
          <w:r w:rsidR="00EA2115" w:rsidRPr="00DD78CC">
            <w:rPr>
              <w:lang w:val="tr-TR"/>
            </w:rPr>
            <w:t>yö</w:t>
          </w:r>
          <w:r w:rsidR="00EA2115" w:rsidRPr="001D47B8">
            <w:rPr>
              <w:lang w:val="tr-TR"/>
            </w:rPr>
            <w:t>nelik</w:t>
          </w:r>
          <w:r w:rsidR="00903738" w:rsidRPr="001D47B8">
            <w:rPr>
              <w:lang w:val="tr-TR"/>
            </w:rPr>
            <w:t xml:space="preserve"> denetim</w:t>
          </w:r>
          <w:r w:rsidR="00340419" w:rsidRPr="001D47B8">
            <w:rPr>
              <w:lang w:val="tr-TR"/>
            </w:rPr>
            <w:t>lerin</w:t>
          </w:r>
          <w:r w:rsidR="00903738" w:rsidRPr="001D47B8">
            <w:rPr>
              <w:lang w:val="tr-TR"/>
            </w:rPr>
            <w:t xml:space="preserve"> </w:t>
          </w:r>
          <w:r w:rsidR="00EA2115" w:rsidRPr="001D47B8">
            <w:rPr>
              <w:lang w:val="tr-TR"/>
            </w:rPr>
            <w:t>ve risk değerlendirmesinin kapsamı</w:t>
          </w:r>
          <w:r w:rsidR="00143444" w:rsidRPr="001D47B8">
            <w:rPr>
              <w:lang w:val="tr-TR"/>
            </w:rPr>
            <w:t xml:space="preserve"> </w:t>
          </w:r>
          <w:r w:rsidR="0045535B" w:rsidRPr="001D47B8">
            <w:rPr>
              <w:lang w:val="tr-TR"/>
            </w:rPr>
            <w:t>(Dernekler Kanununun değiştirilen 19(2). Maddesi )</w:t>
          </w:r>
          <w:r w:rsidR="0045535B" w:rsidRPr="001D47B8">
            <w:rPr>
              <w:lang w:val="tr-TR"/>
            </w:rPr>
            <w:tab/>
            <w:t>14</w:t>
          </w:r>
        </w:p>
        <w:p w14:paraId="1DFDC361" w14:textId="1C5644E8" w:rsidR="001B3C12" w:rsidRPr="001D47B8" w:rsidRDefault="00C77180" w:rsidP="001C4B9F">
          <w:pPr>
            <w:pStyle w:val="T4"/>
            <w:tabs>
              <w:tab w:val="left" w:leader="dot" w:pos="8799"/>
            </w:tabs>
            <w:jc w:val="both"/>
            <w:rPr>
              <w:i w:val="0"/>
              <w:lang w:val="tr-TR"/>
            </w:rPr>
          </w:pPr>
          <w:r w:rsidRPr="001D47B8">
            <w:rPr>
              <w:i w:val="0"/>
              <w:w w:val="105"/>
              <w:sz w:val="22"/>
              <w:lang w:val="tr-TR"/>
            </w:rPr>
            <w:t xml:space="preserve">d. </w:t>
          </w:r>
          <w:r w:rsidR="000D79ED" w:rsidRPr="001D47B8">
            <w:rPr>
              <w:iCs w:val="0"/>
              <w:w w:val="105"/>
              <w:sz w:val="22"/>
              <w:lang w:val="tr-TR"/>
            </w:rPr>
            <w:t>Denetim ile ilgili yükümlülüklerin ihlaline karşı artı</w:t>
          </w:r>
          <w:r w:rsidR="00977BC7" w:rsidRPr="001D47B8">
            <w:rPr>
              <w:iCs w:val="0"/>
              <w:w w:val="105"/>
              <w:sz w:val="22"/>
              <w:lang w:val="tr-TR"/>
            </w:rPr>
            <w:t>r</w:t>
          </w:r>
          <w:r w:rsidR="000D79ED" w:rsidRPr="001D47B8">
            <w:rPr>
              <w:iCs w:val="0"/>
              <w:w w:val="105"/>
              <w:sz w:val="22"/>
              <w:lang w:val="tr-TR"/>
            </w:rPr>
            <w:t>ılan yaptırımlar</w:t>
          </w:r>
          <w:r w:rsidRPr="001D47B8">
            <w:rPr>
              <w:w w:val="105"/>
              <w:lang w:val="tr-TR"/>
            </w:rPr>
            <w:tab/>
          </w:r>
          <w:r w:rsidRPr="001D47B8">
            <w:rPr>
              <w:i w:val="0"/>
              <w:w w:val="105"/>
              <w:lang w:val="tr-TR"/>
            </w:rPr>
            <w:t>17</w:t>
          </w:r>
        </w:p>
        <w:p w14:paraId="2B3D12D1" w14:textId="3982B83C" w:rsidR="001B3C12" w:rsidRPr="001D47B8" w:rsidRDefault="001D60FF" w:rsidP="001C4B9F">
          <w:pPr>
            <w:pStyle w:val="T3"/>
            <w:numPr>
              <w:ilvl w:val="1"/>
              <w:numId w:val="12"/>
            </w:numPr>
            <w:tabs>
              <w:tab w:val="left" w:pos="856"/>
              <w:tab w:val="left" w:leader="dot" w:pos="8799"/>
            </w:tabs>
            <w:spacing w:before="3" w:line="252" w:lineRule="auto"/>
            <w:ind w:left="608" w:right="339" w:firstLine="1"/>
            <w:jc w:val="both"/>
            <w:rPr>
              <w:lang w:val="tr-TR"/>
            </w:rPr>
          </w:pPr>
          <w:r w:rsidRPr="001D47B8">
            <w:rPr>
              <w:lang w:val="tr-TR"/>
            </w:rPr>
            <w:t>STÖ</w:t>
          </w:r>
          <w:r w:rsidR="00D40798" w:rsidRPr="001D47B8">
            <w:rPr>
              <w:lang w:val="tr-TR"/>
            </w:rPr>
            <w:t>’ler</w:t>
          </w:r>
          <w:r w:rsidR="00127141" w:rsidRPr="001D47B8">
            <w:rPr>
              <w:lang w:val="tr-TR"/>
            </w:rPr>
            <w:t>de</w:t>
          </w:r>
          <w:r w:rsidR="007A770F" w:rsidRPr="001D47B8">
            <w:rPr>
              <w:lang w:val="tr-TR"/>
            </w:rPr>
            <w:t xml:space="preserve"> idari kadronun görevden alınması ve kurul üyeleri</w:t>
          </w:r>
          <w:r w:rsidR="000A5E26" w:rsidRPr="001D47B8">
            <w:rPr>
              <w:lang w:val="tr-TR"/>
            </w:rPr>
            <w:t xml:space="preserve"> yerine </w:t>
          </w:r>
          <w:r w:rsidR="00C43729" w:rsidRPr="001D47B8">
            <w:rPr>
              <w:lang w:val="tr-TR"/>
            </w:rPr>
            <w:t>yapılan atamalar</w:t>
          </w:r>
          <w:r w:rsidR="000A5E26" w:rsidRPr="001D47B8">
            <w:rPr>
              <w:lang w:val="tr-TR"/>
            </w:rPr>
            <w:t xml:space="preserve"> </w:t>
          </w:r>
          <w:hyperlink w:anchor="_TOC_250002" w:history="1">
            <w:r w:rsidR="00C77180" w:rsidRPr="001D47B8">
              <w:rPr>
                <w:w w:val="105"/>
                <w:lang w:val="tr-TR"/>
              </w:rPr>
              <w:t xml:space="preserve"> (</w:t>
            </w:r>
            <w:r w:rsidR="00DA7D9F" w:rsidRPr="001D47B8">
              <w:rPr>
                <w:lang w:val="tr-TR"/>
              </w:rPr>
              <w:t xml:space="preserve">Dernekler Kanununun </w:t>
            </w:r>
            <w:r w:rsidR="00C77180" w:rsidRPr="001D47B8">
              <w:rPr>
                <w:w w:val="105"/>
                <w:lang w:val="tr-TR"/>
              </w:rPr>
              <w:t>30/A</w:t>
            </w:r>
            <w:r w:rsidR="00C77180" w:rsidRPr="001D47B8">
              <w:rPr>
                <w:spacing w:val="-4"/>
                <w:w w:val="105"/>
                <w:lang w:val="tr-TR"/>
              </w:rPr>
              <w:t xml:space="preserve"> </w:t>
            </w:r>
            <w:r w:rsidR="00C77180" w:rsidRPr="001D47B8">
              <w:rPr>
                <w:w w:val="105"/>
                <w:lang w:val="tr-TR"/>
              </w:rPr>
              <w:t>(1)</w:t>
            </w:r>
            <w:r w:rsidR="00DA7D9F" w:rsidRPr="001D47B8">
              <w:rPr>
                <w:w w:val="105"/>
                <w:lang w:val="tr-TR"/>
              </w:rPr>
              <w:t>. maddesi</w:t>
            </w:r>
            <w:r w:rsidR="00C77180" w:rsidRPr="001D47B8">
              <w:rPr>
                <w:w w:val="105"/>
                <w:lang w:val="tr-TR"/>
              </w:rPr>
              <w:t>)</w:t>
            </w:r>
            <w:r w:rsidR="00C77180" w:rsidRPr="001D47B8">
              <w:rPr>
                <w:w w:val="105"/>
                <w:lang w:val="tr-TR"/>
              </w:rPr>
              <w:tab/>
            </w:r>
            <w:r w:rsidR="00C77180" w:rsidRPr="001D47B8">
              <w:rPr>
                <w:spacing w:val="-1"/>
                <w:w w:val="105"/>
                <w:lang w:val="tr-TR"/>
              </w:rPr>
              <w:t>17</w:t>
            </w:r>
          </w:hyperlink>
        </w:p>
        <w:p w14:paraId="6107A6B4" w14:textId="36F275C2" w:rsidR="001B3C12" w:rsidRPr="001D47B8" w:rsidRDefault="003C393E" w:rsidP="001C4B9F">
          <w:pPr>
            <w:pStyle w:val="T3"/>
            <w:numPr>
              <w:ilvl w:val="1"/>
              <w:numId w:val="12"/>
            </w:numPr>
            <w:tabs>
              <w:tab w:val="left" w:pos="855"/>
              <w:tab w:val="left" w:leader="dot" w:pos="8801"/>
            </w:tabs>
            <w:spacing w:before="2"/>
            <w:ind w:left="854"/>
            <w:jc w:val="both"/>
            <w:rPr>
              <w:lang w:val="tr-TR"/>
            </w:rPr>
          </w:pPr>
          <w:hyperlink w:anchor="_TOC_250001" w:history="1">
            <w:r w:rsidR="00C43729" w:rsidRPr="001D47B8">
              <w:rPr>
                <w:w w:val="105"/>
                <w:lang w:val="tr-TR"/>
              </w:rPr>
              <w:t>Yabanc</w:t>
            </w:r>
            <w:r w:rsidR="00977BC7" w:rsidRPr="001D47B8">
              <w:rPr>
                <w:w w:val="105"/>
                <w:lang w:val="tr-TR"/>
              </w:rPr>
              <w:t>ı</w:t>
            </w:r>
            <w:r w:rsidR="00C43729" w:rsidRPr="001D47B8">
              <w:rPr>
                <w:w w:val="105"/>
                <w:lang w:val="tr-TR"/>
              </w:rPr>
              <w:t xml:space="preserve"> dernekler</w:t>
            </w:r>
            <w:r w:rsidR="00C77180" w:rsidRPr="001D47B8">
              <w:rPr>
                <w:w w:val="105"/>
                <w:lang w:val="tr-TR"/>
              </w:rPr>
              <w:tab/>
              <w:t>20</w:t>
            </w:r>
          </w:hyperlink>
        </w:p>
        <w:p w14:paraId="7D932BDE" w14:textId="6C2B16FF" w:rsidR="001B3C12" w:rsidRPr="001D47B8" w:rsidRDefault="003C393E" w:rsidP="001C4B9F">
          <w:pPr>
            <w:pStyle w:val="T1"/>
            <w:numPr>
              <w:ilvl w:val="0"/>
              <w:numId w:val="11"/>
            </w:numPr>
            <w:tabs>
              <w:tab w:val="left" w:pos="847"/>
              <w:tab w:val="left" w:pos="848"/>
              <w:tab w:val="left" w:leader="dot" w:pos="8801"/>
            </w:tabs>
            <w:ind w:hanging="722"/>
            <w:jc w:val="both"/>
            <w:rPr>
              <w:lang w:val="tr-TR"/>
            </w:rPr>
          </w:pPr>
          <w:hyperlink w:anchor="_TOC_250000" w:history="1">
            <w:r w:rsidR="00B348C5" w:rsidRPr="001D47B8">
              <w:rPr>
                <w:w w:val="105"/>
                <w:lang w:val="tr-TR"/>
              </w:rPr>
              <w:t>Sonuç</w:t>
            </w:r>
            <w:r w:rsidR="00C77180" w:rsidRPr="001D47B8">
              <w:rPr>
                <w:w w:val="105"/>
                <w:lang w:val="tr-TR"/>
              </w:rPr>
              <w:tab/>
              <w:t>21</w:t>
            </w:r>
          </w:hyperlink>
        </w:p>
      </w:sdtContent>
    </w:sdt>
    <w:p w14:paraId="1206D3BF" w14:textId="77777777" w:rsidR="001B3C12" w:rsidRPr="001D47B8" w:rsidRDefault="001B3C12" w:rsidP="001C4B9F">
      <w:pPr>
        <w:jc w:val="both"/>
        <w:rPr>
          <w:lang w:val="tr-TR"/>
        </w:rPr>
        <w:sectPr w:rsidR="001B3C12" w:rsidRPr="001D47B8">
          <w:headerReference w:type="even" r:id="rId11"/>
          <w:headerReference w:type="default" r:id="rId12"/>
          <w:pgSz w:w="11910" w:h="16840"/>
          <w:pgMar w:top="1320" w:right="1080" w:bottom="280" w:left="1440" w:header="713" w:footer="0" w:gutter="0"/>
          <w:pgNumType w:start="2"/>
          <w:cols w:space="720"/>
        </w:sectPr>
      </w:pPr>
    </w:p>
    <w:p w14:paraId="2AF5EFAC" w14:textId="684BF81E" w:rsidR="001B3C12" w:rsidRPr="001D47B8" w:rsidRDefault="00D40798" w:rsidP="001C4B9F">
      <w:pPr>
        <w:pStyle w:val="Balk1"/>
        <w:numPr>
          <w:ilvl w:val="1"/>
          <w:numId w:val="11"/>
        </w:numPr>
        <w:tabs>
          <w:tab w:val="left" w:pos="842"/>
          <w:tab w:val="left" w:pos="843"/>
        </w:tabs>
        <w:spacing w:before="83"/>
        <w:ind w:hanging="357"/>
        <w:jc w:val="both"/>
        <w:rPr>
          <w:lang w:val="tr-TR"/>
        </w:rPr>
      </w:pPr>
      <w:bookmarkStart w:id="2" w:name="_TOC_250013"/>
      <w:bookmarkEnd w:id="2"/>
      <w:r w:rsidRPr="001D47B8">
        <w:rPr>
          <w:color w:val="010101"/>
          <w:lang w:val="tr-TR"/>
        </w:rPr>
        <w:lastRenderedPageBreak/>
        <w:t>Giriş</w:t>
      </w:r>
    </w:p>
    <w:p w14:paraId="37F8768C" w14:textId="77777777" w:rsidR="001B3C12" w:rsidRPr="001D47B8" w:rsidRDefault="001B3C12" w:rsidP="001C4B9F">
      <w:pPr>
        <w:pStyle w:val="GvdeMetni"/>
        <w:spacing w:before="1"/>
        <w:jc w:val="both"/>
        <w:rPr>
          <w:b/>
          <w:sz w:val="23"/>
          <w:lang w:val="tr-TR"/>
        </w:rPr>
      </w:pPr>
    </w:p>
    <w:p w14:paraId="3D269329" w14:textId="7F8DB9E4" w:rsidR="00963488" w:rsidRPr="001D47B8" w:rsidRDefault="00963488" w:rsidP="001C4B9F">
      <w:pPr>
        <w:pStyle w:val="ListeParagraf"/>
        <w:numPr>
          <w:ilvl w:val="0"/>
          <w:numId w:val="10"/>
        </w:numPr>
        <w:tabs>
          <w:tab w:val="left" w:pos="670"/>
        </w:tabs>
        <w:spacing w:line="252" w:lineRule="auto"/>
        <w:ind w:right="320" w:firstLine="4"/>
        <w:jc w:val="both"/>
        <w:rPr>
          <w:sz w:val="21"/>
          <w:lang w:val="tr-TR"/>
        </w:rPr>
      </w:pPr>
      <w:r w:rsidRPr="001D47B8">
        <w:rPr>
          <w:lang w:val="tr-TR"/>
        </w:rPr>
        <w:t>Avrupa Konseyi Parlamenter Meclisi</w:t>
      </w:r>
      <w:r w:rsidR="00E270DF" w:rsidRPr="001D47B8">
        <w:rPr>
          <w:color w:val="010101"/>
          <w:sz w:val="21"/>
          <w:lang w:val="tr-TR"/>
        </w:rPr>
        <w:t>’nin Yasal İşler ve İnsan Hakları Komitesi</w:t>
      </w:r>
      <w:r w:rsidR="007125A6" w:rsidRPr="001D47B8">
        <w:rPr>
          <w:color w:val="010101"/>
          <w:sz w:val="21"/>
          <w:lang w:val="tr-TR"/>
        </w:rPr>
        <w:t>, 1 Şubat 2021 tarihli yazısı ile Venedik Komisyonu</w:t>
      </w:r>
      <w:r w:rsidR="00454C9E" w:rsidRPr="001D47B8">
        <w:rPr>
          <w:color w:val="010101"/>
          <w:sz w:val="21"/>
          <w:lang w:val="tr-TR"/>
        </w:rPr>
        <w:t>’</w:t>
      </w:r>
      <w:r w:rsidR="007125A6" w:rsidRPr="001D47B8">
        <w:rPr>
          <w:color w:val="010101"/>
          <w:sz w:val="21"/>
          <w:lang w:val="tr-TR"/>
        </w:rPr>
        <w:t>ndan</w:t>
      </w:r>
      <w:r w:rsidR="00602C68" w:rsidRPr="001D47B8">
        <w:rPr>
          <w:color w:val="010101"/>
          <w:sz w:val="21"/>
          <w:lang w:val="tr-TR"/>
        </w:rPr>
        <w:t>,</w:t>
      </w:r>
      <w:r w:rsidR="007125A6" w:rsidRPr="001D47B8">
        <w:rPr>
          <w:color w:val="010101"/>
          <w:sz w:val="21"/>
          <w:lang w:val="tr-TR"/>
        </w:rPr>
        <w:t xml:space="preserve"> </w:t>
      </w:r>
      <w:r w:rsidR="00FF1FD0" w:rsidRPr="001D47B8">
        <w:rPr>
          <w:color w:val="010101"/>
          <w:sz w:val="21"/>
          <w:lang w:val="tr-TR"/>
        </w:rPr>
        <w:t xml:space="preserve">Türkiye Büyük Millet Meclisi (Bundan böyle </w:t>
      </w:r>
      <w:r w:rsidR="00FC3197" w:rsidRPr="001D47B8">
        <w:rPr>
          <w:color w:val="010101"/>
          <w:sz w:val="21"/>
          <w:lang w:val="tr-TR"/>
        </w:rPr>
        <w:t xml:space="preserve">Meclis olarak adlandırılacaktır) tarafından yakın tarihte kabul edilen </w:t>
      </w:r>
      <w:r w:rsidR="00A13301" w:rsidRPr="001D47B8">
        <w:rPr>
          <w:color w:val="010101"/>
          <w:sz w:val="21"/>
          <w:lang w:val="tr-TR"/>
        </w:rPr>
        <w:t>ve</w:t>
      </w:r>
      <w:r w:rsidR="009F763F" w:rsidRPr="001D47B8">
        <w:rPr>
          <w:color w:val="010101"/>
          <w:sz w:val="21"/>
          <w:lang w:val="tr-TR"/>
        </w:rPr>
        <w:t xml:space="preserve"> </w:t>
      </w:r>
      <w:r w:rsidR="008F19D6" w:rsidRPr="001D47B8">
        <w:rPr>
          <w:color w:val="010101"/>
          <w:sz w:val="21"/>
          <w:lang w:val="tr-TR"/>
        </w:rPr>
        <w:t xml:space="preserve">diğerlerinin yanı sıra </w:t>
      </w:r>
      <w:r w:rsidR="00A13301" w:rsidRPr="001D47B8">
        <w:rPr>
          <w:color w:val="010101"/>
          <w:sz w:val="21"/>
          <w:lang w:val="tr-TR"/>
        </w:rPr>
        <w:t>2860 sayılı Yardım Toplama Kanunu</w:t>
      </w:r>
      <w:r w:rsidR="00FB562C" w:rsidRPr="001D47B8">
        <w:rPr>
          <w:rStyle w:val="DipnotBavurusu"/>
          <w:color w:val="010101"/>
          <w:sz w:val="21"/>
          <w:lang w:val="tr-TR"/>
        </w:rPr>
        <w:footnoteReference w:id="1"/>
      </w:r>
      <w:r w:rsidR="00A13301" w:rsidRPr="001D47B8">
        <w:rPr>
          <w:color w:val="010101"/>
          <w:sz w:val="21"/>
          <w:lang w:val="tr-TR"/>
        </w:rPr>
        <w:t xml:space="preserve"> ve 5253 sayılı Dernekler Kanununda</w:t>
      </w:r>
      <w:r w:rsidR="00227381" w:rsidRPr="001D47B8">
        <w:rPr>
          <w:rStyle w:val="DipnotBavurusu"/>
          <w:color w:val="010101"/>
          <w:sz w:val="21"/>
          <w:lang w:val="tr-TR"/>
        </w:rPr>
        <w:footnoteReference w:id="2"/>
      </w:r>
      <w:r w:rsidR="00A13301" w:rsidRPr="001D47B8">
        <w:rPr>
          <w:color w:val="010101"/>
          <w:sz w:val="21"/>
          <w:lang w:val="tr-TR"/>
        </w:rPr>
        <w:t xml:space="preserve"> </w:t>
      </w:r>
      <w:r w:rsidR="008F19D6" w:rsidRPr="001D47B8">
        <w:rPr>
          <w:color w:val="010101"/>
          <w:sz w:val="21"/>
          <w:lang w:val="tr-TR"/>
        </w:rPr>
        <w:t xml:space="preserve">değişiklik yapan </w:t>
      </w:r>
      <w:r w:rsidR="009F763F" w:rsidRPr="001D47B8">
        <w:rPr>
          <w:color w:val="010101"/>
          <w:sz w:val="21"/>
          <w:lang w:val="tr-TR"/>
        </w:rPr>
        <w:t>“</w:t>
      </w:r>
      <w:r w:rsidR="00FC3197" w:rsidRPr="001D47B8">
        <w:rPr>
          <w:color w:val="010101"/>
          <w:sz w:val="21"/>
          <w:lang w:val="tr-TR"/>
        </w:rPr>
        <w:t>Kitle İmha Silahlarının Yayılmasının Finansmanının Önlenmesine İlişkin 7262 Sayılı Kanunun</w:t>
      </w:r>
      <w:r w:rsidR="009F763F" w:rsidRPr="001D47B8">
        <w:rPr>
          <w:color w:val="010101"/>
          <w:sz w:val="21"/>
          <w:lang w:val="tr-TR"/>
        </w:rPr>
        <w:t>”</w:t>
      </w:r>
      <w:r w:rsidR="009E6B67" w:rsidRPr="001D47B8">
        <w:rPr>
          <w:rStyle w:val="DipnotBavurusu"/>
          <w:color w:val="010101"/>
          <w:sz w:val="21"/>
          <w:lang w:val="tr-TR"/>
        </w:rPr>
        <w:footnoteReference w:id="3"/>
      </w:r>
      <w:r w:rsidR="00FC3197" w:rsidRPr="001D47B8">
        <w:rPr>
          <w:color w:val="010101"/>
          <w:sz w:val="21"/>
          <w:lang w:val="tr-TR"/>
        </w:rPr>
        <w:t xml:space="preserve"> uluslararası insan hakları standartlarına uygunluğu hakkında</w:t>
      </w:r>
      <w:r w:rsidR="009F763F" w:rsidRPr="001D47B8">
        <w:rPr>
          <w:color w:val="010101"/>
          <w:sz w:val="21"/>
          <w:lang w:val="tr-TR"/>
        </w:rPr>
        <w:t xml:space="preserve"> görüş hazırlamasını talep etmiştir. </w:t>
      </w:r>
    </w:p>
    <w:p w14:paraId="64CC2957" w14:textId="77777777" w:rsidR="001B3C12" w:rsidRPr="001D47B8" w:rsidRDefault="001B3C12" w:rsidP="001C4B9F">
      <w:pPr>
        <w:pStyle w:val="GvdeMetni"/>
        <w:spacing w:before="8"/>
        <w:jc w:val="both"/>
        <w:rPr>
          <w:lang w:val="tr-TR"/>
        </w:rPr>
      </w:pPr>
    </w:p>
    <w:p w14:paraId="075ACCF2" w14:textId="6EC46E5B" w:rsidR="001B3C12" w:rsidRPr="001D47B8" w:rsidRDefault="00C77180" w:rsidP="001C4B9F">
      <w:pPr>
        <w:pStyle w:val="ListeParagraf"/>
        <w:numPr>
          <w:ilvl w:val="0"/>
          <w:numId w:val="10"/>
        </w:numPr>
        <w:tabs>
          <w:tab w:val="left" w:pos="669"/>
        </w:tabs>
        <w:spacing w:before="1" w:line="247" w:lineRule="auto"/>
        <w:ind w:left="129" w:right="328" w:firstLine="0"/>
        <w:jc w:val="both"/>
        <w:rPr>
          <w:sz w:val="21"/>
          <w:lang w:val="tr-TR"/>
        </w:rPr>
      </w:pPr>
      <w:r w:rsidRPr="001D47B8">
        <w:rPr>
          <w:color w:val="010101"/>
          <w:sz w:val="21"/>
          <w:lang w:val="tr-TR"/>
        </w:rPr>
        <w:t xml:space="preserve">H. Kjerulf Thorgeirsdottir, C. Pinelli </w:t>
      </w:r>
      <w:r w:rsidR="00410DF8" w:rsidRPr="001D47B8">
        <w:rPr>
          <w:color w:val="010101"/>
          <w:sz w:val="21"/>
          <w:lang w:val="tr-TR"/>
        </w:rPr>
        <w:t xml:space="preserve">ve </w:t>
      </w:r>
      <w:r w:rsidRPr="001D47B8">
        <w:rPr>
          <w:color w:val="010101"/>
          <w:sz w:val="21"/>
          <w:lang w:val="tr-TR"/>
        </w:rPr>
        <w:t xml:space="preserve">P. van Dijk </w:t>
      </w:r>
      <w:r w:rsidR="00410DF8" w:rsidRPr="001D47B8">
        <w:rPr>
          <w:color w:val="010101"/>
          <w:sz w:val="21"/>
          <w:lang w:val="tr-TR"/>
        </w:rPr>
        <w:t xml:space="preserve">bu görüşün hazırlanmasında raportör olarak çalışmıştır. </w:t>
      </w:r>
    </w:p>
    <w:p w14:paraId="41750754" w14:textId="77777777" w:rsidR="001B3C12" w:rsidRPr="001D47B8" w:rsidRDefault="001B3C12" w:rsidP="001C4B9F">
      <w:pPr>
        <w:pStyle w:val="GvdeMetni"/>
        <w:spacing w:before="8"/>
        <w:jc w:val="both"/>
        <w:rPr>
          <w:sz w:val="22"/>
          <w:lang w:val="tr-TR"/>
        </w:rPr>
      </w:pPr>
    </w:p>
    <w:p w14:paraId="7DC5B905" w14:textId="0F89855E" w:rsidR="001C4B9F" w:rsidRPr="0091305A" w:rsidRDefault="00F9191A" w:rsidP="00660B32">
      <w:pPr>
        <w:pStyle w:val="ListeParagraf"/>
        <w:numPr>
          <w:ilvl w:val="0"/>
          <w:numId w:val="10"/>
        </w:numPr>
        <w:tabs>
          <w:tab w:val="left" w:pos="669"/>
        </w:tabs>
        <w:spacing w:line="252" w:lineRule="auto"/>
        <w:ind w:left="127" w:right="322" w:firstLine="0"/>
        <w:jc w:val="both"/>
        <w:rPr>
          <w:sz w:val="21"/>
          <w:szCs w:val="21"/>
          <w:lang w:val="tr-TR"/>
        </w:rPr>
      </w:pPr>
      <w:r w:rsidRPr="0091305A">
        <w:rPr>
          <w:sz w:val="21"/>
          <w:szCs w:val="21"/>
          <w:lang w:val="tr-TR"/>
        </w:rPr>
        <w:t xml:space="preserve">Sağlık koşulları nedeniyle Türkiye’ye seyahat edilmesi mümkün olmamıştır. Bunun yerine, </w:t>
      </w:r>
      <w:r w:rsidR="00354A15" w:rsidRPr="0091305A">
        <w:rPr>
          <w:sz w:val="21"/>
          <w:szCs w:val="21"/>
          <w:lang w:val="tr-TR"/>
        </w:rPr>
        <w:t xml:space="preserve">Sekreterya çalışanları </w:t>
      </w:r>
      <w:r w:rsidR="00354A15" w:rsidRPr="0091305A">
        <w:rPr>
          <w:color w:val="010101"/>
          <w:sz w:val="21"/>
          <w:szCs w:val="21"/>
          <w:lang w:val="tr-TR"/>
        </w:rPr>
        <w:t>Silvia Grundmann, Pierre Garrone, Serguei Kouznetsov ve Sopio</w:t>
      </w:r>
      <w:r w:rsidR="00354A15" w:rsidRPr="0091305A">
        <w:rPr>
          <w:color w:val="010101"/>
          <w:spacing w:val="1"/>
          <w:sz w:val="21"/>
          <w:szCs w:val="21"/>
          <w:lang w:val="tr-TR"/>
        </w:rPr>
        <w:t xml:space="preserve"> </w:t>
      </w:r>
      <w:r w:rsidR="00354A15" w:rsidRPr="0091305A">
        <w:rPr>
          <w:color w:val="010101"/>
          <w:sz w:val="21"/>
          <w:szCs w:val="21"/>
          <w:lang w:val="tr-TR"/>
        </w:rPr>
        <w:t>Japaridze</w:t>
      </w:r>
      <w:r w:rsidR="00DC110D" w:rsidRPr="0091305A">
        <w:rPr>
          <w:color w:val="010101"/>
          <w:sz w:val="21"/>
          <w:szCs w:val="21"/>
          <w:lang w:val="tr-TR"/>
        </w:rPr>
        <w:t>’nin desteği ile raportörler</w:t>
      </w:r>
      <w:r w:rsidR="001C4B9F" w:rsidRPr="0091305A">
        <w:rPr>
          <w:color w:val="010101"/>
          <w:sz w:val="21"/>
          <w:szCs w:val="21"/>
          <w:lang w:val="tr-TR"/>
        </w:rPr>
        <w:t xml:space="preserve">, </w:t>
      </w:r>
      <w:r w:rsidR="003D7A7D" w:rsidRPr="0091305A">
        <w:rPr>
          <w:color w:val="010101"/>
          <w:sz w:val="21"/>
          <w:szCs w:val="21"/>
          <w:lang w:val="tr-TR"/>
        </w:rPr>
        <w:t xml:space="preserve">27, 29 Nisan ve 4, 5, 11 Mayıs 2021 tarihlerine bir dizi çevrimiçi toplantıda </w:t>
      </w:r>
      <w:r w:rsidR="00DD5A63" w:rsidRPr="0091305A">
        <w:rPr>
          <w:color w:val="010101"/>
          <w:sz w:val="21"/>
          <w:szCs w:val="21"/>
          <w:lang w:val="tr-TR"/>
        </w:rPr>
        <w:t xml:space="preserve">Adalet Bakanlığı, </w:t>
      </w:r>
      <w:r w:rsidR="001C4B9F" w:rsidRPr="0091305A">
        <w:rPr>
          <w:color w:val="010101"/>
          <w:sz w:val="21"/>
          <w:szCs w:val="21"/>
          <w:lang w:val="tr-TR"/>
        </w:rPr>
        <w:t>İçişleri Bakanlığı</w:t>
      </w:r>
      <w:r w:rsidR="00DD5A63" w:rsidRPr="0091305A">
        <w:rPr>
          <w:color w:val="010101"/>
          <w:sz w:val="21"/>
          <w:szCs w:val="21"/>
          <w:lang w:val="tr-TR"/>
        </w:rPr>
        <w:t xml:space="preserve">, Hazine ve Maliye Bakanlığı, </w:t>
      </w:r>
      <w:r w:rsidR="00EE30D6" w:rsidRPr="0091305A">
        <w:rPr>
          <w:color w:val="010101"/>
          <w:sz w:val="21"/>
          <w:szCs w:val="21"/>
          <w:lang w:val="tr-TR"/>
        </w:rPr>
        <w:t xml:space="preserve">Mali Suçları Araştırma Kurulu (bundan böyle MASAK olarak adlandırılacaktır) ve Türkiye Büyük Millet Meclisi </w:t>
      </w:r>
      <w:r w:rsidR="00D3726D" w:rsidRPr="0091305A">
        <w:rPr>
          <w:color w:val="010101"/>
          <w:sz w:val="21"/>
          <w:szCs w:val="21"/>
          <w:lang w:val="tr-TR"/>
        </w:rPr>
        <w:t>temsilcileri, sivil toplu</w:t>
      </w:r>
      <w:r w:rsidR="001E54D5" w:rsidRPr="0091305A">
        <w:rPr>
          <w:color w:val="010101"/>
          <w:sz w:val="21"/>
          <w:szCs w:val="21"/>
          <w:lang w:val="tr-TR"/>
        </w:rPr>
        <w:t>m</w:t>
      </w:r>
      <w:r w:rsidR="00D3726D" w:rsidRPr="0091305A">
        <w:rPr>
          <w:color w:val="010101"/>
          <w:sz w:val="21"/>
          <w:szCs w:val="21"/>
          <w:lang w:val="tr-TR"/>
        </w:rPr>
        <w:t xml:space="preserve"> örgütleri, barolar ve uluslararası topluluktan temsilciler ile </w:t>
      </w:r>
      <w:r w:rsidR="00FC65D3" w:rsidRPr="0091305A">
        <w:rPr>
          <w:color w:val="010101"/>
          <w:sz w:val="21"/>
          <w:szCs w:val="21"/>
          <w:lang w:val="tr-TR"/>
        </w:rPr>
        <w:t>bir araya gelmiştir</w:t>
      </w:r>
      <w:r w:rsidR="001C4B9F" w:rsidRPr="0091305A">
        <w:rPr>
          <w:color w:val="010101"/>
          <w:sz w:val="21"/>
          <w:szCs w:val="21"/>
          <w:lang w:val="tr-TR"/>
        </w:rPr>
        <w:t xml:space="preserve">. </w:t>
      </w:r>
      <w:r w:rsidR="00833F32" w:rsidRPr="0091305A">
        <w:rPr>
          <w:color w:val="010101"/>
          <w:sz w:val="21"/>
          <w:szCs w:val="21"/>
          <w:lang w:val="tr-TR"/>
        </w:rPr>
        <w:t xml:space="preserve">Venedik Komisyonu, </w:t>
      </w:r>
      <w:r w:rsidR="00133FCD" w:rsidRPr="0091305A">
        <w:rPr>
          <w:color w:val="010101"/>
          <w:sz w:val="21"/>
          <w:szCs w:val="21"/>
          <w:lang w:val="tr-TR"/>
        </w:rPr>
        <w:t xml:space="preserve">Avrupa Konseyi nezdinde </w:t>
      </w:r>
      <w:r w:rsidR="00833F32" w:rsidRPr="0091305A">
        <w:rPr>
          <w:color w:val="010101"/>
          <w:sz w:val="21"/>
          <w:szCs w:val="21"/>
          <w:lang w:val="tr-TR"/>
        </w:rPr>
        <w:t>Türkiye Daimi Temsilciliği</w:t>
      </w:r>
      <w:r w:rsidR="0002781C" w:rsidRPr="0091305A">
        <w:rPr>
          <w:color w:val="010101"/>
          <w:sz w:val="21"/>
          <w:szCs w:val="21"/>
          <w:lang w:val="tr-TR"/>
        </w:rPr>
        <w:t>ne</w:t>
      </w:r>
      <w:r w:rsidR="00833F32" w:rsidRPr="0091305A">
        <w:rPr>
          <w:color w:val="010101"/>
          <w:sz w:val="21"/>
          <w:szCs w:val="21"/>
          <w:lang w:val="tr-TR"/>
        </w:rPr>
        <w:t xml:space="preserve"> ve </w:t>
      </w:r>
      <w:r w:rsidR="001C22FA" w:rsidRPr="0091305A">
        <w:rPr>
          <w:sz w:val="21"/>
          <w:szCs w:val="21"/>
          <w:lang w:val="tr-TR"/>
        </w:rPr>
        <w:t>Avrupa Konseyi Parlamenter Meclisi</w:t>
      </w:r>
      <w:r w:rsidR="0002781C" w:rsidRPr="0091305A">
        <w:rPr>
          <w:color w:val="010101"/>
          <w:sz w:val="21"/>
          <w:szCs w:val="21"/>
          <w:lang w:val="tr-TR"/>
        </w:rPr>
        <w:t xml:space="preserve"> nezdinde Türk Delegasyonunun Sekreterliğine bu toplantıların düzenlenmesi</w:t>
      </w:r>
      <w:r w:rsidR="000C49BE" w:rsidRPr="0091305A">
        <w:rPr>
          <w:color w:val="010101"/>
          <w:sz w:val="21"/>
          <w:szCs w:val="21"/>
          <w:lang w:val="tr-TR"/>
        </w:rPr>
        <w:t>ndeki yardımlarından</w:t>
      </w:r>
      <w:r w:rsidR="0002781C" w:rsidRPr="0091305A">
        <w:rPr>
          <w:color w:val="010101"/>
          <w:sz w:val="21"/>
          <w:szCs w:val="21"/>
          <w:lang w:val="tr-TR"/>
        </w:rPr>
        <w:t xml:space="preserve"> ötürü minnettardır. </w:t>
      </w:r>
      <w:r w:rsidR="003D7A7D">
        <w:rPr>
          <w:color w:val="010101"/>
          <w:sz w:val="21"/>
          <w:szCs w:val="21"/>
          <w:lang w:val="tr-TR"/>
        </w:rPr>
        <w:t xml:space="preserve"> </w:t>
      </w:r>
    </w:p>
    <w:p w14:paraId="3B6501FE" w14:textId="77777777" w:rsidR="001B3C12" w:rsidRPr="001D47B8" w:rsidRDefault="001B3C12" w:rsidP="001C4B9F">
      <w:pPr>
        <w:pStyle w:val="GvdeMetni"/>
        <w:spacing w:before="10"/>
        <w:jc w:val="both"/>
        <w:rPr>
          <w:lang w:val="tr-TR"/>
        </w:rPr>
      </w:pPr>
    </w:p>
    <w:p w14:paraId="4AD0D6C2" w14:textId="5E548664" w:rsidR="00373820" w:rsidRPr="001D47B8" w:rsidRDefault="00373820" w:rsidP="001C4B9F">
      <w:pPr>
        <w:pStyle w:val="ListeParagraf"/>
        <w:numPr>
          <w:ilvl w:val="0"/>
          <w:numId w:val="10"/>
        </w:numPr>
        <w:tabs>
          <w:tab w:val="left" w:pos="671"/>
        </w:tabs>
        <w:spacing w:before="1" w:line="252" w:lineRule="auto"/>
        <w:ind w:left="124" w:right="327" w:firstLine="0"/>
        <w:jc w:val="both"/>
        <w:rPr>
          <w:sz w:val="21"/>
          <w:lang w:val="tr-TR"/>
        </w:rPr>
      </w:pPr>
      <w:r w:rsidRPr="001D47B8">
        <w:rPr>
          <w:color w:val="010101"/>
          <w:sz w:val="21"/>
          <w:lang w:val="tr-TR"/>
        </w:rPr>
        <w:t>Bu görüş</w:t>
      </w:r>
      <w:r w:rsidR="00A15C37" w:rsidRPr="001D47B8">
        <w:rPr>
          <w:color w:val="010101"/>
          <w:sz w:val="21"/>
          <w:lang w:val="tr-TR"/>
        </w:rPr>
        <w:t xml:space="preserve">, kanunun Türk makamlarınca sunulan İngilizce </w:t>
      </w:r>
      <w:r w:rsidR="00EC5805" w:rsidRPr="001D47B8">
        <w:rPr>
          <w:color w:val="010101"/>
          <w:sz w:val="21"/>
          <w:lang w:val="tr-TR"/>
        </w:rPr>
        <w:t>tercümesine</w:t>
      </w:r>
      <w:r w:rsidR="00042CD6" w:rsidRPr="001D47B8">
        <w:rPr>
          <w:color w:val="010101"/>
          <w:sz w:val="21"/>
          <w:lang w:val="tr-TR"/>
        </w:rPr>
        <w:t xml:space="preserve"> dayalı olarak hazırlanmıştır. </w:t>
      </w:r>
      <w:r w:rsidR="00EC5805" w:rsidRPr="001D47B8">
        <w:rPr>
          <w:color w:val="010101"/>
          <w:sz w:val="21"/>
          <w:lang w:val="tr-TR"/>
        </w:rPr>
        <w:t>Tercüme</w:t>
      </w:r>
      <w:r w:rsidR="00CD0EBA" w:rsidRPr="001D47B8">
        <w:rPr>
          <w:color w:val="010101"/>
          <w:sz w:val="21"/>
          <w:lang w:val="tr-TR"/>
        </w:rPr>
        <w:t xml:space="preserve">, orijinal belgede yer alan tüm hususları her zaman doğru olarak yansıtmayabilir; dolayısıyla tercüme </w:t>
      </w:r>
      <w:r w:rsidR="00D65F8E" w:rsidRPr="001D47B8">
        <w:rPr>
          <w:color w:val="010101"/>
          <w:sz w:val="21"/>
          <w:lang w:val="tr-TR"/>
        </w:rPr>
        <w:t xml:space="preserve">sorunu nedeniyle bazı meseleler gündeme gelebilir. </w:t>
      </w:r>
    </w:p>
    <w:p w14:paraId="7F0EECED" w14:textId="77777777" w:rsidR="001B3C12" w:rsidRPr="001D47B8" w:rsidRDefault="001B3C12" w:rsidP="001C4B9F">
      <w:pPr>
        <w:pStyle w:val="GvdeMetni"/>
        <w:jc w:val="both"/>
        <w:rPr>
          <w:sz w:val="22"/>
          <w:lang w:val="tr-TR"/>
        </w:rPr>
      </w:pPr>
    </w:p>
    <w:p w14:paraId="56C1E9C5" w14:textId="316CDD2C" w:rsidR="008B387B" w:rsidRPr="001D47B8" w:rsidRDefault="008B387B" w:rsidP="001C4B9F">
      <w:pPr>
        <w:pStyle w:val="ListeParagraf"/>
        <w:numPr>
          <w:ilvl w:val="0"/>
          <w:numId w:val="10"/>
        </w:numPr>
        <w:tabs>
          <w:tab w:val="left" w:pos="671"/>
        </w:tabs>
        <w:spacing w:line="252" w:lineRule="auto"/>
        <w:ind w:left="125" w:right="314" w:firstLine="2"/>
        <w:jc w:val="both"/>
        <w:rPr>
          <w:sz w:val="21"/>
          <w:lang w:val="tr-TR"/>
        </w:rPr>
      </w:pPr>
      <w:r w:rsidRPr="001D47B8">
        <w:rPr>
          <w:sz w:val="21"/>
          <w:lang w:val="tr-TR"/>
        </w:rPr>
        <w:t>Bu görüş, raportörlerin yorumları, sanal toplantılar</w:t>
      </w:r>
      <w:r w:rsidR="00AA0324" w:rsidRPr="001D47B8">
        <w:rPr>
          <w:sz w:val="21"/>
          <w:lang w:val="tr-TR"/>
        </w:rPr>
        <w:t xml:space="preserve">ın sonuçları ve paydaşlardan alınan yazılı bilgiler temelinde hazırlanmıştır. </w:t>
      </w:r>
      <w:r w:rsidR="008E703A" w:rsidRPr="001D47B8">
        <w:rPr>
          <w:sz w:val="21"/>
          <w:lang w:val="tr-TR"/>
        </w:rPr>
        <w:t>Görüş, m</w:t>
      </w:r>
      <w:r w:rsidR="00A10DBB" w:rsidRPr="001D47B8">
        <w:rPr>
          <w:sz w:val="21"/>
          <w:lang w:val="tr-TR"/>
        </w:rPr>
        <w:t>akamların temsilcileri ile yapılan görüş alışverişin</w:t>
      </w:r>
      <w:r w:rsidR="008E703A" w:rsidRPr="001D47B8">
        <w:rPr>
          <w:sz w:val="21"/>
          <w:lang w:val="tr-TR"/>
        </w:rPr>
        <w:t>i takiben, Venedik Komisyonunun 127. Genel Oturumunda</w:t>
      </w:r>
      <w:r w:rsidR="002C2E51" w:rsidRPr="001D47B8">
        <w:rPr>
          <w:sz w:val="21"/>
          <w:lang w:val="tr-TR"/>
        </w:rPr>
        <w:t xml:space="preserve"> kabul edilmiştir (Oturum Venedik’te ve çevrimiçi olarak düzenlenmiştir, 2-3 Temmuz 2021). </w:t>
      </w:r>
    </w:p>
    <w:p w14:paraId="61FF7A07" w14:textId="77777777" w:rsidR="008B387B" w:rsidRPr="001D47B8" w:rsidRDefault="008B387B" w:rsidP="008B387B">
      <w:pPr>
        <w:pStyle w:val="ListeParagraf"/>
        <w:tabs>
          <w:tab w:val="left" w:pos="671"/>
        </w:tabs>
        <w:spacing w:line="252" w:lineRule="auto"/>
        <w:ind w:left="127" w:right="314" w:firstLine="0"/>
        <w:rPr>
          <w:color w:val="010101"/>
          <w:sz w:val="21"/>
          <w:lang w:val="tr-TR"/>
        </w:rPr>
      </w:pPr>
    </w:p>
    <w:p w14:paraId="5AADBFEF" w14:textId="0EA4A587" w:rsidR="001B3C12" w:rsidRPr="001D47B8" w:rsidRDefault="00817B23" w:rsidP="001C4B9F">
      <w:pPr>
        <w:pStyle w:val="Balk1"/>
        <w:numPr>
          <w:ilvl w:val="1"/>
          <w:numId w:val="11"/>
        </w:numPr>
        <w:tabs>
          <w:tab w:val="left" w:pos="842"/>
        </w:tabs>
        <w:ind w:left="841" w:hanging="360"/>
        <w:jc w:val="both"/>
        <w:rPr>
          <w:lang w:val="tr-TR"/>
        </w:rPr>
      </w:pPr>
      <w:bookmarkStart w:id="3" w:name="_TOC_250012"/>
      <w:bookmarkEnd w:id="3"/>
      <w:r w:rsidRPr="001D47B8">
        <w:rPr>
          <w:color w:val="010101"/>
          <w:lang w:val="tr-TR"/>
        </w:rPr>
        <w:t>Arka</w:t>
      </w:r>
      <w:r w:rsidR="008B387B" w:rsidRPr="001D47B8">
        <w:rPr>
          <w:color w:val="010101"/>
          <w:lang w:val="tr-TR"/>
        </w:rPr>
        <w:t xml:space="preserve"> </w:t>
      </w:r>
      <w:r w:rsidRPr="001D47B8">
        <w:rPr>
          <w:color w:val="010101"/>
          <w:lang w:val="tr-TR"/>
        </w:rPr>
        <w:t>plan</w:t>
      </w:r>
    </w:p>
    <w:p w14:paraId="56A91AA0" w14:textId="77777777" w:rsidR="001B3C12" w:rsidRPr="001D47B8" w:rsidRDefault="001B3C12" w:rsidP="001C4B9F">
      <w:pPr>
        <w:pStyle w:val="GvdeMetni"/>
        <w:spacing w:before="8"/>
        <w:jc w:val="both"/>
        <w:rPr>
          <w:b/>
          <w:sz w:val="22"/>
          <w:lang w:val="tr-TR"/>
        </w:rPr>
      </w:pPr>
    </w:p>
    <w:p w14:paraId="3C10ED38" w14:textId="5DCEF10F" w:rsidR="00537367" w:rsidRPr="001D47B8" w:rsidRDefault="00537367" w:rsidP="001C4B9F">
      <w:pPr>
        <w:pStyle w:val="ListeParagraf"/>
        <w:numPr>
          <w:ilvl w:val="0"/>
          <w:numId w:val="10"/>
        </w:numPr>
        <w:tabs>
          <w:tab w:val="left" w:pos="668"/>
        </w:tabs>
        <w:spacing w:line="252" w:lineRule="auto"/>
        <w:ind w:left="124" w:right="325" w:firstLine="4"/>
        <w:jc w:val="both"/>
        <w:rPr>
          <w:sz w:val="21"/>
          <w:lang w:val="tr-TR"/>
        </w:rPr>
      </w:pPr>
      <w:r w:rsidRPr="001D47B8">
        <w:rPr>
          <w:sz w:val="21"/>
          <w:lang w:val="tr-TR"/>
        </w:rPr>
        <w:t>Örgütlenme özgürlüğü</w:t>
      </w:r>
      <w:r w:rsidR="00225C52" w:rsidRPr="001D47B8">
        <w:rPr>
          <w:sz w:val="21"/>
          <w:lang w:val="tr-TR"/>
        </w:rPr>
        <w:t xml:space="preserve">, demokrasilerin işlemesi için elzem olan temel insan haklarından biridir. </w:t>
      </w:r>
      <w:r w:rsidR="00CE6119">
        <w:rPr>
          <w:sz w:val="21"/>
          <w:lang w:val="tr-TR"/>
        </w:rPr>
        <w:t>Derneklerin, ö</w:t>
      </w:r>
      <w:r w:rsidR="006778A9" w:rsidRPr="001D47B8">
        <w:rPr>
          <w:sz w:val="21"/>
          <w:lang w:val="tr-TR"/>
        </w:rPr>
        <w:t>rgütlenme özgürlüğünün doğal bir parçası olarak</w:t>
      </w:r>
      <w:r w:rsidR="00CE6119">
        <w:rPr>
          <w:sz w:val="21"/>
          <w:lang w:val="tr-TR"/>
        </w:rPr>
        <w:t xml:space="preserve"> </w:t>
      </w:r>
      <w:r w:rsidR="006778A9" w:rsidRPr="001D47B8">
        <w:rPr>
          <w:sz w:val="21"/>
          <w:lang w:val="tr-TR"/>
        </w:rPr>
        <w:t xml:space="preserve">kaynak arama hakkı mutlak </w:t>
      </w:r>
      <w:r w:rsidR="004211A3" w:rsidRPr="001D47B8">
        <w:rPr>
          <w:sz w:val="21"/>
          <w:lang w:val="tr-TR"/>
        </w:rPr>
        <w:t>bir hak olmamakla birlikte</w:t>
      </w:r>
      <w:r w:rsidR="006778A9" w:rsidRPr="001D47B8">
        <w:rPr>
          <w:sz w:val="21"/>
          <w:lang w:val="tr-TR"/>
        </w:rPr>
        <w:t xml:space="preserve"> nitelikli bir haktır. </w:t>
      </w:r>
      <w:r w:rsidR="002A5326" w:rsidRPr="001D47B8">
        <w:rPr>
          <w:sz w:val="21"/>
          <w:lang w:val="tr-TR"/>
        </w:rPr>
        <w:t>Çok sayıda ülke sivil toplum örgütlerinin mali kaynakları ile ilgili düzenleyici çerçeve</w:t>
      </w:r>
      <w:r w:rsidR="00ED263B" w:rsidRPr="001D47B8">
        <w:rPr>
          <w:sz w:val="21"/>
          <w:lang w:val="tr-TR"/>
        </w:rPr>
        <w:t>yi arttırmıştır.</w:t>
      </w:r>
      <w:r w:rsidR="00837570" w:rsidRPr="001D47B8">
        <w:rPr>
          <w:rStyle w:val="DipnotBavurusu"/>
          <w:sz w:val="21"/>
          <w:lang w:val="tr-TR"/>
        </w:rPr>
        <w:footnoteReference w:id="4"/>
      </w:r>
      <w:r w:rsidR="00ED263B" w:rsidRPr="001D47B8">
        <w:rPr>
          <w:sz w:val="21"/>
          <w:lang w:val="tr-TR"/>
        </w:rPr>
        <w:t xml:space="preserve"> Bu tür tedbirler alınmasının nedenlerinden biri de</w:t>
      </w:r>
      <w:r w:rsidR="00837570" w:rsidRPr="001D47B8">
        <w:rPr>
          <w:sz w:val="21"/>
          <w:lang w:val="tr-TR"/>
        </w:rPr>
        <w:t>,</w:t>
      </w:r>
      <w:r w:rsidR="00ED263B" w:rsidRPr="001D47B8">
        <w:rPr>
          <w:sz w:val="21"/>
          <w:lang w:val="tr-TR"/>
        </w:rPr>
        <w:t xml:space="preserve"> kara para aklama ve terörizmin finansmanın</w:t>
      </w:r>
      <w:r w:rsidR="009C1D47" w:rsidRPr="001D47B8">
        <w:rPr>
          <w:sz w:val="21"/>
          <w:lang w:val="tr-TR"/>
        </w:rPr>
        <w:t xml:space="preserve">a karşı </w:t>
      </w:r>
      <w:r w:rsidR="00617CE6">
        <w:rPr>
          <w:sz w:val="21"/>
          <w:lang w:val="tr-TR"/>
        </w:rPr>
        <w:t xml:space="preserve">sürdürülen </w:t>
      </w:r>
      <w:r w:rsidR="009C1D47" w:rsidRPr="001D47B8">
        <w:rPr>
          <w:sz w:val="21"/>
          <w:lang w:val="tr-TR"/>
        </w:rPr>
        <w:t xml:space="preserve">mücadeledir. </w:t>
      </w:r>
    </w:p>
    <w:p w14:paraId="144DF73B" w14:textId="77777777" w:rsidR="00537367" w:rsidRPr="001D47B8" w:rsidRDefault="00537367" w:rsidP="00537367">
      <w:pPr>
        <w:pStyle w:val="ListeParagraf"/>
        <w:tabs>
          <w:tab w:val="left" w:pos="668"/>
        </w:tabs>
        <w:spacing w:line="252" w:lineRule="auto"/>
        <w:ind w:left="128" w:right="325" w:firstLine="0"/>
        <w:rPr>
          <w:color w:val="010101"/>
          <w:sz w:val="21"/>
          <w:lang w:val="tr-TR"/>
        </w:rPr>
      </w:pPr>
    </w:p>
    <w:p w14:paraId="188519C8" w14:textId="4BF86B14" w:rsidR="00837570" w:rsidRPr="001D47B8" w:rsidRDefault="00837570" w:rsidP="001C4B9F">
      <w:pPr>
        <w:pStyle w:val="ListeParagraf"/>
        <w:numPr>
          <w:ilvl w:val="0"/>
          <w:numId w:val="10"/>
        </w:numPr>
        <w:tabs>
          <w:tab w:val="left" w:pos="671"/>
        </w:tabs>
        <w:spacing w:line="252" w:lineRule="auto"/>
        <w:ind w:right="323" w:firstLine="3"/>
        <w:jc w:val="both"/>
        <w:rPr>
          <w:sz w:val="21"/>
          <w:lang w:val="tr-TR"/>
        </w:rPr>
      </w:pPr>
      <w:r w:rsidRPr="001D47B8">
        <w:rPr>
          <w:color w:val="010101"/>
          <w:sz w:val="21"/>
          <w:lang w:val="tr-TR"/>
        </w:rPr>
        <w:t>Venedik Komisyonu</w:t>
      </w:r>
      <w:r w:rsidR="00DD430C" w:rsidRPr="001D47B8">
        <w:rPr>
          <w:color w:val="010101"/>
          <w:sz w:val="21"/>
          <w:lang w:val="tr-TR"/>
        </w:rPr>
        <w:t xml:space="preserve">, Türkiye’nin terörizm </w:t>
      </w:r>
      <w:r w:rsidR="008827FF" w:rsidRPr="001D47B8">
        <w:rPr>
          <w:color w:val="010101"/>
          <w:sz w:val="21"/>
          <w:lang w:val="tr-TR"/>
        </w:rPr>
        <w:t xml:space="preserve">nedeniyle karşı karşıya olduğu zorlukların farkındadır. </w:t>
      </w:r>
      <w:r w:rsidR="00D74FF4" w:rsidRPr="001D47B8">
        <w:rPr>
          <w:color w:val="010101"/>
          <w:sz w:val="21"/>
          <w:lang w:val="tr-TR"/>
        </w:rPr>
        <w:t>Bununla birlikte, t</w:t>
      </w:r>
      <w:r w:rsidR="008827FF" w:rsidRPr="001D47B8">
        <w:rPr>
          <w:color w:val="010101"/>
          <w:sz w:val="21"/>
          <w:lang w:val="tr-TR"/>
        </w:rPr>
        <w:t>erörizm ile mücadele</w:t>
      </w:r>
      <w:r w:rsidR="00D74FF4" w:rsidRPr="001D47B8">
        <w:rPr>
          <w:color w:val="010101"/>
          <w:sz w:val="21"/>
          <w:lang w:val="tr-TR"/>
        </w:rPr>
        <w:t xml:space="preserve"> etmek için alınan tedbirler, “demokratik b</w:t>
      </w:r>
      <w:r w:rsidR="007910C5" w:rsidRPr="001D47B8">
        <w:rPr>
          <w:color w:val="010101"/>
          <w:sz w:val="21"/>
          <w:lang w:val="tr-TR"/>
        </w:rPr>
        <w:t>i</w:t>
      </w:r>
      <w:r w:rsidR="00D74FF4" w:rsidRPr="001D47B8">
        <w:rPr>
          <w:color w:val="010101"/>
          <w:sz w:val="21"/>
          <w:lang w:val="tr-TR"/>
        </w:rPr>
        <w:t>r toplumda gerekli” ve insan hakları yükümlülükleri</w:t>
      </w:r>
      <w:r w:rsidR="00973C77">
        <w:rPr>
          <w:color w:val="010101"/>
          <w:sz w:val="21"/>
          <w:lang w:val="tr-TR"/>
        </w:rPr>
        <w:t>ne</w:t>
      </w:r>
      <w:r w:rsidR="00D74FF4" w:rsidRPr="001D47B8">
        <w:rPr>
          <w:color w:val="010101"/>
          <w:sz w:val="21"/>
          <w:lang w:val="tr-TR"/>
        </w:rPr>
        <w:t xml:space="preserve"> ve Hukukun Üstünlüğü</w:t>
      </w:r>
      <w:r w:rsidR="007910C5" w:rsidRPr="001D47B8">
        <w:rPr>
          <w:color w:val="010101"/>
          <w:sz w:val="21"/>
          <w:lang w:val="tr-TR"/>
        </w:rPr>
        <w:t>ne uygun olmalıdır. Venedik Komisyonu</w:t>
      </w:r>
      <w:r w:rsidR="00DE657A" w:rsidRPr="001D47B8">
        <w:rPr>
          <w:color w:val="010101"/>
          <w:sz w:val="21"/>
          <w:lang w:val="tr-TR"/>
        </w:rPr>
        <w:t>,</w:t>
      </w:r>
      <w:r w:rsidR="007910C5" w:rsidRPr="001D47B8">
        <w:rPr>
          <w:color w:val="010101"/>
          <w:sz w:val="21"/>
          <w:lang w:val="tr-TR"/>
        </w:rPr>
        <w:t xml:space="preserve"> </w:t>
      </w:r>
      <w:r w:rsidR="00D702B0" w:rsidRPr="001D47B8">
        <w:rPr>
          <w:color w:val="010101"/>
          <w:sz w:val="21"/>
          <w:lang w:val="tr-TR"/>
        </w:rPr>
        <w:t xml:space="preserve">Türkiye’de </w:t>
      </w:r>
      <w:r w:rsidR="00D96551" w:rsidRPr="001D47B8">
        <w:rPr>
          <w:color w:val="010101"/>
          <w:sz w:val="21"/>
          <w:lang w:val="tr-TR"/>
        </w:rPr>
        <w:t xml:space="preserve">Temmuz 2016 tarihli başarısız darbe girişimi sonrasında </w:t>
      </w:r>
      <w:r w:rsidR="00805E76" w:rsidRPr="001D47B8">
        <w:rPr>
          <w:color w:val="010101"/>
          <w:sz w:val="21"/>
          <w:lang w:val="tr-TR"/>
        </w:rPr>
        <w:t>terörle mücade</w:t>
      </w:r>
      <w:r w:rsidR="00DE657A" w:rsidRPr="001D47B8">
        <w:rPr>
          <w:color w:val="010101"/>
          <w:sz w:val="21"/>
          <w:lang w:val="tr-TR"/>
        </w:rPr>
        <w:t xml:space="preserve">le kanunlarının sık ve geniş kapsamlı </w:t>
      </w:r>
      <w:r w:rsidR="00222034" w:rsidRPr="001D47B8">
        <w:rPr>
          <w:color w:val="010101"/>
          <w:sz w:val="21"/>
          <w:lang w:val="tr-TR"/>
        </w:rPr>
        <w:t>olarak kullanılmasının</w:t>
      </w:r>
      <w:r w:rsidR="002B6AA3" w:rsidRPr="001D47B8">
        <w:rPr>
          <w:color w:val="010101"/>
          <w:sz w:val="21"/>
          <w:lang w:val="tr-TR"/>
        </w:rPr>
        <w:t xml:space="preserve"> sivil toplum üzerinde ciddi </w:t>
      </w:r>
      <w:r w:rsidR="001F003C" w:rsidRPr="001D47B8">
        <w:rPr>
          <w:color w:val="010101"/>
          <w:sz w:val="21"/>
          <w:lang w:val="tr-TR"/>
        </w:rPr>
        <w:t>etkileri olduğunu endişe ile gözlemlemektedir.</w:t>
      </w:r>
      <w:r w:rsidR="00222034" w:rsidRPr="001D47B8">
        <w:rPr>
          <w:rStyle w:val="DipnotBavurusu"/>
          <w:color w:val="010101"/>
          <w:sz w:val="21"/>
          <w:lang w:val="tr-TR"/>
        </w:rPr>
        <w:footnoteReference w:id="5"/>
      </w:r>
      <w:r w:rsidR="001F003C" w:rsidRPr="001D47B8">
        <w:rPr>
          <w:color w:val="010101"/>
          <w:sz w:val="21"/>
          <w:lang w:val="tr-TR"/>
        </w:rPr>
        <w:t xml:space="preserve"> </w:t>
      </w:r>
    </w:p>
    <w:p w14:paraId="7B46790E" w14:textId="77777777" w:rsidR="00837570" w:rsidRPr="001D47B8" w:rsidRDefault="00837570" w:rsidP="00837570">
      <w:pPr>
        <w:pStyle w:val="ListeParagraf"/>
        <w:tabs>
          <w:tab w:val="left" w:pos="671"/>
        </w:tabs>
        <w:spacing w:line="252" w:lineRule="auto"/>
        <w:ind w:left="126" w:right="323" w:firstLine="0"/>
        <w:rPr>
          <w:color w:val="010101"/>
          <w:sz w:val="21"/>
          <w:lang w:val="tr-TR"/>
        </w:rPr>
      </w:pPr>
    </w:p>
    <w:p w14:paraId="59C96752" w14:textId="720561EE" w:rsidR="001B3C12" w:rsidRPr="001D47B8" w:rsidRDefault="001B3C12" w:rsidP="001C4B9F">
      <w:pPr>
        <w:pStyle w:val="GvdeMetni"/>
        <w:spacing w:before="10"/>
        <w:jc w:val="both"/>
        <w:rPr>
          <w:lang w:val="tr-TR"/>
        </w:rPr>
      </w:pPr>
    </w:p>
    <w:p w14:paraId="7F01FECE" w14:textId="6F4A8067" w:rsidR="001B3C12" w:rsidRPr="001D47B8" w:rsidRDefault="00C77180" w:rsidP="001C4B9F">
      <w:pPr>
        <w:pStyle w:val="Balk2"/>
        <w:spacing w:before="92" w:line="252" w:lineRule="auto"/>
        <w:ind w:left="844" w:right="76" w:hanging="357"/>
        <w:jc w:val="both"/>
        <w:rPr>
          <w:lang w:val="tr-TR"/>
        </w:rPr>
      </w:pPr>
      <w:bookmarkStart w:id="4" w:name="_TOC_250011"/>
      <w:r w:rsidRPr="001D47B8">
        <w:rPr>
          <w:color w:val="010101"/>
          <w:lang w:val="tr-TR"/>
        </w:rPr>
        <w:lastRenderedPageBreak/>
        <w:t>A.</w:t>
      </w:r>
      <w:r w:rsidRPr="001D47B8">
        <w:rPr>
          <w:color w:val="010101"/>
          <w:spacing w:val="1"/>
          <w:lang w:val="tr-TR"/>
        </w:rPr>
        <w:t xml:space="preserve"> </w:t>
      </w:r>
      <w:r w:rsidR="00E0403B" w:rsidRPr="001D47B8">
        <w:rPr>
          <w:color w:val="010101"/>
          <w:spacing w:val="1"/>
          <w:lang w:val="tr-TR"/>
        </w:rPr>
        <w:t xml:space="preserve">Kitle imha silahlarının yayılmasının finansmanının önlenmesi ve durdurulması </w:t>
      </w:r>
      <w:r w:rsidR="00E0403B" w:rsidRPr="001D47B8">
        <w:rPr>
          <w:color w:val="010101"/>
          <w:spacing w:val="1"/>
          <w:lang w:val="tr-TR"/>
        </w:rPr>
        <w:tab/>
      </w:r>
      <w:bookmarkEnd w:id="4"/>
    </w:p>
    <w:p w14:paraId="0A992352" w14:textId="77777777" w:rsidR="001B3C12" w:rsidRPr="001D47B8" w:rsidRDefault="001B3C12" w:rsidP="001C4B9F">
      <w:pPr>
        <w:pStyle w:val="GvdeMetni"/>
        <w:spacing w:before="11"/>
        <w:jc w:val="both"/>
        <w:rPr>
          <w:b/>
          <w:lang w:val="tr-TR"/>
        </w:rPr>
      </w:pPr>
    </w:p>
    <w:p w14:paraId="78F10101" w14:textId="51F244C0" w:rsidR="00A21547" w:rsidRPr="001D47B8" w:rsidRDefault="0090350E" w:rsidP="00413B11">
      <w:pPr>
        <w:pStyle w:val="ListeParagraf"/>
        <w:numPr>
          <w:ilvl w:val="0"/>
          <w:numId w:val="10"/>
        </w:numPr>
        <w:tabs>
          <w:tab w:val="left" w:pos="838"/>
        </w:tabs>
        <w:spacing w:line="252" w:lineRule="auto"/>
        <w:ind w:left="219" w:right="326" w:firstLine="0"/>
        <w:jc w:val="both"/>
        <w:rPr>
          <w:color w:val="010101"/>
          <w:sz w:val="21"/>
          <w:lang w:val="tr-TR"/>
        </w:rPr>
      </w:pPr>
      <w:r w:rsidRPr="001D47B8">
        <w:rPr>
          <w:sz w:val="21"/>
          <w:lang w:val="tr-TR"/>
        </w:rPr>
        <w:t>Terörle mücadele yollarından biri de</w:t>
      </w:r>
      <w:r w:rsidR="00524A34">
        <w:rPr>
          <w:sz w:val="21"/>
          <w:lang w:val="tr-TR"/>
        </w:rPr>
        <w:t xml:space="preserve"> terörizmin</w:t>
      </w:r>
      <w:r w:rsidRPr="001D47B8">
        <w:rPr>
          <w:sz w:val="21"/>
          <w:lang w:val="tr-TR"/>
        </w:rPr>
        <w:t xml:space="preserve"> finansmanını önlemek ve durdurmaktır. </w:t>
      </w:r>
      <w:r w:rsidR="00D60F11" w:rsidRPr="001D47B8">
        <w:rPr>
          <w:sz w:val="21"/>
          <w:lang w:val="tr-TR"/>
        </w:rPr>
        <w:t xml:space="preserve">Terörizmin finansmanını bir suç olarak </w:t>
      </w:r>
      <w:r w:rsidR="006277F6" w:rsidRPr="001D47B8">
        <w:rPr>
          <w:sz w:val="21"/>
          <w:lang w:val="tr-TR"/>
        </w:rPr>
        <w:t xml:space="preserve">nitelendiren </w:t>
      </w:r>
      <w:r w:rsidR="00D60F11" w:rsidRPr="001D47B8">
        <w:rPr>
          <w:sz w:val="21"/>
          <w:lang w:val="tr-TR"/>
        </w:rPr>
        <w:t xml:space="preserve">1999 tarihli </w:t>
      </w:r>
      <w:r w:rsidR="00D75705" w:rsidRPr="001D47B8">
        <w:rPr>
          <w:color w:val="010101"/>
          <w:sz w:val="21"/>
          <w:lang w:val="tr-TR"/>
        </w:rPr>
        <w:t>Terörizmin Finansmanının Önlenmesine Dair Uluslararası Sözleşme</w:t>
      </w:r>
      <w:r w:rsidR="00D60F11" w:rsidRPr="001D47B8">
        <w:rPr>
          <w:color w:val="010101"/>
          <w:sz w:val="21"/>
          <w:lang w:val="tr-TR"/>
        </w:rPr>
        <w:t xml:space="preserve"> </w:t>
      </w:r>
      <w:r w:rsidR="006277F6" w:rsidRPr="001D47B8">
        <w:rPr>
          <w:color w:val="010101"/>
          <w:sz w:val="21"/>
          <w:lang w:val="tr-TR"/>
        </w:rPr>
        <w:t xml:space="preserve">ile terörizmin </w:t>
      </w:r>
      <w:r w:rsidR="006277F6" w:rsidRPr="001D47B8">
        <w:rPr>
          <w:sz w:val="21"/>
          <w:lang w:val="tr-TR"/>
        </w:rPr>
        <w:t>finansmanını önlenmesine yönelik çabalar düzenlenmiştir. Türkiye bu S</w:t>
      </w:r>
      <w:r w:rsidR="005B1E67" w:rsidRPr="001D47B8">
        <w:rPr>
          <w:sz w:val="21"/>
          <w:lang w:val="tr-TR"/>
        </w:rPr>
        <w:t>özleşmeye taraftır ve dolayısıyla terörizmin finansmanını önle</w:t>
      </w:r>
      <w:r w:rsidR="00773D1F" w:rsidRPr="001D47B8">
        <w:rPr>
          <w:sz w:val="21"/>
          <w:lang w:val="tr-TR"/>
        </w:rPr>
        <w:t>mek</w:t>
      </w:r>
      <w:r w:rsidR="005B1E67" w:rsidRPr="001D47B8">
        <w:rPr>
          <w:sz w:val="21"/>
          <w:lang w:val="tr-TR"/>
        </w:rPr>
        <w:t xml:space="preserve"> ve durdur</w:t>
      </w:r>
      <w:r w:rsidR="00773D1F" w:rsidRPr="001D47B8">
        <w:rPr>
          <w:sz w:val="21"/>
          <w:lang w:val="tr-TR"/>
        </w:rPr>
        <w:t xml:space="preserve">mak </w:t>
      </w:r>
      <w:r w:rsidR="00DA026D">
        <w:rPr>
          <w:sz w:val="21"/>
          <w:lang w:val="tr-TR"/>
        </w:rPr>
        <w:t>için</w:t>
      </w:r>
      <w:r w:rsidR="005B1E67" w:rsidRPr="001D47B8">
        <w:rPr>
          <w:sz w:val="21"/>
          <w:lang w:val="tr-TR"/>
        </w:rPr>
        <w:t xml:space="preserve"> uluslararası </w:t>
      </w:r>
      <w:r w:rsidR="00773D1F" w:rsidRPr="001D47B8">
        <w:rPr>
          <w:sz w:val="21"/>
          <w:lang w:val="tr-TR"/>
        </w:rPr>
        <w:t>düzeyde yükümlü</w:t>
      </w:r>
      <w:r w:rsidR="00DA026D">
        <w:rPr>
          <w:sz w:val="21"/>
          <w:lang w:val="tr-TR"/>
        </w:rPr>
        <w:t>lüğü vardır</w:t>
      </w:r>
      <w:r w:rsidR="00773D1F" w:rsidRPr="001D47B8">
        <w:rPr>
          <w:sz w:val="21"/>
          <w:lang w:val="tr-TR"/>
        </w:rPr>
        <w:t>.</w:t>
      </w:r>
      <w:r w:rsidR="009033D6" w:rsidRPr="001D47B8">
        <w:rPr>
          <w:rStyle w:val="DipnotBavurusu"/>
          <w:sz w:val="21"/>
          <w:lang w:val="tr-TR"/>
        </w:rPr>
        <w:footnoteReference w:id="6"/>
      </w:r>
      <w:r w:rsidR="00773D1F" w:rsidRPr="001D47B8">
        <w:rPr>
          <w:sz w:val="21"/>
          <w:lang w:val="tr-TR"/>
        </w:rPr>
        <w:t xml:space="preserve"> </w:t>
      </w:r>
      <w:r w:rsidR="00A77C29" w:rsidRPr="001D47B8">
        <w:rPr>
          <w:sz w:val="21"/>
          <w:lang w:val="tr-TR"/>
        </w:rPr>
        <w:t>Bununla birlikte Türkiye</w:t>
      </w:r>
      <w:r w:rsidR="00C36B01" w:rsidRPr="001D47B8">
        <w:rPr>
          <w:sz w:val="21"/>
          <w:lang w:val="tr-TR"/>
        </w:rPr>
        <w:t>,</w:t>
      </w:r>
      <w:r w:rsidR="00A77C29" w:rsidRPr="001D47B8">
        <w:rPr>
          <w:sz w:val="21"/>
          <w:lang w:val="tr-TR"/>
        </w:rPr>
        <w:t xml:space="preserve"> bu yükümlülüğü yerine getirirken insan hakları hukuku </w:t>
      </w:r>
      <w:r w:rsidR="00C36B01" w:rsidRPr="001D47B8">
        <w:rPr>
          <w:sz w:val="21"/>
          <w:lang w:val="tr-TR"/>
        </w:rPr>
        <w:t>dâhil,</w:t>
      </w:r>
      <w:r w:rsidR="00A77C29" w:rsidRPr="001D47B8">
        <w:rPr>
          <w:sz w:val="21"/>
          <w:lang w:val="tr-TR"/>
        </w:rPr>
        <w:t xml:space="preserve"> </w:t>
      </w:r>
      <w:r w:rsidR="0098292E" w:rsidRPr="001D47B8">
        <w:rPr>
          <w:sz w:val="21"/>
          <w:lang w:val="tr-TR"/>
        </w:rPr>
        <w:t xml:space="preserve">uluslararası hukuktan kaynaklanan diğer yükümlülüklerine </w:t>
      </w:r>
      <w:r w:rsidR="00C36B01" w:rsidRPr="001D47B8">
        <w:rPr>
          <w:sz w:val="21"/>
          <w:lang w:val="tr-TR"/>
        </w:rPr>
        <w:t xml:space="preserve">de aynı zamanda </w:t>
      </w:r>
      <w:r w:rsidR="0098292E" w:rsidRPr="001D47B8">
        <w:rPr>
          <w:sz w:val="21"/>
          <w:lang w:val="tr-TR"/>
        </w:rPr>
        <w:t xml:space="preserve">uymak zorundadır. </w:t>
      </w:r>
      <w:r w:rsidR="006257EF" w:rsidRPr="001D47B8">
        <w:rPr>
          <w:sz w:val="21"/>
          <w:lang w:val="tr-TR"/>
        </w:rPr>
        <w:t xml:space="preserve">Bu yükümlülüğün bir anlamı da, </w:t>
      </w:r>
      <w:r w:rsidR="00BF296D" w:rsidRPr="001D47B8">
        <w:rPr>
          <w:sz w:val="21"/>
          <w:lang w:val="tr-TR"/>
        </w:rPr>
        <w:t>insan haklarında kısıtlama yapıl</w:t>
      </w:r>
      <w:r w:rsidR="00D91995">
        <w:rPr>
          <w:sz w:val="21"/>
          <w:lang w:val="tr-TR"/>
        </w:rPr>
        <w:t xml:space="preserve">abilmesi için bazı </w:t>
      </w:r>
      <w:r w:rsidR="00E635F9" w:rsidRPr="001D47B8">
        <w:rPr>
          <w:sz w:val="21"/>
          <w:lang w:val="tr-TR"/>
        </w:rPr>
        <w:t xml:space="preserve">katı koşullara uyulması gerektiği ve </w:t>
      </w:r>
      <w:r w:rsidR="006A0328" w:rsidRPr="001D47B8">
        <w:rPr>
          <w:sz w:val="21"/>
          <w:lang w:val="tr-TR"/>
        </w:rPr>
        <w:t>terörizmin finansmanının önlenmesin</w:t>
      </w:r>
      <w:r w:rsidR="00427E6E" w:rsidRPr="001D47B8">
        <w:rPr>
          <w:sz w:val="21"/>
          <w:lang w:val="tr-TR"/>
        </w:rPr>
        <w:t>e ilişkin</w:t>
      </w:r>
      <w:r w:rsidR="006A0328" w:rsidRPr="001D47B8">
        <w:rPr>
          <w:sz w:val="21"/>
          <w:lang w:val="tr-TR"/>
        </w:rPr>
        <w:t xml:space="preserve"> amaçları</w:t>
      </w:r>
      <w:r w:rsidR="00427E6E" w:rsidRPr="001D47B8">
        <w:rPr>
          <w:sz w:val="21"/>
          <w:lang w:val="tr-TR"/>
        </w:rPr>
        <w:t>n</w:t>
      </w:r>
      <w:r w:rsidR="00D91995">
        <w:rPr>
          <w:sz w:val="21"/>
          <w:lang w:val="tr-TR"/>
        </w:rPr>
        <w:t>,</w:t>
      </w:r>
      <w:r w:rsidR="006A0328" w:rsidRPr="001D47B8">
        <w:rPr>
          <w:sz w:val="21"/>
          <w:lang w:val="tr-TR"/>
        </w:rPr>
        <w:t xml:space="preserve"> </w:t>
      </w:r>
      <w:r w:rsidR="00FB1D9E" w:rsidRPr="001D47B8">
        <w:rPr>
          <w:sz w:val="21"/>
          <w:lang w:val="tr-TR"/>
        </w:rPr>
        <w:t>diğer kamu yararı ve insan hakların</w:t>
      </w:r>
      <w:r w:rsidR="0053460D" w:rsidRPr="001D47B8">
        <w:rPr>
          <w:sz w:val="21"/>
          <w:lang w:val="tr-TR"/>
        </w:rPr>
        <w:t xml:space="preserve">a </w:t>
      </w:r>
      <w:r w:rsidR="001B7FBF" w:rsidRPr="001D47B8">
        <w:rPr>
          <w:sz w:val="21"/>
          <w:lang w:val="tr-TR"/>
        </w:rPr>
        <w:t xml:space="preserve">kıyasla </w:t>
      </w:r>
      <w:r w:rsidR="00CB696D" w:rsidRPr="001D47B8">
        <w:rPr>
          <w:sz w:val="21"/>
          <w:lang w:val="tr-TR"/>
        </w:rPr>
        <w:t xml:space="preserve">meşru, ölçülü ve dengeli olması gerektiğidir. </w:t>
      </w:r>
      <w:r w:rsidR="001B7FBF" w:rsidRPr="001D47B8">
        <w:rPr>
          <w:sz w:val="21"/>
          <w:lang w:val="tr-TR"/>
        </w:rPr>
        <w:t xml:space="preserve">BM </w:t>
      </w:r>
      <w:r w:rsidR="00461D61" w:rsidRPr="001D47B8">
        <w:rPr>
          <w:sz w:val="21"/>
          <w:lang w:val="tr-TR"/>
        </w:rPr>
        <w:t>Ü</w:t>
      </w:r>
      <w:r w:rsidR="001B7FBF" w:rsidRPr="001D47B8">
        <w:rPr>
          <w:sz w:val="21"/>
          <w:lang w:val="tr-TR"/>
        </w:rPr>
        <w:t>ye Devletlerini</w:t>
      </w:r>
      <w:r w:rsidR="00FA563B" w:rsidRPr="001D47B8">
        <w:rPr>
          <w:sz w:val="21"/>
          <w:lang w:val="tr-TR"/>
        </w:rPr>
        <w:t xml:space="preserve"> teröristlerin</w:t>
      </w:r>
      <w:r w:rsidR="00DC67D3" w:rsidRPr="001D47B8">
        <w:rPr>
          <w:sz w:val="21"/>
          <w:lang w:val="tr-TR"/>
        </w:rPr>
        <w:t xml:space="preserve"> ve faa</w:t>
      </w:r>
      <w:r w:rsidR="00461D61" w:rsidRPr="001D47B8">
        <w:rPr>
          <w:sz w:val="21"/>
          <w:lang w:val="tr-TR"/>
        </w:rPr>
        <w:t>liyetlerinin</w:t>
      </w:r>
      <w:r w:rsidR="00FA563B" w:rsidRPr="001D47B8">
        <w:rPr>
          <w:sz w:val="21"/>
          <w:lang w:val="tr-TR"/>
        </w:rPr>
        <w:t xml:space="preserve"> finansmanı</w:t>
      </w:r>
      <w:r w:rsidR="00461D61" w:rsidRPr="001D47B8">
        <w:rPr>
          <w:sz w:val="21"/>
          <w:lang w:val="tr-TR"/>
        </w:rPr>
        <w:t>nı</w:t>
      </w:r>
      <w:r w:rsidR="009227F0" w:rsidRPr="001D47B8">
        <w:rPr>
          <w:sz w:val="21"/>
          <w:lang w:val="tr-TR"/>
        </w:rPr>
        <w:t xml:space="preserve"> suç saymaya ve bununla</w:t>
      </w:r>
      <w:r w:rsidR="00FA563B" w:rsidRPr="001D47B8">
        <w:rPr>
          <w:sz w:val="21"/>
          <w:lang w:val="tr-TR"/>
        </w:rPr>
        <w:t xml:space="preserve"> mücadele etmeye </w:t>
      </w:r>
      <w:r w:rsidR="00DC67D3" w:rsidRPr="001D47B8">
        <w:rPr>
          <w:sz w:val="21"/>
          <w:lang w:val="tr-TR"/>
        </w:rPr>
        <w:t xml:space="preserve">teşvik eden </w:t>
      </w:r>
      <w:r w:rsidR="00DC67D3" w:rsidRPr="001D47B8">
        <w:rPr>
          <w:color w:val="010101"/>
          <w:sz w:val="21"/>
          <w:lang w:val="tr-TR"/>
        </w:rPr>
        <w:t>2462 (2019) sayılı BM Güvenlik Konseyi Kararı</w:t>
      </w:r>
      <w:r w:rsidR="00006631" w:rsidRPr="001D47B8">
        <w:rPr>
          <w:rStyle w:val="DipnotBavurusu"/>
          <w:color w:val="010101"/>
          <w:sz w:val="21"/>
          <w:lang w:val="tr-TR"/>
        </w:rPr>
        <w:footnoteReference w:id="7"/>
      </w:r>
      <w:r w:rsidR="00DC67D3" w:rsidRPr="001D47B8">
        <w:rPr>
          <w:color w:val="010101"/>
          <w:sz w:val="21"/>
          <w:lang w:val="tr-TR"/>
        </w:rPr>
        <w:t xml:space="preserve"> </w:t>
      </w:r>
      <w:r w:rsidR="00DA2480" w:rsidRPr="001D47B8">
        <w:rPr>
          <w:sz w:val="21"/>
          <w:lang w:val="tr-TR"/>
        </w:rPr>
        <w:t>uyarınca</w:t>
      </w:r>
      <w:r w:rsidR="00006631" w:rsidRPr="001D47B8">
        <w:rPr>
          <w:sz w:val="21"/>
          <w:lang w:val="tr-TR"/>
        </w:rPr>
        <w:t>,</w:t>
      </w:r>
      <w:r w:rsidR="009227F0" w:rsidRPr="001D47B8">
        <w:rPr>
          <w:sz w:val="21"/>
          <w:lang w:val="tr-TR"/>
        </w:rPr>
        <w:t xml:space="preserve"> </w:t>
      </w:r>
      <w:r w:rsidR="00DA2480" w:rsidRPr="001D47B8">
        <w:rPr>
          <w:sz w:val="21"/>
          <w:lang w:val="tr-TR"/>
        </w:rPr>
        <w:t xml:space="preserve">Üye Devletler </w:t>
      </w:r>
      <w:r w:rsidR="00FB2803" w:rsidRPr="001D47B8">
        <w:rPr>
          <w:sz w:val="21"/>
          <w:lang w:val="tr-TR"/>
        </w:rPr>
        <w:t>“</w:t>
      </w:r>
      <w:r w:rsidR="001C269A" w:rsidRPr="001D47B8">
        <w:rPr>
          <w:sz w:val="21"/>
          <w:lang w:val="tr-TR"/>
        </w:rPr>
        <w:t xml:space="preserve">(…) </w:t>
      </w:r>
      <w:r w:rsidR="00FB2803" w:rsidRPr="001D47B8">
        <w:rPr>
          <w:sz w:val="21"/>
          <w:lang w:val="tr-TR"/>
        </w:rPr>
        <w:t>terörizmin finansmanı</w:t>
      </w:r>
      <w:r w:rsidR="00CA0E33">
        <w:rPr>
          <w:sz w:val="21"/>
          <w:lang w:val="tr-TR"/>
        </w:rPr>
        <w:t>na karşı</w:t>
      </w:r>
      <w:r w:rsidR="00FB2803" w:rsidRPr="001D47B8">
        <w:rPr>
          <w:sz w:val="21"/>
          <w:lang w:val="tr-TR"/>
        </w:rPr>
        <w:t xml:space="preserve"> </w:t>
      </w:r>
      <w:r w:rsidR="00865BB3" w:rsidRPr="001D47B8">
        <w:rPr>
          <w:sz w:val="21"/>
          <w:lang w:val="tr-TR"/>
        </w:rPr>
        <w:t xml:space="preserve">alınan </w:t>
      </w:r>
      <w:r w:rsidR="00FB2803" w:rsidRPr="001D47B8">
        <w:rPr>
          <w:sz w:val="21"/>
          <w:lang w:val="tr-TR"/>
        </w:rPr>
        <w:t xml:space="preserve">tedbirler </w:t>
      </w:r>
      <w:r w:rsidR="004C7C79" w:rsidRPr="001D47B8">
        <w:rPr>
          <w:sz w:val="21"/>
          <w:lang w:val="tr-TR"/>
        </w:rPr>
        <w:t>dâhil</w:t>
      </w:r>
      <w:r w:rsidR="00DA2480" w:rsidRPr="001D47B8">
        <w:rPr>
          <w:sz w:val="21"/>
          <w:lang w:val="tr-TR"/>
        </w:rPr>
        <w:t xml:space="preserve"> olmak üzere</w:t>
      </w:r>
      <w:r w:rsidR="00FB2803" w:rsidRPr="001D47B8">
        <w:rPr>
          <w:sz w:val="21"/>
          <w:lang w:val="tr-TR"/>
        </w:rPr>
        <w:t xml:space="preserve"> terörizmle mücadele</w:t>
      </w:r>
      <w:r w:rsidR="00DA2480" w:rsidRPr="001D47B8">
        <w:rPr>
          <w:sz w:val="21"/>
          <w:lang w:val="tr-TR"/>
        </w:rPr>
        <w:t>de</w:t>
      </w:r>
      <w:r w:rsidR="00FB2803" w:rsidRPr="001D47B8">
        <w:rPr>
          <w:sz w:val="21"/>
          <w:lang w:val="tr-TR"/>
        </w:rPr>
        <w:t xml:space="preserve"> alınan tüm tedbirlerin</w:t>
      </w:r>
      <w:r w:rsidR="00DA2480" w:rsidRPr="001D47B8">
        <w:rPr>
          <w:sz w:val="21"/>
          <w:lang w:val="tr-TR"/>
        </w:rPr>
        <w:t xml:space="preserve">, </w:t>
      </w:r>
      <w:r w:rsidR="001618ED" w:rsidRPr="001D47B8">
        <w:rPr>
          <w:sz w:val="21"/>
          <w:lang w:val="tr-TR"/>
        </w:rPr>
        <w:t>uluslararası hukuk, uluslararası insan hakları hukuku ve uluslararası mülteci hukuku</w:t>
      </w:r>
      <w:r w:rsidR="00884B01" w:rsidRPr="001D47B8">
        <w:rPr>
          <w:sz w:val="21"/>
          <w:lang w:val="tr-TR"/>
        </w:rPr>
        <w:t xml:space="preserve">ndan doğan yükümlülükleri ile uyumlu olmasını </w:t>
      </w:r>
      <w:r w:rsidR="00865BB3" w:rsidRPr="001D47B8">
        <w:rPr>
          <w:sz w:val="21"/>
          <w:lang w:val="tr-TR"/>
        </w:rPr>
        <w:t>sağlamakla</w:t>
      </w:r>
      <w:r w:rsidR="00586B85" w:rsidRPr="001D47B8">
        <w:rPr>
          <w:sz w:val="21"/>
          <w:lang w:val="tr-TR"/>
        </w:rPr>
        <w:t>” yükümlüdür.</w:t>
      </w:r>
    </w:p>
    <w:p w14:paraId="1E6B2488" w14:textId="77777777" w:rsidR="00D60F11" w:rsidRPr="001D47B8" w:rsidRDefault="00D60F11" w:rsidP="00D60F11">
      <w:pPr>
        <w:tabs>
          <w:tab w:val="left" w:pos="838"/>
        </w:tabs>
        <w:spacing w:line="252" w:lineRule="auto"/>
        <w:ind w:right="326"/>
        <w:jc w:val="both"/>
        <w:rPr>
          <w:color w:val="010101"/>
          <w:sz w:val="21"/>
          <w:lang w:val="tr-TR"/>
        </w:rPr>
      </w:pPr>
    </w:p>
    <w:p w14:paraId="26482C53" w14:textId="77777777" w:rsidR="001B3C12" w:rsidRPr="001D47B8" w:rsidRDefault="001B3C12" w:rsidP="001C4B9F">
      <w:pPr>
        <w:pStyle w:val="GvdeMetni"/>
        <w:spacing w:before="1"/>
        <w:jc w:val="both"/>
        <w:rPr>
          <w:sz w:val="28"/>
          <w:lang w:val="tr-TR"/>
        </w:rPr>
      </w:pPr>
    </w:p>
    <w:p w14:paraId="39D9434B" w14:textId="71B9CD54" w:rsidR="001B3C12" w:rsidRPr="001D47B8" w:rsidRDefault="002E7D8A" w:rsidP="001C4B9F">
      <w:pPr>
        <w:pStyle w:val="Balk2"/>
        <w:numPr>
          <w:ilvl w:val="0"/>
          <w:numId w:val="9"/>
        </w:numPr>
        <w:tabs>
          <w:tab w:val="left" w:pos="849"/>
        </w:tabs>
        <w:spacing w:line="252" w:lineRule="auto"/>
        <w:ind w:right="1075"/>
        <w:jc w:val="both"/>
        <w:rPr>
          <w:lang w:val="tr-TR"/>
        </w:rPr>
      </w:pPr>
      <w:bookmarkStart w:id="5" w:name="_TOC_250010"/>
      <w:r w:rsidRPr="001D47B8">
        <w:rPr>
          <w:color w:val="010101"/>
          <w:spacing w:val="14"/>
          <w:lang w:val="tr-TR"/>
        </w:rPr>
        <w:t xml:space="preserve">Mali Eylem Görev Gücünün (FATF) Türkiye hakkında </w:t>
      </w:r>
      <w:r w:rsidR="009E4453" w:rsidRPr="001D47B8">
        <w:rPr>
          <w:color w:val="010101"/>
          <w:spacing w:val="14"/>
          <w:lang w:val="tr-TR"/>
        </w:rPr>
        <w:t xml:space="preserve">2019 tarihli </w:t>
      </w:r>
      <w:r w:rsidRPr="001D47B8">
        <w:rPr>
          <w:color w:val="010101"/>
          <w:spacing w:val="14"/>
          <w:lang w:val="tr-TR"/>
        </w:rPr>
        <w:t xml:space="preserve">karşılıklı değerlendirme raporu ve tavsiyeleri </w:t>
      </w:r>
      <w:bookmarkEnd w:id="5"/>
    </w:p>
    <w:p w14:paraId="5EF77799" w14:textId="77777777" w:rsidR="001B3C12" w:rsidRPr="001D47B8" w:rsidRDefault="001B3C12" w:rsidP="001C4B9F">
      <w:pPr>
        <w:pStyle w:val="GvdeMetni"/>
        <w:jc w:val="both"/>
        <w:rPr>
          <w:b/>
          <w:sz w:val="24"/>
          <w:lang w:val="tr-TR"/>
        </w:rPr>
      </w:pPr>
    </w:p>
    <w:p w14:paraId="10C2586D" w14:textId="18292CC0" w:rsidR="00E87FEB" w:rsidRPr="001D47B8" w:rsidRDefault="00865BB3" w:rsidP="001C4B9F">
      <w:pPr>
        <w:pStyle w:val="ListeParagraf"/>
        <w:numPr>
          <w:ilvl w:val="0"/>
          <w:numId w:val="10"/>
        </w:numPr>
        <w:tabs>
          <w:tab w:val="left" w:pos="671"/>
        </w:tabs>
        <w:spacing w:line="252" w:lineRule="auto"/>
        <w:ind w:right="323" w:firstLine="4"/>
        <w:jc w:val="both"/>
        <w:rPr>
          <w:sz w:val="21"/>
          <w:lang w:val="tr-TR"/>
        </w:rPr>
      </w:pPr>
      <w:r w:rsidRPr="001D47B8">
        <w:rPr>
          <w:color w:val="010101"/>
          <w:w w:val="105"/>
          <w:sz w:val="21"/>
          <w:lang w:val="tr-TR"/>
        </w:rPr>
        <w:t xml:space="preserve">Türkiye 1991 </w:t>
      </w:r>
      <w:r w:rsidR="00BA1483" w:rsidRPr="001D47B8">
        <w:rPr>
          <w:color w:val="010101"/>
          <w:w w:val="105"/>
          <w:sz w:val="21"/>
          <w:lang w:val="tr-TR"/>
        </w:rPr>
        <w:t>yılından</w:t>
      </w:r>
      <w:r w:rsidRPr="001D47B8">
        <w:rPr>
          <w:color w:val="010101"/>
          <w:w w:val="105"/>
          <w:sz w:val="21"/>
          <w:lang w:val="tr-TR"/>
        </w:rPr>
        <w:t xml:space="preserve"> itibar</w:t>
      </w:r>
      <w:r w:rsidR="00BA1483" w:rsidRPr="001D47B8">
        <w:rPr>
          <w:color w:val="010101"/>
          <w:w w:val="105"/>
          <w:sz w:val="21"/>
          <w:lang w:val="tr-TR"/>
        </w:rPr>
        <w:t>en</w:t>
      </w:r>
      <w:r w:rsidRPr="001D47B8">
        <w:rPr>
          <w:color w:val="010101"/>
          <w:w w:val="105"/>
          <w:sz w:val="21"/>
          <w:lang w:val="tr-TR"/>
        </w:rPr>
        <w:t xml:space="preserve"> FATF üyesidir. </w:t>
      </w:r>
      <w:r w:rsidR="00E87FEB" w:rsidRPr="001D47B8">
        <w:rPr>
          <w:color w:val="010101"/>
          <w:w w:val="105"/>
          <w:sz w:val="21"/>
          <w:lang w:val="tr-TR"/>
        </w:rPr>
        <w:t>FATF</w:t>
      </w:r>
      <w:r w:rsidR="00BA1483" w:rsidRPr="001D47B8">
        <w:rPr>
          <w:color w:val="010101"/>
          <w:w w:val="105"/>
          <w:sz w:val="21"/>
          <w:lang w:val="tr-TR"/>
        </w:rPr>
        <w:t>,</w:t>
      </w:r>
      <w:r w:rsidR="00E87FEB" w:rsidRPr="001D47B8">
        <w:rPr>
          <w:color w:val="010101"/>
          <w:w w:val="105"/>
          <w:sz w:val="21"/>
          <w:lang w:val="tr-TR"/>
        </w:rPr>
        <w:t xml:space="preserve"> </w:t>
      </w:r>
      <w:r w:rsidR="00BA1483" w:rsidRPr="001D47B8">
        <w:rPr>
          <w:color w:val="010101"/>
          <w:w w:val="105"/>
          <w:sz w:val="21"/>
          <w:lang w:val="tr-TR"/>
        </w:rPr>
        <w:t xml:space="preserve">kara para aklama, terörizmin finansmanı ve kitle imha silahlarının yayılmasının finansmanı ile mücadele etmek için ülkelerin uygulaması gereken kapsamlı ve tutarlı tedbirlerden oluşan 40 </w:t>
      </w:r>
      <w:r w:rsidR="00FA1830">
        <w:rPr>
          <w:color w:val="010101"/>
          <w:w w:val="105"/>
          <w:sz w:val="21"/>
          <w:lang w:val="tr-TR"/>
        </w:rPr>
        <w:t xml:space="preserve">adet </w:t>
      </w:r>
      <w:r w:rsidR="00BA1483" w:rsidRPr="001D47B8">
        <w:rPr>
          <w:color w:val="010101"/>
          <w:w w:val="105"/>
          <w:sz w:val="21"/>
          <w:lang w:val="tr-TR"/>
        </w:rPr>
        <w:t>tavsiye geliştirmiştir.</w:t>
      </w:r>
      <w:r w:rsidR="00BA1483" w:rsidRPr="001D47B8">
        <w:rPr>
          <w:rStyle w:val="DipnotBavurusu"/>
          <w:color w:val="010101"/>
          <w:w w:val="105"/>
          <w:sz w:val="21"/>
          <w:lang w:val="tr-TR"/>
        </w:rPr>
        <w:footnoteReference w:id="8"/>
      </w:r>
      <w:r w:rsidR="00BA1483" w:rsidRPr="001D47B8">
        <w:rPr>
          <w:color w:val="010101"/>
          <w:w w:val="105"/>
          <w:sz w:val="21"/>
          <w:lang w:val="tr-TR"/>
        </w:rPr>
        <w:t xml:space="preserve"> </w:t>
      </w:r>
      <w:r w:rsidR="00112588" w:rsidRPr="001D47B8">
        <w:rPr>
          <w:color w:val="010101"/>
          <w:w w:val="105"/>
          <w:sz w:val="21"/>
          <w:lang w:val="tr-TR"/>
        </w:rPr>
        <w:t xml:space="preserve">FATF, Tavsiyelerinin uygulama düzeyini değerlendirmek için düzenli olarak üye ülkelere yönelik karşılıklı değerlendirmeler yaparak, mali sistemin istismar edilmesini önlemek için </w:t>
      </w:r>
      <w:r w:rsidR="006614EA" w:rsidRPr="001D47B8">
        <w:rPr>
          <w:color w:val="010101"/>
          <w:w w:val="105"/>
          <w:sz w:val="21"/>
          <w:lang w:val="tr-TR"/>
        </w:rPr>
        <w:t xml:space="preserve">her ülkenin </w:t>
      </w:r>
      <w:r w:rsidR="00112588" w:rsidRPr="001D47B8">
        <w:rPr>
          <w:color w:val="010101"/>
          <w:w w:val="105"/>
          <w:sz w:val="21"/>
          <w:lang w:val="tr-TR"/>
        </w:rPr>
        <w:t xml:space="preserve">kullandığı sistem hakkında derinlemesine bir açıklama ve analiz sunar ve karşılıklı değerlendirmenin ana bileşenleri olarak etkinlik ve teknik uygunluk üzerinde durur. </w:t>
      </w:r>
    </w:p>
    <w:p w14:paraId="0DB23C66" w14:textId="77777777" w:rsidR="00E87FEB" w:rsidRPr="001D47B8" w:rsidRDefault="00E87FEB" w:rsidP="00E87FEB">
      <w:pPr>
        <w:pStyle w:val="ListeParagraf"/>
        <w:tabs>
          <w:tab w:val="left" w:pos="671"/>
        </w:tabs>
        <w:spacing w:line="252" w:lineRule="auto"/>
        <w:ind w:left="127" w:right="323" w:firstLine="0"/>
        <w:rPr>
          <w:color w:val="010101"/>
          <w:w w:val="105"/>
          <w:sz w:val="21"/>
          <w:lang w:val="tr-TR"/>
        </w:rPr>
      </w:pPr>
    </w:p>
    <w:p w14:paraId="57B8C243" w14:textId="77777777" w:rsidR="001B3C12" w:rsidRPr="001D47B8" w:rsidRDefault="001B3C12" w:rsidP="001C4B9F">
      <w:pPr>
        <w:pStyle w:val="GvdeMetni"/>
        <w:spacing w:before="9"/>
        <w:jc w:val="both"/>
        <w:rPr>
          <w:lang w:val="tr-TR"/>
        </w:rPr>
      </w:pPr>
    </w:p>
    <w:p w14:paraId="71800D32" w14:textId="56208FF3" w:rsidR="00357AF9" w:rsidRPr="001D47B8" w:rsidRDefault="00357AF9" w:rsidP="001C4B9F">
      <w:pPr>
        <w:pStyle w:val="ListeParagraf"/>
        <w:numPr>
          <w:ilvl w:val="0"/>
          <w:numId w:val="10"/>
        </w:numPr>
        <w:tabs>
          <w:tab w:val="left" w:pos="670"/>
        </w:tabs>
        <w:spacing w:before="1" w:line="247" w:lineRule="auto"/>
        <w:ind w:left="124" w:right="331" w:hanging="1"/>
        <w:jc w:val="both"/>
        <w:rPr>
          <w:sz w:val="21"/>
          <w:lang w:val="tr-TR"/>
        </w:rPr>
      </w:pPr>
      <w:r w:rsidRPr="001D47B8">
        <w:rPr>
          <w:color w:val="010101"/>
          <w:w w:val="105"/>
          <w:sz w:val="21"/>
          <w:lang w:val="tr-TR"/>
        </w:rPr>
        <w:t>Aralık 2019’da Türkiye hakkında karşılıklı değerlendirme raporu yayınlan</w:t>
      </w:r>
      <w:r w:rsidR="00121F41">
        <w:rPr>
          <w:color w:val="010101"/>
          <w:w w:val="105"/>
          <w:sz w:val="21"/>
          <w:lang w:val="tr-TR"/>
        </w:rPr>
        <w:t>mıştır</w:t>
      </w:r>
      <w:r w:rsidR="00E43090">
        <w:rPr>
          <w:color w:val="010101"/>
          <w:w w:val="105"/>
          <w:sz w:val="21"/>
          <w:lang w:val="tr-TR"/>
        </w:rPr>
        <w:t>.</w:t>
      </w:r>
      <w:r w:rsidRPr="001D47B8">
        <w:rPr>
          <w:rStyle w:val="DipnotBavurusu"/>
          <w:color w:val="010101"/>
          <w:w w:val="105"/>
          <w:sz w:val="21"/>
          <w:lang w:val="tr-TR"/>
        </w:rPr>
        <w:footnoteReference w:id="9"/>
      </w:r>
      <w:r w:rsidR="003079B9" w:rsidRPr="001D47B8">
        <w:rPr>
          <w:color w:val="010101"/>
          <w:w w:val="105"/>
          <w:sz w:val="21"/>
          <w:lang w:val="tr-TR"/>
        </w:rPr>
        <w:t xml:space="preserve"> Türkiye’nin kara para aklama (bundan böyle KPA olarak adlandırılacaktır)/terörizmin finansmanı ile mücadele (Bundan böyle TFM olarak adlandırılacaktır) sisteminin etkinliği ve </w:t>
      </w:r>
      <w:r w:rsidR="002C0F2C" w:rsidRPr="001D47B8">
        <w:rPr>
          <w:color w:val="010101"/>
          <w:w w:val="105"/>
          <w:sz w:val="21"/>
          <w:lang w:val="tr-TR"/>
        </w:rPr>
        <w:t>FATF’n</w:t>
      </w:r>
      <w:r w:rsidR="00121F41">
        <w:rPr>
          <w:color w:val="010101"/>
          <w:w w:val="105"/>
          <w:sz w:val="21"/>
          <w:lang w:val="tr-TR"/>
        </w:rPr>
        <w:t>i</w:t>
      </w:r>
      <w:r w:rsidR="002C0F2C" w:rsidRPr="001D47B8">
        <w:rPr>
          <w:color w:val="010101"/>
          <w:w w:val="105"/>
          <w:sz w:val="21"/>
          <w:lang w:val="tr-TR"/>
        </w:rPr>
        <w:t>n 40 Tavsiyesine uygunluk düzeyi analiz edilen raporda</w:t>
      </w:r>
      <w:r w:rsidR="00E43090">
        <w:rPr>
          <w:color w:val="010101"/>
          <w:w w:val="105"/>
          <w:sz w:val="21"/>
          <w:lang w:val="tr-TR"/>
        </w:rPr>
        <w:t>,</w:t>
      </w:r>
      <w:r w:rsidR="002C0F2C" w:rsidRPr="001D47B8">
        <w:rPr>
          <w:color w:val="010101"/>
          <w:w w:val="105"/>
          <w:sz w:val="21"/>
          <w:lang w:val="tr-TR"/>
        </w:rPr>
        <w:t xml:space="preserve"> Türkiye’nin KPA/TFM sisteminin nasıl kuvvetlendirilebileceğine dair tavsiyeler </w:t>
      </w:r>
      <w:r w:rsidR="00016E59">
        <w:rPr>
          <w:color w:val="010101"/>
          <w:w w:val="105"/>
          <w:sz w:val="21"/>
          <w:lang w:val="tr-TR"/>
        </w:rPr>
        <w:t>yer almaktadır</w:t>
      </w:r>
      <w:r w:rsidR="002C0F2C" w:rsidRPr="001D47B8">
        <w:rPr>
          <w:color w:val="010101"/>
          <w:w w:val="105"/>
          <w:sz w:val="21"/>
          <w:lang w:val="tr-TR"/>
        </w:rPr>
        <w:t xml:space="preserve">. </w:t>
      </w:r>
    </w:p>
    <w:p w14:paraId="3212C104" w14:textId="2BD8E8D2" w:rsidR="002C0F2C" w:rsidRPr="001D47B8" w:rsidRDefault="002C0F2C" w:rsidP="002C0F2C">
      <w:pPr>
        <w:pStyle w:val="ListeParagraf"/>
        <w:tabs>
          <w:tab w:val="left" w:pos="670"/>
        </w:tabs>
        <w:spacing w:before="1" w:line="247" w:lineRule="auto"/>
        <w:ind w:left="124" w:right="331" w:firstLine="0"/>
        <w:jc w:val="right"/>
        <w:rPr>
          <w:color w:val="010101"/>
          <w:w w:val="105"/>
          <w:sz w:val="21"/>
          <w:lang w:val="tr-TR"/>
        </w:rPr>
      </w:pPr>
    </w:p>
    <w:p w14:paraId="3B687EC8" w14:textId="32D484DD" w:rsidR="002C0F2C" w:rsidRPr="001D47B8" w:rsidRDefault="002C0F2C" w:rsidP="002C0F2C">
      <w:pPr>
        <w:pStyle w:val="ListeParagraf"/>
        <w:tabs>
          <w:tab w:val="left" w:pos="670"/>
        </w:tabs>
        <w:spacing w:before="1" w:line="247" w:lineRule="auto"/>
        <w:ind w:left="124" w:right="331" w:firstLine="0"/>
        <w:jc w:val="right"/>
        <w:rPr>
          <w:color w:val="010101"/>
          <w:w w:val="105"/>
          <w:sz w:val="21"/>
          <w:lang w:val="tr-TR"/>
        </w:rPr>
      </w:pPr>
    </w:p>
    <w:p w14:paraId="1DF9F3B2" w14:textId="1906AC3D" w:rsidR="002C0F2C" w:rsidRPr="001D47B8" w:rsidRDefault="002C0F2C" w:rsidP="002C0F2C">
      <w:pPr>
        <w:pStyle w:val="ListeParagraf"/>
        <w:tabs>
          <w:tab w:val="left" w:pos="670"/>
        </w:tabs>
        <w:spacing w:before="1" w:line="247" w:lineRule="auto"/>
        <w:ind w:left="124" w:right="331" w:firstLine="0"/>
        <w:jc w:val="right"/>
        <w:rPr>
          <w:color w:val="010101"/>
          <w:w w:val="105"/>
          <w:sz w:val="21"/>
          <w:lang w:val="tr-TR"/>
        </w:rPr>
      </w:pPr>
    </w:p>
    <w:p w14:paraId="300A58F5" w14:textId="18037CB5" w:rsidR="002C0F2C" w:rsidRPr="001D47B8" w:rsidRDefault="002C0F2C" w:rsidP="002C0F2C">
      <w:pPr>
        <w:pStyle w:val="ListeParagraf"/>
        <w:tabs>
          <w:tab w:val="left" w:pos="670"/>
        </w:tabs>
        <w:spacing w:before="1" w:line="247" w:lineRule="auto"/>
        <w:ind w:left="124" w:right="331" w:firstLine="0"/>
        <w:jc w:val="right"/>
        <w:rPr>
          <w:color w:val="010101"/>
          <w:w w:val="105"/>
          <w:sz w:val="21"/>
          <w:lang w:val="tr-TR"/>
        </w:rPr>
      </w:pPr>
    </w:p>
    <w:p w14:paraId="58D3ED17" w14:textId="553B742E" w:rsidR="002C0F2C" w:rsidRPr="001D47B8" w:rsidRDefault="002C0F2C" w:rsidP="002C0F2C">
      <w:pPr>
        <w:pStyle w:val="ListeParagraf"/>
        <w:tabs>
          <w:tab w:val="left" w:pos="670"/>
        </w:tabs>
        <w:spacing w:before="1" w:line="247" w:lineRule="auto"/>
        <w:ind w:left="124" w:right="331" w:firstLine="0"/>
        <w:jc w:val="right"/>
        <w:rPr>
          <w:color w:val="010101"/>
          <w:w w:val="105"/>
          <w:sz w:val="21"/>
          <w:lang w:val="tr-TR"/>
        </w:rPr>
      </w:pPr>
    </w:p>
    <w:p w14:paraId="64E4E6F8" w14:textId="3C7DA544" w:rsidR="002C0F2C" w:rsidRPr="001D47B8" w:rsidRDefault="002C0F2C" w:rsidP="002C0F2C">
      <w:pPr>
        <w:pStyle w:val="ListeParagraf"/>
        <w:tabs>
          <w:tab w:val="left" w:pos="670"/>
        </w:tabs>
        <w:spacing w:before="1" w:line="247" w:lineRule="auto"/>
        <w:ind w:left="124" w:right="331" w:firstLine="0"/>
        <w:jc w:val="right"/>
        <w:rPr>
          <w:color w:val="010101"/>
          <w:w w:val="105"/>
          <w:sz w:val="21"/>
          <w:lang w:val="tr-TR"/>
        </w:rPr>
      </w:pPr>
    </w:p>
    <w:p w14:paraId="3B39EE21" w14:textId="38714C51" w:rsidR="002C0F2C" w:rsidRPr="001D47B8" w:rsidRDefault="002C0F2C" w:rsidP="002C0F2C">
      <w:pPr>
        <w:pStyle w:val="ListeParagraf"/>
        <w:tabs>
          <w:tab w:val="left" w:pos="670"/>
        </w:tabs>
        <w:spacing w:before="1" w:line="247" w:lineRule="auto"/>
        <w:ind w:left="124" w:right="331" w:firstLine="0"/>
        <w:jc w:val="right"/>
        <w:rPr>
          <w:color w:val="010101"/>
          <w:w w:val="105"/>
          <w:sz w:val="21"/>
          <w:lang w:val="tr-TR"/>
        </w:rPr>
      </w:pPr>
    </w:p>
    <w:p w14:paraId="6D89A194" w14:textId="77777777" w:rsidR="002C0F2C" w:rsidRPr="001D47B8" w:rsidRDefault="002C0F2C" w:rsidP="002C0F2C">
      <w:pPr>
        <w:pStyle w:val="ListeParagraf"/>
        <w:tabs>
          <w:tab w:val="left" w:pos="670"/>
        </w:tabs>
        <w:spacing w:before="1" w:line="247" w:lineRule="auto"/>
        <w:ind w:left="124" w:right="331" w:firstLine="0"/>
        <w:jc w:val="right"/>
        <w:rPr>
          <w:sz w:val="21"/>
          <w:lang w:val="tr-TR"/>
        </w:rPr>
      </w:pPr>
    </w:p>
    <w:p w14:paraId="533F071B" w14:textId="77777777" w:rsidR="00357AF9" w:rsidRPr="001D47B8" w:rsidRDefault="00357AF9" w:rsidP="00357AF9">
      <w:pPr>
        <w:pStyle w:val="ListeParagraf"/>
        <w:tabs>
          <w:tab w:val="left" w:pos="670"/>
        </w:tabs>
        <w:spacing w:before="1" w:line="247" w:lineRule="auto"/>
        <w:ind w:left="124" w:right="331" w:firstLine="0"/>
        <w:jc w:val="right"/>
        <w:rPr>
          <w:color w:val="010101"/>
          <w:w w:val="105"/>
          <w:sz w:val="21"/>
          <w:lang w:val="tr-TR"/>
        </w:rPr>
      </w:pPr>
    </w:p>
    <w:p w14:paraId="095D1B03" w14:textId="1D56DB36" w:rsidR="00E11EEE" w:rsidRPr="001D47B8" w:rsidRDefault="002C0F2C" w:rsidP="002534D1">
      <w:pPr>
        <w:pStyle w:val="ListeParagraf"/>
        <w:numPr>
          <w:ilvl w:val="0"/>
          <w:numId w:val="10"/>
        </w:numPr>
        <w:tabs>
          <w:tab w:val="left" w:pos="671"/>
        </w:tabs>
        <w:spacing w:before="92" w:line="252" w:lineRule="auto"/>
        <w:ind w:left="128" w:right="331" w:firstLine="4"/>
        <w:jc w:val="left"/>
        <w:rPr>
          <w:sz w:val="21"/>
          <w:lang w:val="tr-TR"/>
        </w:rPr>
      </w:pPr>
      <w:r w:rsidRPr="001D47B8">
        <w:rPr>
          <w:color w:val="010101"/>
          <w:w w:val="105"/>
          <w:sz w:val="21"/>
          <w:lang w:val="tr-TR"/>
        </w:rPr>
        <w:t>Türkiye’nin, kar amacı gütmeyen kuruluşlar (bund</w:t>
      </w:r>
      <w:r w:rsidR="00E11EEE" w:rsidRPr="001D47B8">
        <w:rPr>
          <w:color w:val="010101"/>
          <w:w w:val="105"/>
          <w:sz w:val="21"/>
          <w:lang w:val="tr-TR"/>
        </w:rPr>
        <w:t>an</w:t>
      </w:r>
      <w:r w:rsidRPr="001D47B8">
        <w:rPr>
          <w:color w:val="010101"/>
          <w:w w:val="105"/>
          <w:sz w:val="21"/>
          <w:lang w:val="tr-TR"/>
        </w:rPr>
        <w:t xml:space="preserve"> böyle KAGK olarak adlandırılacaktır; </w:t>
      </w:r>
      <w:r w:rsidR="00165C03" w:rsidRPr="001D47B8">
        <w:rPr>
          <w:color w:val="010101"/>
          <w:w w:val="105"/>
          <w:sz w:val="21"/>
          <w:lang w:val="tr-TR"/>
        </w:rPr>
        <w:t xml:space="preserve">daha yaygın olan </w:t>
      </w:r>
      <w:r w:rsidR="00053441" w:rsidRPr="001D47B8">
        <w:rPr>
          <w:color w:val="010101"/>
          <w:w w:val="105"/>
          <w:sz w:val="21"/>
          <w:lang w:val="tr-TR"/>
        </w:rPr>
        <w:t>STK terimi</w:t>
      </w:r>
      <w:r w:rsidR="00053441">
        <w:rPr>
          <w:color w:val="010101"/>
          <w:w w:val="105"/>
          <w:sz w:val="21"/>
          <w:lang w:val="tr-TR"/>
        </w:rPr>
        <w:t>,</w:t>
      </w:r>
      <w:r w:rsidR="00053441" w:rsidRPr="001D47B8">
        <w:rPr>
          <w:color w:val="010101"/>
          <w:w w:val="105"/>
          <w:sz w:val="21"/>
          <w:lang w:val="tr-TR"/>
        </w:rPr>
        <w:t xml:space="preserve"> </w:t>
      </w:r>
      <w:r w:rsidR="00E11EEE" w:rsidRPr="001D47B8">
        <w:rPr>
          <w:color w:val="010101"/>
          <w:w w:val="105"/>
          <w:sz w:val="21"/>
          <w:lang w:val="tr-TR"/>
        </w:rPr>
        <w:t>kar amacı gütmeyen kuruluşlar</w:t>
      </w:r>
      <w:r w:rsidR="00053441">
        <w:rPr>
          <w:color w:val="010101"/>
          <w:w w:val="105"/>
          <w:sz w:val="21"/>
          <w:lang w:val="tr-TR"/>
        </w:rPr>
        <w:t>ın</w:t>
      </w:r>
      <w:r w:rsidR="00E11EEE" w:rsidRPr="001D47B8">
        <w:rPr>
          <w:color w:val="010101"/>
          <w:w w:val="105"/>
          <w:sz w:val="21"/>
          <w:lang w:val="tr-TR"/>
        </w:rPr>
        <w:t xml:space="preserve"> </w:t>
      </w:r>
      <w:r w:rsidR="00165C03">
        <w:rPr>
          <w:color w:val="010101"/>
          <w:w w:val="105"/>
          <w:sz w:val="21"/>
          <w:lang w:val="tr-TR"/>
        </w:rPr>
        <w:t>özellikle</w:t>
      </w:r>
      <w:r w:rsidR="00E11EEE" w:rsidRPr="001D47B8">
        <w:rPr>
          <w:color w:val="010101"/>
          <w:w w:val="105"/>
          <w:sz w:val="21"/>
          <w:lang w:val="tr-TR"/>
        </w:rPr>
        <w:t xml:space="preserve"> kast edilmediği belgelerden alıntı yapıldığında kullanılacaktır</w:t>
      </w:r>
      <w:r w:rsidRPr="001D47B8">
        <w:rPr>
          <w:color w:val="010101"/>
          <w:w w:val="105"/>
          <w:sz w:val="21"/>
          <w:lang w:val="tr-TR"/>
        </w:rPr>
        <w:t>) ile ilgili 8. Tavsiyeye kısmen uygunluk gösterdiği tespit edil</w:t>
      </w:r>
      <w:r w:rsidR="0083020E">
        <w:rPr>
          <w:color w:val="010101"/>
          <w:w w:val="105"/>
          <w:sz w:val="21"/>
          <w:lang w:val="tr-TR"/>
        </w:rPr>
        <w:t>miştir</w:t>
      </w:r>
      <w:r w:rsidR="00E11EEE" w:rsidRPr="001D47B8">
        <w:rPr>
          <w:color w:val="010101"/>
          <w:w w:val="105"/>
          <w:sz w:val="21"/>
          <w:lang w:val="tr-TR"/>
        </w:rPr>
        <w:t>. Rapor</w:t>
      </w:r>
      <w:r w:rsidR="00BD7E5C" w:rsidRPr="001D47B8">
        <w:rPr>
          <w:color w:val="010101"/>
          <w:w w:val="105"/>
          <w:sz w:val="21"/>
          <w:lang w:val="tr-TR"/>
        </w:rPr>
        <w:t>da</w:t>
      </w:r>
      <w:r w:rsidR="00E11EEE" w:rsidRPr="001D47B8">
        <w:rPr>
          <w:color w:val="010101"/>
          <w:w w:val="105"/>
          <w:sz w:val="21"/>
          <w:lang w:val="tr-TR"/>
        </w:rPr>
        <w:t xml:space="preserve"> “</w:t>
      </w:r>
      <w:r w:rsidR="00E11EEE" w:rsidRPr="001D47B8">
        <w:rPr>
          <w:sz w:val="21"/>
          <w:lang w:val="tr-TR"/>
        </w:rPr>
        <w:t>Türkiye’de</w:t>
      </w:r>
      <w:r w:rsidR="00AC2BC9" w:rsidRPr="001D47B8">
        <w:rPr>
          <w:sz w:val="21"/>
          <w:lang w:val="tr-TR"/>
        </w:rPr>
        <w:t>ki</w:t>
      </w:r>
      <w:r w:rsidR="00E11EEE" w:rsidRPr="001D47B8">
        <w:rPr>
          <w:sz w:val="21"/>
          <w:lang w:val="tr-TR"/>
        </w:rPr>
        <w:t xml:space="preserve"> yasal çerçeve, </w:t>
      </w:r>
      <w:r w:rsidR="00B0374F" w:rsidRPr="001D47B8">
        <w:rPr>
          <w:sz w:val="21"/>
          <w:lang w:val="tr-TR"/>
        </w:rPr>
        <w:t>KAGK’lere</w:t>
      </w:r>
      <w:r w:rsidR="00E11EEE" w:rsidRPr="001D47B8">
        <w:rPr>
          <w:sz w:val="21"/>
          <w:lang w:val="tr-TR"/>
        </w:rPr>
        <w:t xml:space="preserve"> yönelik riskleri periyodik olarak gözden geçirme</w:t>
      </w:r>
      <w:r w:rsidR="00AC2BC9" w:rsidRPr="001D47B8">
        <w:rPr>
          <w:sz w:val="21"/>
          <w:lang w:val="tr-TR"/>
        </w:rPr>
        <w:t>k</w:t>
      </w:r>
      <w:r w:rsidR="00E11EEE" w:rsidRPr="001D47B8">
        <w:rPr>
          <w:sz w:val="21"/>
          <w:lang w:val="tr-TR"/>
        </w:rPr>
        <w:t>, bu kuruluşlara rehberlik etme</w:t>
      </w:r>
      <w:r w:rsidR="00AC2BC9" w:rsidRPr="001D47B8">
        <w:rPr>
          <w:sz w:val="21"/>
          <w:lang w:val="tr-TR"/>
        </w:rPr>
        <w:t>k</w:t>
      </w:r>
      <w:r w:rsidR="00E11EEE" w:rsidRPr="001D47B8">
        <w:rPr>
          <w:sz w:val="21"/>
          <w:lang w:val="tr-TR"/>
        </w:rPr>
        <w:t xml:space="preserve"> veya </w:t>
      </w:r>
      <w:r w:rsidR="00AC2BC9" w:rsidRPr="001D47B8">
        <w:rPr>
          <w:sz w:val="21"/>
          <w:lang w:val="tr-TR"/>
        </w:rPr>
        <w:t xml:space="preserve">KAGK’ler ile birlikte çalışarak </w:t>
      </w:r>
      <w:r w:rsidR="00E11EEE" w:rsidRPr="001D47B8">
        <w:rPr>
          <w:sz w:val="21"/>
          <w:lang w:val="tr-TR"/>
        </w:rPr>
        <w:t xml:space="preserve">Terörizmin Finansmanı (TF) </w:t>
      </w:r>
      <w:r w:rsidR="00AC2BC9" w:rsidRPr="001D47B8">
        <w:rPr>
          <w:sz w:val="21"/>
          <w:lang w:val="tr-TR"/>
        </w:rPr>
        <w:t xml:space="preserve">amacıyla </w:t>
      </w:r>
      <w:r w:rsidR="00E11EEE" w:rsidRPr="001D47B8">
        <w:rPr>
          <w:sz w:val="21"/>
          <w:lang w:val="tr-TR"/>
        </w:rPr>
        <w:t>istismar</w:t>
      </w:r>
      <w:r w:rsidR="00AC2BC9" w:rsidRPr="001D47B8">
        <w:rPr>
          <w:sz w:val="21"/>
          <w:lang w:val="tr-TR"/>
        </w:rPr>
        <w:t xml:space="preserve"> edilmelerini </w:t>
      </w:r>
      <w:r w:rsidR="00E11EEE" w:rsidRPr="001D47B8">
        <w:rPr>
          <w:sz w:val="21"/>
          <w:lang w:val="tr-TR"/>
        </w:rPr>
        <w:t xml:space="preserve">önlemeye yönelik en iyi uygulamaları </w:t>
      </w:r>
      <w:r w:rsidR="00AC2BC9" w:rsidRPr="001D47B8">
        <w:rPr>
          <w:sz w:val="21"/>
          <w:lang w:val="tr-TR"/>
        </w:rPr>
        <w:t>geliştirmek</w:t>
      </w:r>
      <w:r w:rsidR="00E11EEE" w:rsidRPr="001D47B8">
        <w:rPr>
          <w:sz w:val="21"/>
          <w:lang w:val="tr-TR"/>
        </w:rPr>
        <w:t xml:space="preserve"> için gerekli </w:t>
      </w:r>
      <w:r w:rsidR="00AC2BC9" w:rsidRPr="001D47B8">
        <w:rPr>
          <w:sz w:val="21"/>
          <w:lang w:val="tr-TR"/>
        </w:rPr>
        <w:t xml:space="preserve">özel </w:t>
      </w:r>
      <w:r w:rsidR="00E11EEE" w:rsidRPr="001D47B8">
        <w:rPr>
          <w:sz w:val="21"/>
          <w:lang w:val="tr-TR"/>
        </w:rPr>
        <w:t>usullerden yoksundur</w:t>
      </w:r>
      <w:r w:rsidR="00BD7E5C" w:rsidRPr="001D47B8">
        <w:rPr>
          <w:sz w:val="21"/>
          <w:lang w:val="tr-TR"/>
        </w:rPr>
        <w:t xml:space="preserve">. </w:t>
      </w:r>
      <w:r w:rsidR="00AC2BC9" w:rsidRPr="001D47B8">
        <w:rPr>
          <w:sz w:val="21"/>
          <w:lang w:val="tr-TR"/>
        </w:rPr>
        <w:t>Türk hukukunda mali bildirimde bulunma zorunluluğu ve iç denetimler gibi temel gözetim araçları</w:t>
      </w:r>
      <w:r w:rsidR="002502EE" w:rsidRPr="001D47B8">
        <w:rPr>
          <w:sz w:val="21"/>
          <w:lang w:val="tr-TR"/>
        </w:rPr>
        <w:t>,</w:t>
      </w:r>
      <w:r w:rsidR="00AC2BC9" w:rsidRPr="001D47B8">
        <w:rPr>
          <w:sz w:val="21"/>
          <w:lang w:val="tr-TR"/>
        </w:rPr>
        <w:t xml:space="preserve"> terörizmin finansmanı konusuna odaklanmamış olan ve esas amacı dolandırıcılık ve kötü yönetimi engellemek olan yetkililer tarafından </w:t>
      </w:r>
      <w:r w:rsidR="002502EE" w:rsidRPr="001D47B8">
        <w:rPr>
          <w:sz w:val="21"/>
          <w:lang w:val="tr-TR"/>
        </w:rPr>
        <w:t>kullanılmaktadır. Yasal çerçeve</w:t>
      </w:r>
      <w:r w:rsidR="00BD7E5C" w:rsidRPr="001D47B8">
        <w:rPr>
          <w:sz w:val="21"/>
          <w:lang w:val="tr-TR"/>
        </w:rPr>
        <w:t>,</w:t>
      </w:r>
      <w:r w:rsidR="002502EE" w:rsidRPr="001D47B8">
        <w:rPr>
          <w:sz w:val="21"/>
          <w:lang w:val="tr-TR"/>
        </w:rPr>
        <w:t xml:space="preserve"> denetimlerin ne zaman yapılacağına dair muğlaktır</w:t>
      </w:r>
      <w:r w:rsidR="00AC2BC9" w:rsidRPr="001D47B8">
        <w:rPr>
          <w:sz w:val="21"/>
          <w:lang w:val="tr-TR"/>
        </w:rPr>
        <w:t xml:space="preserve"> </w:t>
      </w:r>
      <w:r w:rsidR="00BD7E5C" w:rsidRPr="001D47B8">
        <w:rPr>
          <w:sz w:val="21"/>
          <w:lang w:val="tr-TR"/>
        </w:rPr>
        <w:t>ve rutin olarak gerçekleştirilen denetimler TF riskine yönelik herhangi bir değerlendirmeye dayalı değildir”</w:t>
      </w:r>
      <w:r w:rsidR="00BD7E5C" w:rsidRPr="001D47B8">
        <w:rPr>
          <w:rStyle w:val="DipnotBavurusu"/>
          <w:sz w:val="21"/>
          <w:lang w:val="tr-TR"/>
        </w:rPr>
        <w:footnoteReference w:id="10"/>
      </w:r>
      <w:r w:rsidR="00BD7E5C" w:rsidRPr="001D47B8">
        <w:rPr>
          <w:sz w:val="21"/>
          <w:lang w:val="tr-TR"/>
        </w:rPr>
        <w:t xml:space="preserve"> değerlendirmesi yapılmıştır.</w:t>
      </w:r>
      <w:r w:rsidR="00165C03">
        <w:rPr>
          <w:sz w:val="21"/>
          <w:lang w:val="tr-TR"/>
        </w:rPr>
        <w:t xml:space="preserve"> </w:t>
      </w:r>
    </w:p>
    <w:p w14:paraId="626CE9A3" w14:textId="77777777" w:rsidR="001B3C12" w:rsidRPr="001D47B8" w:rsidRDefault="001B3C12" w:rsidP="001C4B9F">
      <w:pPr>
        <w:pStyle w:val="GvdeMetni"/>
        <w:spacing w:before="9"/>
        <w:jc w:val="both"/>
        <w:rPr>
          <w:lang w:val="tr-TR"/>
        </w:rPr>
      </w:pPr>
    </w:p>
    <w:p w14:paraId="13FE37AD" w14:textId="14C9A3DE" w:rsidR="00DD3E58" w:rsidRPr="001D47B8" w:rsidRDefault="008A7066" w:rsidP="00D55281">
      <w:pPr>
        <w:pStyle w:val="ListeParagraf"/>
        <w:numPr>
          <w:ilvl w:val="0"/>
          <w:numId w:val="10"/>
        </w:numPr>
        <w:tabs>
          <w:tab w:val="left" w:pos="671"/>
        </w:tabs>
        <w:spacing w:line="252" w:lineRule="auto"/>
        <w:ind w:left="127" w:right="324" w:firstLine="0"/>
        <w:jc w:val="both"/>
        <w:rPr>
          <w:sz w:val="21"/>
          <w:lang w:val="tr-TR"/>
        </w:rPr>
      </w:pPr>
      <w:r w:rsidRPr="001D47B8">
        <w:rPr>
          <w:color w:val="010101"/>
          <w:w w:val="105"/>
          <w:sz w:val="21"/>
          <w:lang w:val="tr-TR"/>
        </w:rPr>
        <w:t xml:space="preserve">2012 tarihli bir raporda </w:t>
      </w:r>
      <w:r w:rsidR="00CD1C76" w:rsidRPr="001D47B8">
        <w:rPr>
          <w:color w:val="010101"/>
          <w:w w:val="105"/>
          <w:sz w:val="21"/>
          <w:lang w:val="tr-TR"/>
        </w:rPr>
        <w:t xml:space="preserve">Statewatch ve </w:t>
      </w:r>
      <w:r w:rsidR="00E942F0">
        <w:rPr>
          <w:color w:val="010101"/>
          <w:w w:val="105"/>
          <w:sz w:val="21"/>
          <w:lang w:val="tr-TR"/>
        </w:rPr>
        <w:t>Transitional Institute</w:t>
      </w:r>
      <w:r w:rsidR="00CD1C76" w:rsidRPr="001D47B8">
        <w:rPr>
          <w:color w:val="010101"/>
          <w:w w:val="105"/>
          <w:sz w:val="21"/>
          <w:lang w:val="tr-TR"/>
        </w:rPr>
        <w:t xml:space="preserve">, baskıcı hükümetlerin sivil toplumu bastırmak, muhalif sesleri </w:t>
      </w:r>
      <w:r>
        <w:rPr>
          <w:color w:val="010101"/>
          <w:w w:val="105"/>
          <w:sz w:val="21"/>
          <w:lang w:val="tr-TR"/>
        </w:rPr>
        <w:t>kısmak</w:t>
      </w:r>
      <w:r w:rsidR="00CD1C76" w:rsidRPr="001D47B8">
        <w:rPr>
          <w:color w:val="010101"/>
          <w:w w:val="105"/>
          <w:sz w:val="21"/>
          <w:lang w:val="tr-TR"/>
        </w:rPr>
        <w:t xml:space="preserve"> ve insan haklarını ihlal etmek için </w:t>
      </w:r>
      <w:r w:rsidRPr="001D47B8">
        <w:rPr>
          <w:color w:val="010101"/>
          <w:w w:val="105"/>
          <w:sz w:val="21"/>
          <w:lang w:val="tr-TR"/>
        </w:rPr>
        <w:t xml:space="preserve">mali düzenlemeyi teşvik eden FATF programını </w:t>
      </w:r>
      <w:r w:rsidR="00CD1C76" w:rsidRPr="001D47B8">
        <w:rPr>
          <w:color w:val="010101"/>
          <w:w w:val="105"/>
          <w:sz w:val="21"/>
          <w:lang w:val="tr-TR"/>
        </w:rPr>
        <w:t xml:space="preserve">istismar ettiğini ileri sürmüştür. </w:t>
      </w:r>
      <w:r w:rsidR="00BC75C9" w:rsidRPr="001D47B8">
        <w:rPr>
          <w:color w:val="010101"/>
          <w:w w:val="105"/>
          <w:sz w:val="21"/>
          <w:lang w:val="tr-TR"/>
        </w:rPr>
        <w:t xml:space="preserve">FATF düzenlemesinin </w:t>
      </w:r>
      <w:r w:rsidR="00BC75C9">
        <w:rPr>
          <w:color w:val="010101"/>
          <w:w w:val="105"/>
          <w:sz w:val="21"/>
          <w:lang w:val="tr-TR"/>
        </w:rPr>
        <w:t>y</w:t>
      </w:r>
      <w:r w:rsidR="00CD1C76" w:rsidRPr="001D47B8">
        <w:rPr>
          <w:color w:val="010101"/>
          <w:w w:val="105"/>
          <w:sz w:val="21"/>
          <w:lang w:val="tr-TR"/>
        </w:rPr>
        <w:t>aklaşık 160 ülkede</w:t>
      </w:r>
      <w:r w:rsidR="00E94B5A">
        <w:rPr>
          <w:color w:val="010101"/>
          <w:w w:val="105"/>
          <w:sz w:val="21"/>
          <w:lang w:val="tr-TR"/>
        </w:rPr>
        <w:t>ki</w:t>
      </w:r>
      <w:r w:rsidR="00CD1C76" w:rsidRPr="001D47B8">
        <w:rPr>
          <w:color w:val="010101"/>
          <w:w w:val="105"/>
          <w:sz w:val="21"/>
          <w:lang w:val="tr-TR"/>
        </w:rPr>
        <w:t xml:space="preserve"> etkileri</w:t>
      </w:r>
      <w:r w:rsidR="0053530C">
        <w:rPr>
          <w:color w:val="010101"/>
          <w:w w:val="105"/>
          <w:sz w:val="21"/>
          <w:lang w:val="tr-TR"/>
        </w:rPr>
        <w:t>nin</w:t>
      </w:r>
      <w:r w:rsidR="00CD1C76" w:rsidRPr="001D47B8">
        <w:rPr>
          <w:color w:val="010101"/>
          <w:w w:val="105"/>
          <w:sz w:val="21"/>
          <w:lang w:val="tr-TR"/>
        </w:rPr>
        <w:t xml:space="preserve"> incele</w:t>
      </w:r>
      <w:r w:rsidR="00220C31" w:rsidRPr="001D47B8">
        <w:rPr>
          <w:color w:val="010101"/>
          <w:w w:val="105"/>
          <w:sz w:val="21"/>
          <w:lang w:val="tr-TR"/>
        </w:rPr>
        <w:t>n</w:t>
      </w:r>
      <w:r w:rsidR="00CD1C76" w:rsidRPr="001D47B8">
        <w:rPr>
          <w:color w:val="010101"/>
          <w:w w:val="105"/>
          <w:sz w:val="21"/>
          <w:lang w:val="tr-TR"/>
        </w:rPr>
        <w:t>di</w:t>
      </w:r>
      <w:r w:rsidR="0053530C">
        <w:rPr>
          <w:color w:val="010101"/>
          <w:w w:val="105"/>
          <w:sz w:val="21"/>
          <w:lang w:val="tr-TR"/>
        </w:rPr>
        <w:t>ği</w:t>
      </w:r>
      <w:r w:rsidR="00CD1C76" w:rsidRPr="001D47B8">
        <w:rPr>
          <w:color w:val="010101"/>
          <w:w w:val="105"/>
          <w:sz w:val="21"/>
          <w:lang w:val="tr-TR"/>
        </w:rPr>
        <w:t xml:space="preserve"> rapor</w:t>
      </w:r>
      <w:r w:rsidR="00220C31" w:rsidRPr="001D47B8">
        <w:rPr>
          <w:color w:val="010101"/>
          <w:w w:val="105"/>
          <w:sz w:val="21"/>
          <w:lang w:val="tr-TR"/>
        </w:rPr>
        <w:t>da</w:t>
      </w:r>
      <w:r w:rsidR="007D1318">
        <w:rPr>
          <w:color w:val="010101"/>
          <w:w w:val="105"/>
          <w:sz w:val="21"/>
          <w:lang w:val="tr-TR"/>
        </w:rPr>
        <w:t>,</w:t>
      </w:r>
      <w:r w:rsidR="00CD1C76" w:rsidRPr="001D47B8">
        <w:rPr>
          <w:color w:val="010101"/>
          <w:w w:val="105"/>
          <w:sz w:val="21"/>
          <w:lang w:val="tr-TR"/>
        </w:rPr>
        <w:t xml:space="preserve"> </w:t>
      </w:r>
      <w:r w:rsidR="000E0264" w:rsidRPr="001D47B8">
        <w:rPr>
          <w:color w:val="010101"/>
          <w:w w:val="105"/>
          <w:sz w:val="21"/>
          <w:lang w:val="tr-TR"/>
        </w:rPr>
        <w:t xml:space="preserve">sivil toplumun </w:t>
      </w:r>
      <w:r w:rsidR="00963713" w:rsidRPr="001D47B8">
        <w:rPr>
          <w:color w:val="010101"/>
          <w:w w:val="105"/>
          <w:sz w:val="21"/>
          <w:lang w:val="tr-TR"/>
        </w:rPr>
        <w:t>insan hakları çalışmaları gibi amaçlar</w:t>
      </w:r>
      <w:r w:rsidR="00963713">
        <w:rPr>
          <w:color w:val="010101"/>
          <w:w w:val="105"/>
          <w:sz w:val="21"/>
          <w:lang w:val="tr-TR"/>
        </w:rPr>
        <w:t xml:space="preserve"> doğrultusunda</w:t>
      </w:r>
      <w:r w:rsidR="00963713" w:rsidRPr="001D47B8">
        <w:rPr>
          <w:color w:val="010101"/>
          <w:w w:val="105"/>
          <w:sz w:val="21"/>
          <w:lang w:val="tr-TR"/>
        </w:rPr>
        <w:t xml:space="preserve"> </w:t>
      </w:r>
      <w:r w:rsidR="000E0264" w:rsidRPr="001D47B8">
        <w:rPr>
          <w:color w:val="010101"/>
          <w:w w:val="105"/>
          <w:sz w:val="21"/>
          <w:lang w:val="tr-TR"/>
        </w:rPr>
        <w:t xml:space="preserve">mali kaynaklara serbestçe </w:t>
      </w:r>
      <w:r w:rsidR="00A018DC">
        <w:rPr>
          <w:color w:val="010101"/>
          <w:w w:val="105"/>
          <w:sz w:val="21"/>
          <w:lang w:val="tr-TR"/>
        </w:rPr>
        <w:t>erişme ve</w:t>
      </w:r>
      <w:r w:rsidR="000E0264" w:rsidRPr="001D47B8">
        <w:rPr>
          <w:color w:val="010101"/>
          <w:w w:val="105"/>
          <w:sz w:val="21"/>
          <w:lang w:val="tr-TR"/>
        </w:rPr>
        <w:t xml:space="preserve"> dağıtma </w:t>
      </w:r>
      <w:r w:rsidR="007F4AC5">
        <w:rPr>
          <w:color w:val="010101"/>
          <w:w w:val="105"/>
          <w:sz w:val="21"/>
          <w:lang w:val="tr-TR"/>
        </w:rPr>
        <w:t>özgürlüğünü</w:t>
      </w:r>
      <w:r w:rsidR="000E0264" w:rsidRPr="001D47B8">
        <w:rPr>
          <w:color w:val="010101"/>
          <w:w w:val="105"/>
          <w:sz w:val="21"/>
          <w:lang w:val="tr-TR"/>
        </w:rPr>
        <w:t xml:space="preserve"> sınırlandırmak için </w:t>
      </w:r>
      <w:r w:rsidR="007D1318" w:rsidRPr="001D47B8">
        <w:rPr>
          <w:color w:val="010101"/>
          <w:w w:val="105"/>
          <w:sz w:val="21"/>
          <w:lang w:val="tr-TR"/>
        </w:rPr>
        <w:t xml:space="preserve">hükümetlerin </w:t>
      </w:r>
      <w:r w:rsidR="00220C31" w:rsidRPr="001D47B8">
        <w:rPr>
          <w:color w:val="010101"/>
          <w:w w:val="105"/>
          <w:sz w:val="21"/>
          <w:lang w:val="tr-TR"/>
        </w:rPr>
        <w:t xml:space="preserve">FATF kurallarını </w:t>
      </w:r>
      <w:r w:rsidR="000E0264" w:rsidRPr="001D47B8">
        <w:rPr>
          <w:color w:val="010101"/>
          <w:w w:val="105"/>
          <w:sz w:val="21"/>
          <w:lang w:val="tr-TR"/>
        </w:rPr>
        <w:t>bir araç olarak kullandığı sonucuna var</w:t>
      </w:r>
      <w:r w:rsidR="009109F7">
        <w:rPr>
          <w:color w:val="010101"/>
          <w:w w:val="105"/>
          <w:sz w:val="21"/>
          <w:lang w:val="tr-TR"/>
        </w:rPr>
        <w:t>ıl</w:t>
      </w:r>
      <w:r w:rsidR="000E0264" w:rsidRPr="001D47B8">
        <w:rPr>
          <w:color w:val="010101"/>
          <w:w w:val="105"/>
          <w:sz w:val="21"/>
          <w:lang w:val="tr-TR"/>
        </w:rPr>
        <w:t>mıştır</w:t>
      </w:r>
      <w:r w:rsidR="00220C31" w:rsidRPr="001D47B8">
        <w:rPr>
          <w:color w:val="010101"/>
          <w:w w:val="105"/>
          <w:sz w:val="21"/>
          <w:lang w:val="tr-TR"/>
        </w:rPr>
        <w:t>.</w:t>
      </w:r>
      <w:r w:rsidR="00220C31" w:rsidRPr="001D47B8">
        <w:rPr>
          <w:rStyle w:val="DipnotBavurusu"/>
          <w:color w:val="010101"/>
          <w:w w:val="105"/>
          <w:sz w:val="21"/>
          <w:lang w:val="tr-TR"/>
        </w:rPr>
        <w:footnoteReference w:id="11"/>
      </w:r>
      <w:r w:rsidR="00E94B5A">
        <w:rPr>
          <w:color w:val="010101"/>
          <w:w w:val="105"/>
          <w:sz w:val="21"/>
          <w:lang w:val="tr-TR"/>
        </w:rPr>
        <w:t xml:space="preserve"> </w:t>
      </w:r>
      <w:r w:rsidR="00220C31" w:rsidRPr="001D47B8">
        <w:rPr>
          <w:color w:val="010101"/>
          <w:w w:val="105"/>
          <w:sz w:val="21"/>
          <w:lang w:val="tr-TR"/>
        </w:rPr>
        <w:t>2010’da Dünya Bankası, “Sektörün muazzam kapsamı ile karşılaştırıldığında, KAGK’lerin terörizmin finansmanı için kullandığı durumlar</w:t>
      </w:r>
      <w:r w:rsidR="00CC6070">
        <w:rPr>
          <w:color w:val="010101"/>
          <w:w w:val="105"/>
          <w:sz w:val="21"/>
          <w:lang w:val="tr-TR"/>
        </w:rPr>
        <w:t xml:space="preserve"> ile</w:t>
      </w:r>
      <w:r w:rsidR="00220C31" w:rsidRPr="001D47B8">
        <w:rPr>
          <w:color w:val="010101"/>
          <w:w w:val="105"/>
          <w:sz w:val="21"/>
          <w:lang w:val="tr-TR"/>
        </w:rPr>
        <w:t xml:space="preserve"> ender olarak </w:t>
      </w:r>
      <w:r w:rsidR="00CC6070">
        <w:rPr>
          <w:color w:val="010101"/>
          <w:w w:val="105"/>
          <w:sz w:val="21"/>
          <w:lang w:val="tr-TR"/>
        </w:rPr>
        <w:t>karşılaşılmaktadır</w:t>
      </w:r>
      <w:r w:rsidR="00220C31" w:rsidRPr="001D47B8">
        <w:rPr>
          <w:color w:val="010101"/>
          <w:w w:val="105"/>
          <w:sz w:val="21"/>
          <w:lang w:val="tr-TR"/>
        </w:rPr>
        <w:t xml:space="preserve">; </w:t>
      </w:r>
      <w:r w:rsidR="00E83965">
        <w:rPr>
          <w:color w:val="010101"/>
          <w:w w:val="105"/>
          <w:sz w:val="21"/>
          <w:lang w:val="tr-TR"/>
        </w:rPr>
        <w:t>dolayısıyla</w:t>
      </w:r>
      <w:r w:rsidR="00220C31" w:rsidRPr="001D47B8">
        <w:rPr>
          <w:color w:val="010101"/>
          <w:w w:val="105"/>
          <w:sz w:val="21"/>
          <w:lang w:val="tr-TR"/>
        </w:rPr>
        <w:t xml:space="preserve">, hükümetler tarafından düzenleme yapılmasının en uygun yanıt olup olmadığı hususunda </w:t>
      </w:r>
      <w:r w:rsidR="00D13AB1">
        <w:rPr>
          <w:color w:val="010101"/>
          <w:w w:val="105"/>
          <w:sz w:val="21"/>
          <w:lang w:val="tr-TR"/>
        </w:rPr>
        <w:t xml:space="preserve">bir </w:t>
      </w:r>
      <w:r w:rsidR="00220C31" w:rsidRPr="001D47B8">
        <w:rPr>
          <w:color w:val="010101"/>
          <w:w w:val="105"/>
          <w:sz w:val="21"/>
          <w:lang w:val="tr-TR"/>
        </w:rPr>
        <w:t xml:space="preserve">soru işareti </w:t>
      </w:r>
      <w:r w:rsidR="0028640A">
        <w:rPr>
          <w:color w:val="010101"/>
          <w:w w:val="105"/>
          <w:sz w:val="21"/>
          <w:lang w:val="tr-TR"/>
        </w:rPr>
        <w:t>oluşmaktadır</w:t>
      </w:r>
      <w:r w:rsidR="00220C31" w:rsidRPr="001D47B8">
        <w:rPr>
          <w:color w:val="010101"/>
          <w:w w:val="105"/>
          <w:sz w:val="21"/>
          <w:lang w:val="tr-TR"/>
        </w:rPr>
        <w:t>” şekli</w:t>
      </w:r>
      <w:r w:rsidR="00E82356">
        <w:rPr>
          <w:color w:val="010101"/>
          <w:w w:val="105"/>
          <w:sz w:val="21"/>
          <w:lang w:val="tr-TR"/>
        </w:rPr>
        <w:t>n</w:t>
      </w:r>
      <w:r w:rsidR="00220C31" w:rsidRPr="001D47B8">
        <w:rPr>
          <w:color w:val="010101"/>
          <w:w w:val="105"/>
          <w:sz w:val="21"/>
          <w:lang w:val="tr-TR"/>
        </w:rPr>
        <w:t>de uyar</w:t>
      </w:r>
      <w:r w:rsidR="00E82356">
        <w:rPr>
          <w:color w:val="010101"/>
          <w:w w:val="105"/>
          <w:sz w:val="21"/>
          <w:lang w:val="tr-TR"/>
        </w:rPr>
        <w:t>ıda bulunmuştur.</w:t>
      </w:r>
      <w:r w:rsidR="00220C31" w:rsidRPr="001D47B8">
        <w:rPr>
          <w:rStyle w:val="DipnotBavurusu"/>
          <w:color w:val="010101"/>
          <w:w w:val="105"/>
          <w:sz w:val="21"/>
          <w:lang w:val="tr-TR"/>
        </w:rPr>
        <w:footnoteReference w:id="12"/>
      </w:r>
      <w:r w:rsidR="00220C31" w:rsidRPr="001D47B8">
        <w:rPr>
          <w:color w:val="010101"/>
          <w:w w:val="105"/>
          <w:sz w:val="21"/>
          <w:lang w:val="tr-TR"/>
        </w:rPr>
        <w:t xml:space="preserve"> </w:t>
      </w:r>
      <w:r w:rsidR="004C0598">
        <w:rPr>
          <w:color w:val="010101"/>
          <w:w w:val="105"/>
          <w:sz w:val="21"/>
          <w:lang w:val="tr-TR"/>
        </w:rPr>
        <w:t>B</w:t>
      </w:r>
      <w:r w:rsidR="00DD3E58" w:rsidRPr="001D47B8">
        <w:rPr>
          <w:color w:val="010101"/>
          <w:w w:val="105"/>
          <w:sz w:val="21"/>
          <w:lang w:val="tr-TR"/>
        </w:rPr>
        <w:t xml:space="preserve">u </w:t>
      </w:r>
      <w:r w:rsidR="004C0598">
        <w:rPr>
          <w:color w:val="010101"/>
          <w:w w:val="105"/>
          <w:sz w:val="21"/>
          <w:lang w:val="tr-TR"/>
        </w:rPr>
        <w:t>gibi</w:t>
      </w:r>
      <w:r w:rsidR="00DD3E58" w:rsidRPr="001D47B8">
        <w:rPr>
          <w:color w:val="010101"/>
          <w:w w:val="105"/>
          <w:sz w:val="21"/>
          <w:lang w:val="tr-TR"/>
        </w:rPr>
        <w:t xml:space="preserve"> endişelere yanıt olarak</w:t>
      </w:r>
      <w:r w:rsidR="004C0598">
        <w:rPr>
          <w:color w:val="010101"/>
          <w:w w:val="105"/>
          <w:sz w:val="21"/>
          <w:lang w:val="tr-TR"/>
        </w:rPr>
        <w:t xml:space="preserve"> FATF</w:t>
      </w:r>
      <w:r w:rsidR="00DD3E58" w:rsidRPr="001D47B8">
        <w:rPr>
          <w:color w:val="010101"/>
          <w:w w:val="105"/>
          <w:sz w:val="21"/>
          <w:lang w:val="tr-TR"/>
        </w:rPr>
        <w:t xml:space="preserve">, denetim ve izlemeye tabi tutulması gereken KAGK alt kümesine açıklık kazandırmak </w:t>
      </w:r>
      <w:r w:rsidR="00703C68" w:rsidRPr="001D47B8">
        <w:rPr>
          <w:color w:val="010101"/>
          <w:w w:val="105"/>
          <w:sz w:val="21"/>
          <w:lang w:val="tr-TR"/>
        </w:rPr>
        <w:t>amacıyla</w:t>
      </w:r>
      <w:r w:rsidR="00DD3E58" w:rsidRPr="001D47B8">
        <w:rPr>
          <w:color w:val="010101"/>
          <w:w w:val="105"/>
          <w:sz w:val="21"/>
          <w:lang w:val="tr-TR"/>
        </w:rPr>
        <w:t xml:space="preserve"> </w:t>
      </w:r>
      <w:r w:rsidR="007C6A8B" w:rsidRPr="001D47B8">
        <w:rPr>
          <w:color w:val="010101"/>
          <w:w w:val="105"/>
          <w:sz w:val="21"/>
          <w:lang w:val="tr-TR"/>
        </w:rPr>
        <w:t xml:space="preserve">Haziran 2016’da </w:t>
      </w:r>
      <w:r w:rsidR="00DD3E58" w:rsidRPr="001D47B8">
        <w:rPr>
          <w:color w:val="010101"/>
          <w:w w:val="105"/>
          <w:sz w:val="21"/>
          <w:lang w:val="tr-TR"/>
        </w:rPr>
        <w:t>Standartlar ve Metodolojisini yeniden düzenleyerek</w:t>
      </w:r>
      <w:r w:rsidR="00703C68" w:rsidRPr="001D47B8">
        <w:rPr>
          <w:color w:val="010101"/>
          <w:w w:val="105"/>
          <w:sz w:val="21"/>
          <w:lang w:val="tr-TR"/>
        </w:rPr>
        <w:t>,</w:t>
      </w:r>
      <w:r w:rsidR="00DD3E58" w:rsidRPr="001D47B8">
        <w:rPr>
          <w:color w:val="010101"/>
          <w:w w:val="105"/>
          <w:sz w:val="21"/>
          <w:lang w:val="tr-TR"/>
        </w:rPr>
        <w:t xml:space="preserve"> standartları </w:t>
      </w:r>
      <w:r w:rsidR="00DD3E58" w:rsidRPr="001D47B8">
        <w:rPr>
          <w:i/>
          <w:iCs/>
          <w:color w:val="010101"/>
          <w:w w:val="105"/>
          <w:sz w:val="21"/>
          <w:lang w:val="tr-TR"/>
        </w:rPr>
        <w:t>KAGK’ların Terörizm Amaçlı İstismar Edilmesi Riski Hakkında FATF Tipolojiler Raporu</w:t>
      </w:r>
      <w:r w:rsidR="00DD3E58" w:rsidRPr="001D47B8">
        <w:rPr>
          <w:color w:val="010101"/>
          <w:w w:val="105"/>
          <w:sz w:val="21"/>
          <w:lang w:val="tr-TR"/>
        </w:rPr>
        <w:t xml:space="preserve"> (Haziran 2014) ve </w:t>
      </w:r>
      <w:r w:rsidR="00DD3E58" w:rsidRPr="001D47B8">
        <w:rPr>
          <w:i/>
          <w:iCs/>
          <w:color w:val="010101"/>
          <w:w w:val="105"/>
          <w:sz w:val="21"/>
          <w:lang w:val="tr-TR"/>
        </w:rPr>
        <w:t>KAGK’ların İstismar Edilmesi ile Mücadelede FATF En İyi Uygulamaları</w:t>
      </w:r>
      <w:r w:rsidR="00DD3E58" w:rsidRPr="001D47B8">
        <w:rPr>
          <w:color w:val="010101"/>
          <w:w w:val="105"/>
          <w:sz w:val="21"/>
          <w:lang w:val="tr-TR"/>
        </w:rPr>
        <w:t xml:space="preserve"> (Haziran 201) ile uygun hale getirmiştir.</w:t>
      </w:r>
      <w:r w:rsidR="00703C68" w:rsidRPr="001D47B8">
        <w:rPr>
          <w:color w:val="010101"/>
          <w:w w:val="105"/>
          <w:sz w:val="21"/>
          <w:lang w:val="tr-TR"/>
        </w:rPr>
        <w:t xml:space="preserve"> FATF sonuç odaklı bir yaklaşımı teşvik etmek ve KAGK sektörü ile yapıcı bir ilişki geliştirmek için son yıllarda büyük zaman ve kaynak ayırmıştır. </w:t>
      </w:r>
      <w:r w:rsidR="007C6A8B">
        <w:rPr>
          <w:color w:val="010101"/>
          <w:w w:val="105"/>
          <w:sz w:val="21"/>
          <w:lang w:val="tr-TR"/>
        </w:rPr>
        <w:t xml:space="preserve"> </w:t>
      </w:r>
    </w:p>
    <w:p w14:paraId="09B98396" w14:textId="77777777" w:rsidR="001B3C12" w:rsidRPr="001D47B8" w:rsidRDefault="001B3C12" w:rsidP="001C4B9F">
      <w:pPr>
        <w:pStyle w:val="GvdeMetni"/>
        <w:spacing w:before="10"/>
        <w:jc w:val="both"/>
        <w:rPr>
          <w:lang w:val="tr-TR"/>
        </w:rPr>
      </w:pPr>
    </w:p>
    <w:p w14:paraId="2CF9BC21" w14:textId="46D4D905" w:rsidR="00703C68" w:rsidRPr="001D47B8" w:rsidRDefault="00703C68" w:rsidP="00703C68">
      <w:pPr>
        <w:pStyle w:val="Balk2"/>
        <w:numPr>
          <w:ilvl w:val="0"/>
          <w:numId w:val="9"/>
        </w:numPr>
        <w:tabs>
          <w:tab w:val="left" w:pos="844"/>
        </w:tabs>
        <w:ind w:left="843" w:hanging="357"/>
        <w:jc w:val="both"/>
        <w:rPr>
          <w:b w:val="0"/>
          <w:lang w:val="tr-TR"/>
        </w:rPr>
      </w:pPr>
      <w:r w:rsidRPr="001D47B8">
        <w:rPr>
          <w:color w:val="010101"/>
          <w:spacing w:val="6"/>
          <w:lang w:val="tr-TR"/>
        </w:rPr>
        <w:t xml:space="preserve">7262 sayılı Kanun ile getirilen değişikliklerin ardında yatan mantık ve kanun yapım süreci </w:t>
      </w:r>
    </w:p>
    <w:p w14:paraId="03B2FF08" w14:textId="53C25B39" w:rsidR="001B3C12" w:rsidRPr="001D47B8" w:rsidRDefault="001B3C12" w:rsidP="001C4B9F">
      <w:pPr>
        <w:ind w:left="853"/>
        <w:jc w:val="both"/>
        <w:rPr>
          <w:b/>
          <w:sz w:val="21"/>
          <w:lang w:val="tr-TR"/>
        </w:rPr>
      </w:pPr>
    </w:p>
    <w:p w14:paraId="04EE7C80" w14:textId="77777777" w:rsidR="001B3C12" w:rsidRPr="001D47B8" w:rsidRDefault="001B3C12" w:rsidP="001C4B9F">
      <w:pPr>
        <w:pStyle w:val="GvdeMetni"/>
        <w:spacing w:before="1"/>
        <w:jc w:val="both"/>
        <w:rPr>
          <w:b/>
          <w:sz w:val="23"/>
          <w:lang w:val="tr-TR"/>
        </w:rPr>
      </w:pPr>
    </w:p>
    <w:p w14:paraId="56425A79" w14:textId="5B99FE56" w:rsidR="00703C68" w:rsidRPr="001D47B8" w:rsidRDefault="00703C68" w:rsidP="00703C68">
      <w:pPr>
        <w:pStyle w:val="ListeParagraf"/>
        <w:numPr>
          <w:ilvl w:val="0"/>
          <w:numId w:val="10"/>
        </w:numPr>
        <w:tabs>
          <w:tab w:val="left" w:pos="671"/>
        </w:tabs>
        <w:spacing w:line="252" w:lineRule="auto"/>
        <w:ind w:left="128" w:right="320" w:firstLine="0"/>
        <w:jc w:val="left"/>
        <w:rPr>
          <w:color w:val="010101"/>
          <w:sz w:val="21"/>
          <w:lang w:val="tr-TR"/>
        </w:rPr>
      </w:pPr>
      <w:r w:rsidRPr="001D47B8">
        <w:rPr>
          <w:sz w:val="21"/>
          <w:lang w:val="tr-TR"/>
        </w:rPr>
        <w:t>16 Aralık 2020 tarihinde Türkiye Büyük Millet Meclisi Başkanlığına sunulan Kitle İmha Silahlarının Yayılmasının Finansmanının Önlenmesine İlişkin kanun teklifi</w:t>
      </w:r>
      <w:r w:rsidRPr="001D47B8">
        <w:rPr>
          <w:rStyle w:val="DipnotBavurusu"/>
          <w:sz w:val="21"/>
          <w:lang w:val="tr-TR"/>
        </w:rPr>
        <w:footnoteReference w:id="13"/>
      </w:r>
      <w:r w:rsidRPr="001D47B8">
        <w:rPr>
          <w:sz w:val="21"/>
          <w:lang w:val="tr-TR"/>
        </w:rPr>
        <w:t xml:space="preserve"> 27 Aralık 2020 tarihinde onaylandı. 7262 sayılı Kitle İmha Silahlarının Yayılmasının Finansmanının Önlenmesine İlişkin Kanun 31 Aralık 2020’de yürürlüğe girdi.</w:t>
      </w:r>
      <w:r w:rsidRPr="001D47B8">
        <w:rPr>
          <w:rStyle w:val="DipnotBavurusu"/>
          <w:sz w:val="21"/>
          <w:lang w:val="tr-TR"/>
        </w:rPr>
        <w:footnoteReference w:id="14"/>
      </w:r>
      <w:r w:rsidRPr="001D47B8">
        <w:rPr>
          <w:sz w:val="21"/>
          <w:lang w:val="tr-TR"/>
        </w:rPr>
        <w:t xml:space="preserve"> </w:t>
      </w:r>
    </w:p>
    <w:p w14:paraId="0FF60F5A" w14:textId="7F18930A" w:rsidR="00703C68" w:rsidRPr="001D47B8" w:rsidRDefault="00703C68" w:rsidP="00703C68">
      <w:pPr>
        <w:pStyle w:val="ListeParagraf"/>
        <w:tabs>
          <w:tab w:val="left" w:pos="671"/>
        </w:tabs>
        <w:spacing w:line="252" w:lineRule="auto"/>
        <w:ind w:left="128" w:right="320" w:firstLine="0"/>
        <w:jc w:val="left"/>
        <w:rPr>
          <w:color w:val="010101"/>
          <w:sz w:val="21"/>
          <w:lang w:val="tr-TR"/>
        </w:rPr>
      </w:pPr>
    </w:p>
    <w:p w14:paraId="35E22AC8" w14:textId="2C46A2CD" w:rsidR="00DD23E0" w:rsidRPr="001D47B8" w:rsidRDefault="00DD23E0" w:rsidP="001C4B9F">
      <w:pPr>
        <w:pStyle w:val="ListeParagraf"/>
        <w:numPr>
          <w:ilvl w:val="0"/>
          <w:numId w:val="10"/>
        </w:numPr>
        <w:tabs>
          <w:tab w:val="left" w:pos="671"/>
        </w:tabs>
        <w:spacing w:before="1" w:line="252" w:lineRule="auto"/>
        <w:ind w:left="126" w:right="332" w:firstLine="1"/>
        <w:jc w:val="both"/>
        <w:rPr>
          <w:sz w:val="21"/>
          <w:lang w:val="tr-TR"/>
        </w:rPr>
      </w:pPr>
      <w:r w:rsidRPr="001D47B8">
        <w:rPr>
          <w:sz w:val="21"/>
          <w:lang w:val="tr-TR"/>
        </w:rPr>
        <w:t xml:space="preserve">Venedik Komisyonu, 7262 sayılı Kanun ile getirilen yasama </w:t>
      </w:r>
      <w:r w:rsidR="00CF50DD" w:rsidRPr="001D47B8">
        <w:rPr>
          <w:sz w:val="21"/>
          <w:lang w:val="tr-TR"/>
        </w:rPr>
        <w:t xml:space="preserve">değişikliklerinin hızlandırıldığını, yani TBMM Adalet Komisyonunun iki oturumunun </w:t>
      </w:r>
      <w:r w:rsidR="00F16BFE">
        <w:rPr>
          <w:sz w:val="21"/>
          <w:lang w:val="tr-TR"/>
        </w:rPr>
        <w:t>çabucak</w:t>
      </w:r>
      <w:r w:rsidR="00CF50DD" w:rsidRPr="001D47B8">
        <w:rPr>
          <w:sz w:val="21"/>
          <w:lang w:val="tr-TR"/>
        </w:rPr>
        <w:t xml:space="preserve"> yapıldığını, dolayısıyla sivil toplum ve diğer ilgili paydaşların </w:t>
      </w:r>
      <w:r w:rsidR="00A330A4" w:rsidRPr="001D47B8">
        <w:rPr>
          <w:sz w:val="21"/>
          <w:lang w:val="tr-TR"/>
        </w:rPr>
        <w:t>sürece</w:t>
      </w:r>
      <w:r w:rsidR="00CF50DD" w:rsidRPr="001D47B8">
        <w:rPr>
          <w:sz w:val="21"/>
          <w:lang w:val="tr-TR"/>
        </w:rPr>
        <w:t xml:space="preserve"> anlamlı bir katkıda bulunabilmesi olasılığının sınırlı kaldığını öğrenmiştir.</w:t>
      </w:r>
      <w:r w:rsidR="00CF50DD" w:rsidRPr="001D47B8">
        <w:rPr>
          <w:rStyle w:val="DipnotBavurusu"/>
          <w:sz w:val="21"/>
          <w:lang w:val="tr-TR"/>
        </w:rPr>
        <w:footnoteReference w:id="15"/>
      </w:r>
      <w:r w:rsidR="00CF50DD" w:rsidRPr="001D47B8">
        <w:rPr>
          <w:sz w:val="21"/>
          <w:lang w:val="tr-TR"/>
        </w:rPr>
        <w:t xml:space="preserve"> </w:t>
      </w:r>
      <w:r w:rsidR="00A330A4" w:rsidRPr="001D47B8">
        <w:rPr>
          <w:sz w:val="21"/>
          <w:lang w:val="tr-TR"/>
        </w:rPr>
        <w:t xml:space="preserve">Türk makamları, Türkiye’nin FATF Dördüncü Karşılıklı </w:t>
      </w:r>
      <w:r w:rsidR="00A330A4" w:rsidRPr="001D47B8">
        <w:rPr>
          <w:sz w:val="21"/>
          <w:lang w:val="tr-TR"/>
        </w:rPr>
        <w:lastRenderedPageBreak/>
        <w:t xml:space="preserve">Değerlendirme Raporunda sunulan tavsiyeleri uygulamak ve 8 sayılı tavsiye </w:t>
      </w:r>
      <w:r w:rsidR="0089648F" w:rsidRPr="001D47B8">
        <w:rPr>
          <w:sz w:val="21"/>
          <w:lang w:val="tr-TR"/>
        </w:rPr>
        <w:t>dâhil</w:t>
      </w:r>
      <w:r w:rsidR="00A330A4" w:rsidRPr="001D47B8">
        <w:rPr>
          <w:sz w:val="21"/>
          <w:lang w:val="tr-TR"/>
        </w:rPr>
        <w:t xml:space="preserve">, bazı FATF Tavsiyelerindeki mevcut derecelendirmenin yükseltilmesi </w:t>
      </w:r>
      <w:r w:rsidR="000355AB">
        <w:rPr>
          <w:sz w:val="21"/>
          <w:lang w:val="tr-TR"/>
        </w:rPr>
        <w:t>istemiyle</w:t>
      </w:r>
      <w:r w:rsidR="00A330A4" w:rsidRPr="001D47B8">
        <w:rPr>
          <w:sz w:val="21"/>
          <w:lang w:val="tr-TR"/>
        </w:rPr>
        <w:t xml:space="preserve"> başvurmak </w:t>
      </w:r>
      <w:r w:rsidR="000355AB">
        <w:rPr>
          <w:sz w:val="21"/>
          <w:lang w:val="tr-TR"/>
        </w:rPr>
        <w:t>için</w:t>
      </w:r>
      <w:r w:rsidR="00A330A4" w:rsidRPr="001D47B8">
        <w:rPr>
          <w:sz w:val="21"/>
          <w:lang w:val="tr-TR"/>
        </w:rPr>
        <w:t xml:space="preserve"> FATF genel toplantısından önce sadece 6 ayl</w:t>
      </w:r>
      <w:r w:rsidR="003C08D6">
        <w:rPr>
          <w:sz w:val="21"/>
          <w:lang w:val="tr-TR"/>
        </w:rPr>
        <w:t>ık bir süreleri</w:t>
      </w:r>
      <w:r w:rsidR="00A330A4" w:rsidRPr="001D47B8">
        <w:rPr>
          <w:sz w:val="21"/>
          <w:lang w:val="tr-TR"/>
        </w:rPr>
        <w:t xml:space="preserve"> olduğunu bildirmiştir. Dolayısıyla kanun yapım sürecinin hızlandırılması gerekli olmuştur. Venedik Komisyonu, Türk makamlarına </w:t>
      </w:r>
      <w:r w:rsidR="008C5C33" w:rsidRPr="001D47B8">
        <w:rPr>
          <w:sz w:val="21"/>
          <w:lang w:val="tr-TR"/>
        </w:rPr>
        <w:t>zamanın kısıtlı olmasının</w:t>
      </w:r>
      <w:r w:rsidR="005D5BED">
        <w:rPr>
          <w:sz w:val="21"/>
          <w:lang w:val="tr-TR"/>
        </w:rPr>
        <w:t xml:space="preserve">, </w:t>
      </w:r>
      <w:r w:rsidR="008C5C33" w:rsidRPr="001D47B8">
        <w:rPr>
          <w:sz w:val="21"/>
          <w:lang w:val="tr-TR"/>
        </w:rPr>
        <w:t>sivil toplum ve diğer ilgili paydaşlar</w:t>
      </w:r>
      <w:r w:rsidR="005D5BED">
        <w:rPr>
          <w:sz w:val="21"/>
          <w:lang w:val="tr-TR"/>
        </w:rPr>
        <w:t xml:space="preserve"> </w:t>
      </w:r>
      <w:r w:rsidR="008C5C33" w:rsidRPr="001D47B8">
        <w:rPr>
          <w:sz w:val="21"/>
          <w:lang w:val="tr-TR"/>
        </w:rPr>
        <w:t xml:space="preserve">ile istişare etmemek için asla bir neden olarak kullanılamayacağını hatırlatır. </w:t>
      </w:r>
    </w:p>
    <w:p w14:paraId="70A33280" w14:textId="77777777" w:rsidR="00DD23E0" w:rsidRPr="001D47B8" w:rsidRDefault="00DD23E0" w:rsidP="00DD23E0">
      <w:pPr>
        <w:pStyle w:val="ListeParagraf"/>
        <w:tabs>
          <w:tab w:val="left" w:pos="671"/>
        </w:tabs>
        <w:spacing w:before="1" w:line="252" w:lineRule="auto"/>
        <w:ind w:left="127" w:right="332" w:firstLine="0"/>
        <w:jc w:val="right"/>
        <w:rPr>
          <w:color w:val="010101"/>
          <w:sz w:val="21"/>
          <w:lang w:val="tr-TR"/>
        </w:rPr>
      </w:pPr>
    </w:p>
    <w:p w14:paraId="7B6FA5E7" w14:textId="77777777" w:rsidR="001B3C12" w:rsidRPr="001D47B8" w:rsidRDefault="001B3C12" w:rsidP="001C4B9F">
      <w:pPr>
        <w:pStyle w:val="GvdeMetni"/>
        <w:spacing w:before="10"/>
        <w:jc w:val="both"/>
        <w:rPr>
          <w:lang w:val="tr-TR"/>
        </w:rPr>
      </w:pPr>
    </w:p>
    <w:p w14:paraId="67C45FBA" w14:textId="18F31E3C" w:rsidR="008C5C33" w:rsidRPr="001D47B8" w:rsidRDefault="008C5C33" w:rsidP="001C4B9F">
      <w:pPr>
        <w:pStyle w:val="ListeParagraf"/>
        <w:numPr>
          <w:ilvl w:val="0"/>
          <w:numId w:val="10"/>
        </w:numPr>
        <w:tabs>
          <w:tab w:val="left" w:pos="671"/>
        </w:tabs>
        <w:spacing w:before="1" w:line="252" w:lineRule="auto"/>
        <w:ind w:left="125" w:right="325" w:firstLine="3"/>
        <w:jc w:val="both"/>
        <w:rPr>
          <w:sz w:val="21"/>
          <w:lang w:val="tr-TR"/>
        </w:rPr>
      </w:pPr>
      <w:r w:rsidRPr="001D47B8">
        <w:rPr>
          <w:sz w:val="21"/>
          <w:lang w:val="tr-TR"/>
        </w:rPr>
        <w:t xml:space="preserve">Kitle İmha Silahlarının Yayılmasının Finansmanının Önlenmesine İlişkin kanun teklifinin sunulması sürecine ilişkin </w:t>
      </w:r>
      <w:r w:rsidRPr="001D47B8">
        <w:rPr>
          <w:color w:val="010101"/>
          <w:w w:val="105"/>
          <w:sz w:val="21"/>
          <w:lang w:val="tr-TR"/>
        </w:rPr>
        <w:t>Türk makamları</w:t>
      </w:r>
      <w:r w:rsidR="00554E2D" w:rsidRPr="00554E2D">
        <w:rPr>
          <w:sz w:val="21"/>
          <w:lang w:val="tr-TR"/>
        </w:rPr>
        <w:t xml:space="preserve"> </w:t>
      </w:r>
      <w:r w:rsidR="00554E2D" w:rsidRPr="001D47B8">
        <w:rPr>
          <w:sz w:val="21"/>
          <w:lang w:val="tr-TR"/>
        </w:rPr>
        <w:t>gerekçe olarak</w:t>
      </w:r>
      <w:r w:rsidRPr="001D47B8">
        <w:rPr>
          <w:sz w:val="21"/>
          <w:lang w:val="tr-TR"/>
        </w:rPr>
        <w:t xml:space="preserve">, </w:t>
      </w:r>
      <w:r w:rsidR="00BB2B09">
        <w:rPr>
          <w:sz w:val="21"/>
          <w:lang w:val="tr-TR"/>
        </w:rPr>
        <w:t xml:space="preserve">amacın </w:t>
      </w:r>
      <w:r w:rsidRPr="001D47B8">
        <w:rPr>
          <w:sz w:val="21"/>
          <w:lang w:val="tr-TR"/>
        </w:rPr>
        <w:t>ilgili BM Güvenlik Konseyi kararları</w:t>
      </w:r>
      <w:r w:rsidR="004A3C87">
        <w:rPr>
          <w:sz w:val="21"/>
          <w:lang w:val="tr-TR"/>
        </w:rPr>
        <w:t>na</w:t>
      </w:r>
      <w:r w:rsidRPr="001D47B8">
        <w:rPr>
          <w:rStyle w:val="DipnotBavurusu"/>
          <w:sz w:val="21"/>
          <w:lang w:val="tr-TR"/>
        </w:rPr>
        <w:footnoteReference w:id="16"/>
      </w:r>
      <w:r w:rsidRPr="001D47B8">
        <w:rPr>
          <w:sz w:val="21"/>
          <w:lang w:val="tr-TR"/>
        </w:rPr>
        <w:t xml:space="preserve"> ve 2019 FATF raporunda</w:t>
      </w:r>
      <w:r w:rsidR="00E22BF1" w:rsidRPr="001D47B8">
        <w:rPr>
          <w:rStyle w:val="DipnotBavurusu"/>
          <w:sz w:val="21"/>
          <w:lang w:val="tr-TR"/>
        </w:rPr>
        <w:footnoteReference w:id="17"/>
      </w:r>
      <w:r w:rsidRPr="001D47B8">
        <w:rPr>
          <w:sz w:val="21"/>
          <w:lang w:val="tr-TR"/>
        </w:rPr>
        <w:t xml:space="preserve"> yer alan tavsiyelere tam uygunluk sağlanması</w:t>
      </w:r>
      <w:r w:rsidR="00BB2B09">
        <w:rPr>
          <w:sz w:val="21"/>
          <w:lang w:val="tr-TR"/>
        </w:rPr>
        <w:t xml:space="preserve"> olduğunu belirtmiştir</w:t>
      </w:r>
      <w:r w:rsidRPr="001D47B8">
        <w:rPr>
          <w:sz w:val="21"/>
          <w:lang w:val="tr-TR"/>
        </w:rPr>
        <w:t xml:space="preserve">. </w:t>
      </w:r>
      <w:r w:rsidR="00554E2D">
        <w:rPr>
          <w:sz w:val="21"/>
          <w:lang w:val="tr-TR"/>
        </w:rPr>
        <w:t xml:space="preserve"> </w:t>
      </w:r>
    </w:p>
    <w:p w14:paraId="5D5B2404" w14:textId="77777777" w:rsidR="008C5C33" w:rsidRPr="001D47B8" w:rsidRDefault="008C5C33" w:rsidP="008C5C33">
      <w:pPr>
        <w:pStyle w:val="ListeParagraf"/>
        <w:tabs>
          <w:tab w:val="left" w:pos="671"/>
        </w:tabs>
        <w:spacing w:before="1" w:line="252" w:lineRule="auto"/>
        <w:ind w:left="128" w:right="325" w:firstLine="0"/>
        <w:jc w:val="right"/>
        <w:rPr>
          <w:color w:val="010101"/>
          <w:w w:val="105"/>
          <w:sz w:val="21"/>
          <w:lang w:val="tr-TR"/>
        </w:rPr>
      </w:pPr>
    </w:p>
    <w:p w14:paraId="61F085BE" w14:textId="77777777" w:rsidR="008C5C33" w:rsidRPr="001D47B8" w:rsidRDefault="008C5C33" w:rsidP="008C5C33">
      <w:pPr>
        <w:pStyle w:val="ListeParagraf"/>
        <w:tabs>
          <w:tab w:val="left" w:pos="671"/>
        </w:tabs>
        <w:spacing w:before="1" w:line="252" w:lineRule="auto"/>
        <w:ind w:left="128" w:right="325" w:firstLine="0"/>
        <w:jc w:val="right"/>
        <w:rPr>
          <w:color w:val="010101"/>
          <w:w w:val="105"/>
          <w:sz w:val="21"/>
          <w:lang w:val="tr-TR"/>
        </w:rPr>
      </w:pPr>
    </w:p>
    <w:p w14:paraId="7A5CD84E" w14:textId="269845A1" w:rsidR="00E22BF1" w:rsidRPr="001D47B8" w:rsidRDefault="00DD6B68" w:rsidP="001C4B9F">
      <w:pPr>
        <w:pStyle w:val="ListeParagraf"/>
        <w:numPr>
          <w:ilvl w:val="0"/>
          <w:numId w:val="10"/>
        </w:numPr>
        <w:tabs>
          <w:tab w:val="left" w:pos="669"/>
        </w:tabs>
        <w:spacing w:line="252" w:lineRule="auto"/>
        <w:ind w:right="325" w:firstLine="4"/>
        <w:jc w:val="both"/>
        <w:rPr>
          <w:sz w:val="21"/>
          <w:lang w:val="tr-TR"/>
        </w:rPr>
      </w:pPr>
      <w:r w:rsidRPr="001D47B8">
        <w:rPr>
          <w:sz w:val="21"/>
          <w:lang w:val="tr-TR"/>
        </w:rPr>
        <w:t xml:space="preserve">Sanal toplantılarda </w:t>
      </w:r>
      <w:r w:rsidR="00E22BF1" w:rsidRPr="001D47B8">
        <w:rPr>
          <w:sz w:val="21"/>
          <w:lang w:val="tr-TR"/>
        </w:rPr>
        <w:t xml:space="preserve">7262 sayılı Kanun ile yapılan değişikliklerin kapsamının kitle imha silahlarının yayılmasının ve terörizmin finansmanının önlenmesi ile sınırlı olmadığı, </w:t>
      </w:r>
      <w:r w:rsidRPr="001D47B8">
        <w:rPr>
          <w:sz w:val="21"/>
          <w:lang w:val="tr-TR"/>
        </w:rPr>
        <w:t>hükümetin sivil toplumun faaliyetleri üzerindeki kontrolünü daha da sıkılaştırarak, belirtilen</w:t>
      </w:r>
      <w:r w:rsidR="00E22BF1" w:rsidRPr="001D47B8">
        <w:rPr>
          <w:sz w:val="21"/>
          <w:lang w:val="tr-TR"/>
        </w:rPr>
        <w:t xml:space="preserve"> niyetin dışına çıkıl</w:t>
      </w:r>
      <w:r w:rsidRPr="001D47B8">
        <w:rPr>
          <w:sz w:val="21"/>
          <w:lang w:val="tr-TR"/>
        </w:rPr>
        <w:t>dığı ve sivil toplumun olumsuz etkilendiği gerçeğine dikkat çekilmiştir. Mevzuat değişikliklerinin yakın etkisine ilişkin benzer endişeler, uluslararası kuruluşların farklı raporlarında da ifade edilmiştir.</w:t>
      </w:r>
      <w:r w:rsidRPr="001D47B8">
        <w:rPr>
          <w:rStyle w:val="DipnotBavurusu"/>
          <w:sz w:val="21"/>
          <w:lang w:val="tr-TR"/>
        </w:rPr>
        <w:footnoteReference w:id="18"/>
      </w:r>
      <w:r w:rsidRPr="001D47B8">
        <w:rPr>
          <w:sz w:val="21"/>
          <w:lang w:val="tr-TR"/>
        </w:rPr>
        <w:t xml:space="preserve"> </w:t>
      </w:r>
    </w:p>
    <w:p w14:paraId="6060ECDD" w14:textId="77777777" w:rsidR="00E22BF1" w:rsidRPr="001D47B8" w:rsidRDefault="00E22BF1" w:rsidP="00E22BF1">
      <w:pPr>
        <w:pStyle w:val="ListeParagraf"/>
        <w:tabs>
          <w:tab w:val="left" w:pos="669"/>
        </w:tabs>
        <w:spacing w:line="252" w:lineRule="auto"/>
        <w:ind w:left="127" w:right="325" w:firstLine="0"/>
        <w:jc w:val="right"/>
        <w:rPr>
          <w:color w:val="010101"/>
          <w:sz w:val="21"/>
          <w:lang w:val="tr-TR"/>
        </w:rPr>
      </w:pPr>
    </w:p>
    <w:p w14:paraId="7A604D43" w14:textId="614A97F5" w:rsidR="001B3C12" w:rsidRPr="001D47B8" w:rsidRDefault="00E22BF1" w:rsidP="001C4B9F">
      <w:pPr>
        <w:pStyle w:val="Balk2"/>
        <w:numPr>
          <w:ilvl w:val="0"/>
          <w:numId w:val="9"/>
        </w:numPr>
        <w:tabs>
          <w:tab w:val="left" w:pos="829"/>
        </w:tabs>
        <w:spacing w:before="1"/>
        <w:ind w:left="828" w:hanging="276"/>
        <w:jc w:val="both"/>
        <w:rPr>
          <w:lang w:val="tr-TR"/>
        </w:rPr>
      </w:pPr>
      <w:r w:rsidRPr="001D47B8">
        <w:rPr>
          <w:color w:val="010101"/>
          <w:lang w:val="tr-TR"/>
        </w:rPr>
        <w:t>Görüşün kapsamı</w:t>
      </w:r>
    </w:p>
    <w:p w14:paraId="5B810D5B" w14:textId="77777777" w:rsidR="001B3C12" w:rsidRPr="001D47B8" w:rsidRDefault="001B3C12" w:rsidP="001C4B9F">
      <w:pPr>
        <w:pStyle w:val="GvdeMetni"/>
        <w:spacing w:before="3"/>
        <w:jc w:val="both"/>
        <w:rPr>
          <w:b/>
          <w:sz w:val="23"/>
          <w:lang w:val="tr-TR"/>
        </w:rPr>
      </w:pPr>
    </w:p>
    <w:p w14:paraId="3BB55E75" w14:textId="700282F4" w:rsidR="003172A6" w:rsidRPr="001D47B8" w:rsidRDefault="003172A6" w:rsidP="001C4B9F">
      <w:pPr>
        <w:pStyle w:val="ListeParagraf"/>
        <w:numPr>
          <w:ilvl w:val="0"/>
          <w:numId w:val="10"/>
        </w:numPr>
        <w:tabs>
          <w:tab w:val="left" w:pos="670"/>
        </w:tabs>
        <w:spacing w:line="252" w:lineRule="auto"/>
        <w:ind w:left="124" w:right="322" w:firstLine="4"/>
        <w:jc w:val="both"/>
        <w:rPr>
          <w:sz w:val="21"/>
          <w:lang w:val="tr-TR"/>
        </w:rPr>
      </w:pPr>
      <w:r w:rsidRPr="001D47B8">
        <w:rPr>
          <w:sz w:val="21"/>
          <w:lang w:val="tr-TR"/>
        </w:rPr>
        <w:t xml:space="preserve">7262 sayılı Kanun iki bölüme ayrılmıştır. 6 maddeden oluşan ilk bölümde genel hükümler ve tanımlar bulunmaktadır. BM Güvenlik Konseyi kararlarının temel alındığı ilk bölümde kitle imha silahlarının (KİS) yayılmasının finansmanı ile mücadele için gerekli araçlar ve düzenlemeler belirtilmektedir. Kanunun 36 maddeden oluşan ikinci bölümünde ise 2860 sayılı Yardım Toplama Kanunu ve 5253 sayılı Dernekler Kanunu dâhil altı farklı kanuna getirilen değişiklikler sıralanmaktadır. </w:t>
      </w:r>
    </w:p>
    <w:p w14:paraId="62CF9A61" w14:textId="77777777" w:rsidR="003172A6" w:rsidRPr="001D47B8" w:rsidRDefault="003172A6" w:rsidP="003172A6">
      <w:pPr>
        <w:pStyle w:val="ListeParagraf"/>
        <w:tabs>
          <w:tab w:val="left" w:pos="670"/>
        </w:tabs>
        <w:spacing w:line="252" w:lineRule="auto"/>
        <w:ind w:left="128" w:right="322" w:firstLine="0"/>
        <w:jc w:val="right"/>
        <w:rPr>
          <w:color w:val="010101"/>
          <w:sz w:val="21"/>
          <w:lang w:val="tr-TR"/>
        </w:rPr>
      </w:pPr>
    </w:p>
    <w:p w14:paraId="3780E36E" w14:textId="77777777" w:rsidR="001B3C12" w:rsidRPr="001D47B8" w:rsidRDefault="001B3C12" w:rsidP="001C4B9F">
      <w:pPr>
        <w:pStyle w:val="GvdeMetni"/>
        <w:spacing w:before="9"/>
        <w:jc w:val="both"/>
        <w:rPr>
          <w:lang w:val="tr-TR"/>
        </w:rPr>
      </w:pPr>
    </w:p>
    <w:p w14:paraId="1106C40F" w14:textId="0066DE51" w:rsidR="00570554" w:rsidRPr="001D47B8" w:rsidRDefault="00570554" w:rsidP="001C4B9F">
      <w:pPr>
        <w:pStyle w:val="ListeParagraf"/>
        <w:numPr>
          <w:ilvl w:val="0"/>
          <w:numId w:val="10"/>
        </w:numPr>
        <w:tabs>
          <w:tab w:val="left" w:pos="671"/>
        </w:tabs>
        <w:spacing w:line="252" w:lineRule="auto"/>
        <w:ind w:right="322" w:firstLine="4"/>
        <w:jc w:val="both"/>
        <w:rPr>
          <w:sz w:val="21"/>
          <w:lang w:val="tr-TR"/>
        </w:rPr>
      </w:pPr>
      <w:r w:rsidRPr="001D47B8">
        <w:rPr>
          <w:sz w:val="21"/>
          <w:lang w:val="tr-TR"/>
        </w:rPr>
        <w:t>Bu görüşün kapsamı, 7262 sayılı Kanun ile Yardım Toplama Kanunu (</w:t>
      </w:r>
      <w:r w:rsidRPr="001D47B8">
        <w:rPr>
          <w:color w:val="010101"/>
          <w:sz w:val="21"/>
          <w:lang w:val="tr-TR"/>
        </w:rPr>
        <w:t>6, 9</w:t>
      </w:r>
      <w:r w:rsidRPr="001D47B8">
        <w:rPr>
          <w:color w:val="1F1F1F"/>
          <w:sz w:val="21"/>
          <w:lang w:val="tr-TR"/>
        </w:rPr>
        <w:t xml:space="preserve">, </w:t>
      </w:r>
      <w:r w:rsidRPr="001D47B8">
        <w:rPr>
          <w:color w:val="010101"/>
          <w:sz w:val="21"/>
          <w:lang w:val="tr-TR"/>
        </w:rPr>
        <w:t>16 ve 29 sayılı maddeler) ve Dernekler Kanununda (1, 3, 19, 21, 30A, 32 ve 36 sayılı maddeler) yapılan değişiklikl</w:t>
      </w:r>
      <w:r w:rsidR="009F2FDF" w:rsidRPr="001D47B8">
        <w:rPr>
          <w:color w:val="010101"/>
          <w:sz w:val="21"/>
          <w:lang w:val="tr-TR"/>
        </w:rPr>
        <w:t xml:space="preserve">er ile sınırlı olup, dernekler, vakıflar ve insan hakları savunucularının işleyişini etkileyen maddeler üzerinde özellikle durulmaktadır. </w:t>
      </w:r>
      <w:r w:rsidR="00FE5E55" w:rsidRPr="001D47B8">
        <w:rPr>
          <w:color w:val="010101"/>
          <w:sz w:val="21"/>
          <w:lang w:val="tr-TR"/>
        </w:rPr>
        <w:t xml:space="preserve">Görüşün amacı, yapılan kanun değişikliklerinin uluslararası insan hakları standartları ile uygunluğunu değerlendirmektir. Türkiye, İnsan Hakları ve Temel Özgürlüklerin Korunmasına İlişkin Avrupa Sözleşmesine (AİHS) ve Medeni ve Siyasi Haklara İlişkin Uluslararası Sözleşmeye (ICCPR) taraftır. </w:t>
      </w:r>
      <w:r w:rsidR="008123E9">
        <w:rPr>
          <w:color w:val="010101"/>
          <w:sz w:val="21"/>
          <w:lang w:val="tr-TR"/>
        </w:rPr>
        <w:t>Görüşte, u</w:t>
      </w:r>
      <w:r w:rsidR="00FE5E55" w:rsidRPr="001D47B8">
        <w:rPr>
          <w:color w:val="010101"/>
          <w:sz w:val="21"/>
          <w:lang w:val="tr-TR"/>
        </w:rPr>
        <w:t>luslararası insan hakları standartlarının uygulanışı</w:t>
      </w:r>
      <w:r w:rsidR="00E73D46">
        <w:rPr>
          <w:color w:val="010101"/>
          <w:sz w:val="21"/>
          <w:lang w:val="tr-TR"/>
        </w:rPr>
        <w:t xml:space="preserve"> ile ilgili olarak </w:t>
      </w:r>
      <w:r w:rsidR="00FE5E55" w:rsidRPr="001D47B8">
        <w:rPr>
          <w:color w:val="010101"/>
          <w:sz w:val="21"/>
          <w:lang w:val="tr-TR"/>
        </w:rPr>
        <w:t xml:space="preserve">Türkiye Cumhuriyeti Anayasasına da bazı atıflar </w:t>
      </w:r>
      <w:r w:rsidR="008123E9">
        <w:rPr>
          <w:color w:val="010101"/>
          <w:sz w:val="21"/>
          <w:lang w:val="tr-TR"/>
        </w:rPr>
        <w:t>yapılmaktadır.</w:t>
      </w:r>
      <w:r w:rsidR="00FE5E55" w:rsidRPr="001D47B8">
        <w:rPr>
          <w:color w:val="010101"/>
          <w:sz w:val="21"/>
          <w:lang w:val="tr-TR"/>
        </w:rPr>
        <w:t xml:space="preserve">  </w:t>
      </w:r>
    </w:p>
    <w:p w14:paraId="40FB5EDB" w14:textId="77777777" w:rsidR="00570554" w:rsidRPr="001D47B8" w:rsidRDefault="00570554" w:rsidP="00570554">
      <w:pPr>
        <w:pStyle w:val="ListeParagraf"/>
        <w:tabs>
          <w:tab w:val="left" w:pos="671"/>
        </w:tabs>
        <w:spacing w:line="252" w:lineRule="auto"/>
        <w:ind w:left="127" w:right="322" w:firstLine="0"/>
        <w:jc w:val="right"/>
        <w:rPr>
          <w:color w:val="010101"/>
          <w:sz w:val="21"/>
          <w:lang w:val="tr-TR"/>
        </w:rPr>
      </w:pPr>
    </w:p>
    <w:p w14:paraId="212E0863" w14:textId="77777777" w:rsidR="001B3C12" w:rsidRPr="001D47B8" w:rsidRDefault="001B3C12" w:rsidP="001C4B9F">
      <w:pPr>
        <w:pStyle w:val="GvdeMetni"/>
        <w:spacing w:before="11"/>
        <w:jc w:val="both"/>
        <w:rPr>
          <w:lang w:val="tr-TR"/>
        </w:rPr>
      </w:pPr>
    </w:p>
    <w:p w14:paraId="7E047422" w14:textId="5468651D" w:rsidR="001B3C12" w:rsidRPr="001D47B8" w:rsidRDefault="00C77180" w:rsidP="001C4B9F">
      <w:pPr>
        <w:pStyle w:val="Balk2"/>
        <w:jc w:val="both"/>
        <w:rPr>
          <w:lang w:val="tr-TR"/>
        </w:rPr>
      </w:pPr>
      <w:bookmarkStart w:id="6" w:name="_TOC_250009"/>
      <w:r w:rsidRPr="001D47B8">
        <w:rPr>
          <w:color w:val="010101"/>
          <w:w w:val="105"/>
          <w:lang w:val="tr-TR"/>
        </w:rPr>
        <w:t>Ill.</w:t>
      </w:r>
      <w:r w:rsidRPr="001D47B8">
        <w:rPr>
          <w:color w:val="010101"/>
          <w:spacing w:val="36"/>
          <w:w w:val="105"/>
          <w:lang w:val="tr-TR"/>
        </w:rPr>
        <w:t xml:space="preserve"> </w:t>
      </w:r>
      <w:bookmarkEnd w:id="6"/>
      <w:r w:rsidR="003172A6" w:rsidRPr="001D47B8">
        <w:rPr>
          <w:color w:val="010101"/>
          <w:w w:val="105"/>
          <w:lang w:val="tr-TR"/>
        </w:rPr>
        <w:t>Analiz</w:t>
      </w:r>
    </w:p>
    <w:p w14:paraId="0BE84912" w14:textId="77777777" w:rsidR="001B3C12" w:rsidRPr="001D47B8" w:rsidRDefault="001B3C12" w:rsidP="001C4B9F">
      <w:pPr>
        <w:pStyle w:val="GvdeMetni"/>
        <w:jc w:val="both"/>
        <w:rPr>
          <w:b/>
          <w:sz w:val="22"/>
          <w:lang w:val="tr-TR"/>
        </w:rPr>
      </w:pPr>
    </w:p>
    <w:p w14:paraId="6947EFCF" w14:textId="77777777" w:rsidR="001B3C12" w:rsidRPr="001D47B8" w:rsidRDefault="001B3C12" w:rsidP="001C4B9F">
      <w:pPr>
        <w:pStyle w:val="GvdeMetni"/>
        <w:jc w:val="both"/>
        <w:rPr>
          <w:b/>
          <w:sz w:val="23"/>
          <w:lang w:val="tr-TR"/>
        </w:rPr>
      </w:pPr>
    </w:p>
    <w:p w14:paraId="07C7C1DA" w14:textId="67594BF2" w:rsidR="001B3C12" w:rsidRPr="001D47B8" w:rsidRDefault="003172A6" w:rsidP="001C4B9F">
      <w:pPr>
        <w:pStyle w:val="Balk2"/>
        <w:numPr>
          <w:ilvl w:val="0"/>
          <w:numId w:val="8"/>
        </w:numPr>
        <w:tabs>
          <w:tab w:val="left" w:pos="488"/>
        </w:tabs>
        <w:jc w:val="both"/>
        <w:rPr>
          <w:color w:val="010101"/>
          <w:lang w:val="tr-TR"/>
        </w:rPr>
      </w:pPr>
      <w:r w:rsidRPr="001D47B8">
        <w:rPr>
          <w:color w:val="010101"/>
          <w:lang w:val="tr-TR"/>
        </w:rPr>
        <w:t>Uluslararası standartlar</w:t>
      </w:r>
    </w:p>
    <w:p w14:paraId="15648005" w14:textId="77777777" w:rsidR="001B3C12" w:rsidRPr="001D47B8" w:rsidRDefault="001B3C12" w:rsidP="001C4B9F">
      <w:pPr>
        <w:pStyle w:val="GvdeMetni"/>
        <w:spacing w:before="4"/>
        <w:jc w:val="both"/>
        <w:rPr>
          <w:b/>
          <w:sz w:val="23"/>
          <w:lang w:val="tr-TR"/>
        </w:rPr>
      </w:pPr>
    </w:p>
    <w:p w14:paraId="4B8FFFA8" w14:textId="47946ED9" w:rsidR="001B3C12" w:rsidRPr="001D47B8" w:rsidRDefault="003172A6" w:rsidP="001C4B9F">
      <w:pPr>
        <w:pStyle w:val="Balk2"/>
        <w:numPr>
          <w:ilvl w:val="1"/>
          <w:numId w:val="8"/>
        </w:numPr>
        <w:tabs>
          <w:tab w:val="left" w:pos="1362"/>
        </w:tabs>
        <w:ind w:hanging="363"/>
        <w:jc w:val="both"/>
        <w:rPr>
          <w:lang w:val="tr-TR"/>
        </w:rPr>
      </w:pPr>
      <w:r w:rsidRPr="001D47B8">
        <w:rPr>
          <w:color w:val="010101"/>
          <w:spacing w:val="-1"/>
          <w:w w:val="105"/>
          <w:lang w:val="tr-TR"/>
        </w:rPr>
        <w:t>Örgütlenme özgürlüğü</w:t>
      </w:r>
    </w:p>
    <w:p w14:paraId="6E4FA094" w14:textId="77777777" w:rsidR="001B3C12" w:rsidRPr="001D47B8" w:rsidRDefault="001B3C12" w:rsidP="001C4B9F">
      <w:pPr>
        <w:pStyle w:val="GvdeMetni"/>
        <w:jc w:val="both"/>
        <w:rPr>
          <w:b/>
          <w:sz w:val="20"/>
          <w:lang w:val="tr-TR"/>
        </w:rPr>
      </w:pPr>
    </w:p>
    <w:p w14:paraId="7FD031B7" w14:textId="77777777" w:rsidR="001B3C12" w:rsidRPr="001D47B8" w:rsidRDefault="001B3C12" w:rsidP="001C4B9F">
      <w:pPr>
        <w:pStyle w:val="GvdeMetni"/>
        <w:jc w:val="both"/>
        <w:rPr>
          <w:b/>
          <w:sz w:val="20"/>
          <w:lang w:val="tr-TR"/>
        </w:rPr>
      </w:pPr>
    </w:p>
    <w:p w14:paraId="711045AB" w14:textId="57260A73" w:rsidR="001B3C12" w:rsidRPr="001D47B8" w:rsidRDefault="001B3C12" w:rsidP="001C4B9F">
      <w:pPr>
        <w:pStyle w:val="GvdeMetni"/>
        <w:jc w:val="both"/>
        <w:rPr>
          <w:b/>
          <w:sz w:val="15"/>
          <w:lang w:val="tr-TR"/>
        </w:rPr>
      </w:pPr>
    </w:p>
    <w:p w14:paraId="22B81648" w14:textId="59ED4BFC" w:rsidR="001B3C12" w:rsidRPr="001D47B8" w:rsidRDefault="00FE5E55" w:rsidP="001C4B9F">
      <w:pPr>
        <w:pStyle w:val="GvdeMetni"/>
        <w:spacing w:before="92"/>
        <w:ind w:left="183"/>
        <w:jc w:val="both"/>
        <w:rPr>
          <w:lang w:val="tr-TR"/>
        </w:rPr>
      </w:pPr>
      <w:r w:rsidRPr="001D47B8">
        <w:rPr>
          <w:color w:val="010101"/>
          <w:lang w:val="tr-TR"/>
        </w:rPr>
        <w:lastRenderedPageBreak/>
        <w:t>Genel yorumlar</w:t>
      </w:r>
    </w:p>
    <w:p w14:paraId="0B3B8B5F" w14:textId="77777777" w:rsidR="001B3C12" w:rsidRPr="001D47B8" w:rsidRDefault="001B3C12" w:rsidP="001C4B9F">
      <w:pPr>
        <w:pStyle w:val="GvdeMetni"/>
        <w:spacing w:before="3"/>
        <w:jc w:val="both"/>
        <w:rPr>
          <w:sz w:val="23"/>
          <w:lang w:val="tr-TR"/>
        </w:rPr>
      </w:pPr>
    </w:p>
    <w:p w14:paraId="6521F0D7" w14:textId="3EC80D98" w:rsidR="00322123" w:rsidRPr="001D47B8" w:rsidRDefault="00322123" w:rsidP="00E26483">
      <w:pPr>
        <w:pStyle w:val="ListeParagraf"/>
        <w:numPr>
          <w:ilvl w:val="0"/>
          <w:numId w:val="7"/>
        </w:numPr>
        <w:tabs>
          <w:tab w:val="left" w:pos="671"/>
        </w:tabs>
        <w:spacing w:before="1" w:line="252" w:lineRule="auto"/>
        <w:ind w:left="127" w:right="315" w:firstLine="0"/>
        <w:rPr>
          <w:color w:val="010101"/>
          <w:sz w:val="21"/>
          <w:lang w:val="tr-TR"/>
        </w:rPr>
      </w:pPr>
      <w:r w:rsidRPr="00AF4BB7">
        <w:rPr>
          <w:color w:val="010101"/>
          <w:sz w:val="21"/>
          <w:szCs w:val="21"/>
          <w:lang w:val="tr-TR"/>
        </w:rPr>
        <w:t xml:space="preserve">Örgütlenme özgürlüğü, </w:t>
      </w:r>
      <w:r w:rsidR="00CE7690" w:rsidRPr="00AF4BB7">
        <w:rPr>
          <w:color w:val="010101"/>
          <w:sz w:val="21"/>
          <w:szCs w:val="21"/>
          <w:lang w:val="tr-TR"/>
        </w:rPr>
        <w:t>1948 tarihli İnsan Hakları Evrensel Bildirgesi (İHEB, 20. Madde) , ICCPR /22. Madde) ve AİHS (11. madde) gibi çeşitli uluslararası ve bölgesel insan hakları belgeleri tarafından güvence altına alınmıştır. Örgütlenme özgürlüğü ayrıca</w:t>
      </w:r>
      <w:r w:rsidR="00F52C7B" w:rsidRPr="00AF4BB7">
        <w:rPr>
          <w:color w:val="010101"/>
          <w:sz w:val="21"/>
          <w:szCs w:val="21"/>
          <w:lang w:val="tr-TR"/>
        </w:rPr>
        <w:t>,</w:t>
      </w:r>
      <w:r w:rsidR="00CE7690" w:rsidRPr="00AF4BB7">
        <w:rPr>
          <w:color w:val="010101"/>
          <w:sz w:val="21"/>
          <w:szCs w:val="21"/>
          <w:lang w:val="tr-TR"/>
        </w:rPr>
        <w:t xml:space="preserve"> farklı uluslararası hükümet kuruluş</w:t>
      </w:r>
      <w:r w:rsidR="00486A50" w:rsidRPr="00AF4BB7">
        <w:rPr>
          <w:color w:val="010101"/>
          <w:sz w:val="21"/>
          <w:szCs w:val="21"/>
          <w:lang w:val="tr-TR"/>
        </w:rPr>
        <w:t>lar</w:t>
      </w:r>
      <w:r w:rsidR="00CE7690" w:rsidRPr="00AF4BB7">
        <w:rPr>
          <w:color w:val="010101"/>
          <w:sz w:val="21"/>
          <w:szCs w:val="21"/>
          <w:lang w:val="tr-TR"/>
        </w:rPr>
        <w:t xml:space="preserve"> ve sivil toplum örgüt</w:t>
      </w:r>
      <w:r w:rsidR="00486A50" w:rsidRPr="00AF4BB7">
        <w:rPr>
          <w:color w:val="010101"/>
          <w:sz w:val="21"/>
          <w:szCs w:val="21"/>
          <w:lang w:val="tr-TR"/>
        </w:rPr>
        <w:t>ler</w:t>
      </w:r>
      <w:r w:rsidR="00CE7690" w:rsidRPr="00AF4BB7">
        <w:rPr>
          <w:color w:val="010101"/>
          <w:sz w:val="21"/>
          <w:szCs w:val="21"/>
          <w:lang w:val="tr-TR"/>
        </w:rPr>
        <w:t xml:space="preserve"> tarafından kabul edilen pek çok belgede </w:t>
      </w:r>
      <w:r w:rsidR="00AF4BB7" w:rsidRPr="00AF4BB7">
        <w:rPr>
          <w:color w:val="010101"/>
          <w:sz w:val="21"/>
          <w:szCs w:val="21"/>
          <w:lang w:val="tr-TR"/>
        </w:rPr>
        <w:t xml:space="preserve">de </w:t>
      </w:r>
      <w:r w:rsidR="00CE7690" w:rsidRPr="00AF4BB7">
        <w:rPr>
          <w:color w:val="010101"/>
          <w:sz w:val="21"/>
          <w:szCs w:val="21"/>
          <w:lang w:val="tr-TR"/>
        </w:rPr>
        <w:t>ele alınmaktadır. Bu konuya ilişkin uluslararası yasal belgeler arasında</w:t>
      </w:r>
      <w:r w:rsidR="00043582" w:rsidRPr="00AF4BB7">
        <w:rPr>
          <w:color w:val="010101"/>
          <w:sz w:val="21"/>
          <w:szCs w:val="21"/>
          <w:lang w:val="tr-TR"/>
        </w:rPr>
        <w:t>,</w:t>
      </w:r>
      <w:r w:rsidR="00CE7690" w:rsidRPr="00AF4BB7">
        <w:rPr>
          <w:color w:val="010101"/>
          <w:sz w:val="21"/>
          <w:szCs w:val="21"/>
          <w:lang w:val="tr-TR"/>
        </w:rPr>
        <w:t xml:space="preserve"> Avrupa Konseyi Bakanlar Komitesi’nin Avrupa’da Sivil Toplum </w:t>
      </w:r>
      <w:r w:rsidR="00043582" w:rsidRPr="00AF4BB7">
        <w:rPr>
          <w:color w:val="010101"/>
          <w:sz w:val="21"/>
          <w:szCs w:val="21"/>
          <w:lang w:val="tr-TR"/>
        </w:rPr>
        <w:t>Örgütlerinin</w:t>
      </w:r>
      <w:r w:rsidR="00CE7690" w:rsidRPr="00AF4BB7">
        <w:rPr>
          <w:color w:val="010101"/>
          <w:sz w:val="21"/>
          <w:szCs w:val="21"/>
          <w:lang w:val="tr-TR"/>
        </w:rPr>
        <w:t xml:space="preserve"> Yasal Statüsü Hakkında </w:t>
      </w:r>
      <w:r w:rsidR="00043582" w:rsidRPr="00AF4BB7">
        <w:rPr>
          <w:color w:val="010101"/>
          <w:sz w:val="21"/>
          <w:szCs w:val="21"/>
          <w:lang w:val="tr-TR"/>
        </w:rPr>
        <w:t>(2007) 14 sayılı Tavsiye Kararı; Avrupa’da Sivil Toplum Örgütlerinin Statüsüne Dair Avrupa Konseyi Temel İlkeleri (2002); AGİT</w:t>
      </w:r>
      <w:r w:rsidR="00043582" w:rsidRPr="00AF4BB7">
        <w:rPr>
          <w:sz w:val="21"/>
          <w:szCs w:val="21"/>
          <w:lang w:val="tr-TR"/>
        </w:rPr>
        <w:t xml:space="preserve"> Demokratik Kurumlar ve İnsan Hakları Ofisi (</w:t>
      </w:r>
      <w:r w:rsidR="00052161" w:rsidRPr="00AF4BB7">
        <w:rPr>
          <w:sz w:val="21"/>
          <w:szCs w:val="21"/>
          <w:lang w:val="tr-TR"/>
        </w:rPr>
        <w:t>AGİT/</w:t>
      </w:r>
      <w:r w:rsidR="00043582" w:rsidRPr="00AF4BB7">
        <w:rPr>
          <w:sz w:val="21"/>
          <w:szCs w:val="21"/>
          <w:lang w:val="tr-TR"/>
        </w:rPr>
        <w:t>DKIHO)</w:t>
      </w:r>
      <w:r w:rsidR="00D868FD" w:rsidRPr="00AF4BB7">
        <w:rPr>
          <w:sz w:val="21"/>
          <w:szCs w:val="21"/>
          <w:lang w:val="tr-TR"/>
        </w:rPr>
        <w:t xml:space="preserve"> ve Venedik Komisyonu tarafından yayınlanan 2014 tarihli Örgütlenme Özgürlüğü Ortak Rehberi yer almaktadır. Örgütlenme özgürlüğünün demokrasilerin işleyişi ve diğer temel özgürlüklerin sağlanması bakımından oynadığı hayati rol, </w:t>
      </w:r>
      <w:r w:rsidR="00C0435C">
        <w:rPr>
          <w:sz w:val="21"/>
          <w:szCs w:val="21"/>
          <w:lang w:val="tr-TR"/>
        </w:rPr>
        <w:t xml:space="preserve">derneklerin </w:t>
      </w:r>
      <w:r w:rsidR="00D868FD" w:rsidRPr="00AF4BB7">
        <w:rPr>
          <w:sz w:val="21"/>
          <w:szCs w:val="21"/>
          <w:lang w:val="tr-TR"/>
        </w:rPr>
        <w:t xml:space="preserve">demokrasi ve insan haklarının gelişimi ve uygulanmasına katkıda bulunarak, kamu yararına olan amaçlara ulaşmada oynadığı önemli rol ile </w:t>
      </w:r>
      <w:r w:rsidR="00074D71" w:rsidRPr="00AF4BB7">
        <w:rPr>
          <w:sz w:val="21"/>
          <w:szCs w:val="21"/>
          <w:lang w:val="tr-TR"/>
        </w:rPr>
        <w:t>paralel</w:t>
      </w:r>
      <w:r w:rsidR="00D868FD" w:rsidRPr="00AF4BB7">
        <w:rPr>
          <w:sz w:val="21"/>
          <w:szCs w:val="21"/>
          <w:lang w:val="tr-TR"/>
        </w:rPr>
        <w:t xml:space="preserve"> olarak sürekli vurgulanmıştır</w:t>
      </w:r>
      <w:r w:rsidR="00D868FD" w:rsidRPr="001D47B8">
        <w:rPr>
          <w:lang w:val="tr-TR"/>
        </w:rPr>
        <w:t>.</w:t>
      </w:r>
      <w:r w:rsidR="00D868FD" w:rsidRPr="001D47B8">
        <w:rPr>
          <w:rStyle w:val="DipnotBavurusu"/>
          <w:lang w:val="tr-TR"/>
        </w:rPr>
        <w:footnoteReference w:id="19"/>
      </w:r>
      <w:r w:rsidR="00D868FD" w:rsidRPr="001D47B8">
        <w:rPr>
          <w:lang w:val="tr-TR"/>
        </w:rPr>
        <w:t xml:space="preserve"> </w:t>
      </w:r>
    </w:p>
    <w:p w14:paraId="5F59A806" w14:textId="77777777" w:rsidR="00043582" w:rsidRPr="001D47B8" w:rsidRDefault="00043582" w:rsidP="00D868FD">
      <w:pPr>
        <w:pStyle w:val="ListeParagraf"/>
        <w:tabs>
          <w:tab w:val="left" w:pos="671"/>
        </w:tabs>
        <w:spacing w:before="1" w:line="252" w:lineRule="auto"/>
        <w:ind w:left="127" w:right="315" w:firstLine="0"/>
        <w:rPr>
          <w:color w:val="010101"/>
          <w:sz w:val="21"/>
          <w:lang w:val="tr-TR"/>
        </w:rPr>
      </w:pPr>
    </w:p>
    <w:p w14:paraId="7EE651EC" w14:textId="79061CB7" w:rsidR="00D868FD" w:rsidRPr="001D47B8" w:rsidRDefault="00D868FD" w:rsidP="00DB74A2">
      <w:pPr>
        <w:pStyle w:val="ListeParagraf"/>
        <w:numPr>
          <w:ilvl w:val="0"/>
          <w:numId w:val="7"/>
        </w:numPr>
        <w:tabs>
          <w:tab w:val="left" w:pos="668"/>
        </w:tabs>
        <w:spacing w:line="252" w:lineRule="auto"/>
        <w:ind w:left="130" w:right="324" w:firstLine="0"/>
        <w:rPr>
          <w:color w:val="010101"/>
          <w:sz w:val="21"/>
          <w:lang w:val="tr-TR"/>
        </w:rPr>
      </w:pPr>
      <w:r w:rsidRPr="001D47B8">
        <w:rPr>
          <w:color w:val="010101"/>
          <w:sz w:val="21"/>
          <w:lang w:val="tr-TR"/>
        </w:rPr>
        <w:t xml:space="preserve">Örgütlenme özgürlüğü, modern demokratik ve çoğulcu toplumların merkezinde yer alır. </w:t>
      </w:r>
      <w:r w:rsidR="00016D65" w:rsidRPr="001D47B8">
        <w:rPr>
          <w:color w:val="010101"/>
          <w:sz w:val="21"/>
          <w:lang w:val="tr-TR"/>
        </w:rPr>
        <w:t>Örgütlenme özgürlüğü, “ülkedeki demokrasi düzeyi</w:t>
      </w:r>
      <w:r w:rsidR="0096108F">
        <w:rPr>
          <w:color w:val="010101"/>
          <w:sz w:val="21"/>
          <w:lang w:val="tr-TR"/>
        </w:rPr>
        <w:t>nin</w:t>
      </w:r>
      <w:r w:rsidR="00016D65" w:rsidRPr="001D47B8">
        <w:rPr>
          <w:color w:val="010101"/>
          <w:sz w:val="21"/>
          <w:lang w:val="tr-TR"/>
        </w:rPr>
        <w:t xml:space="preserve"> ve insan haklarının korunması ile ilgili genel standardın bir barometresi olarak”</w:t>
      </w:r>
      <w:r w:rsidR="00016D65" w:rsidRPr="001D47B8">
        <w:rPr>
          <w:rStyle w:val="DipnotBavurusu"/>
          <w:color w:val="010101"/>
          <w:sz w:val="21"/>
          <w:lang w:val="tr-TR"/>
        </w:rPr>
        <w:footnoteReference w:id="20"/>
      </w:r>
      <w:r w:rsidR="0096108F">
        <w:rPr>
          <w:color w:val="010101"/>
          <w:sz w:val="21"/>
          <w:lang w:val="tr-TR"/>
        </w:rPr>
        <w:t xml:space="preserve"> </w:t>
      </w:r>
      <w:r w:rsidR="00016D65" w:rsidRPr="001D47B8">
        <w:rPr>
          <w:color w:val="010101"/>
          <w:sz w:val="21"/>
          <w:lang w:val="tr-TR"/>
        </w:rPr>
        <w:t>görev yapar. Derneklerin önemi göz önüne alındığında, derneklerin işleyişinin yerel hukuk tarafından etkili biçimde korunması büyük önem taşımaktadır; zira  “örgütlenme özgürlüğü ve bu özgürlüğün yetkililer tarafından pratikte uygulanışının ulusal mevzuatta güvence altına alınma şekli, o ülkedeki demokrasinin durumunu ortaya koyar”</w:t>
      </w:r>
      <w:r w:rsidR="00124CC0" w:rsidRPr="001D47B8">
        <w:rPr>
          <w:color w:val="010101"/>
          <w:sz w:val="21"/>
          <w:lang w:val="tr-TR"/>
        </w:rPr>
        <w:t>.</w:t>
      </w:r>
      <w:r w:rsidR="00124CC0" w:rsidRPr="001D47B8">
        <w:rPr>
          <w:rStyle w:val="DipnotBavurusu"/>
          <w:color w:val="010101"/>
          <w:sz w:val="21"/>
          <w:lang w:val="tr-TR"/>
        </w:rPr>
        <w:footnoteReference w:id="21"/>
      </w:r>
    </w:p>
    <w:p w14:paraId="1FD31799" w14:textId="77777777" w:rsidR="001B3C12" w:rsidRPr="001D47B8" w:rsidRDefault="001B3C12" w:rsidP="001C4B9F">
      <w:pPr>
        <w:pStyle w:val="GvdeMetni"/>
        <w:spacing w:before="10"/>
        <w:jc w:val="both"/>
        <w:rPr>
          <w:lang w:val="tr-TR"/>
        </w:rPr>
      </w:pPr>
    </w:p>
    <w:p w14:paraId="537A59A0" w14:textId="7ACF576C" w:rsidR="00124CC0" w:rsidRPr="001D47B8" w:rsidRDefault="00124CC0" w:rsidP="001C4B9F">
      <w:pPr>
        <w:pStyle w:val="ListeParagraf"/>
        <w:numPr>
          <w:ilvl w:val="0"/>
          <w:numId w:val="7"/>
        </w:numPr>
        <w:tabs>
          <w:tab w:val="left" w:pos="670"/>
        </w:tabs>
        <w:spacing w:line="252" w:lineRule="auto"/>
        <w:ind w:left="124" w:right="317" w:firstLine="6"/>
        <w:rPr>
          <w:color w:val="010101"/>
          <w:sz w:val="21"/>
          <w:lang w:val="tr-TR"/>
        </w:rPr>
      </w:pPr>
      <w:r w:rsidRPr="001D47B8">
        <w:rPr>
          <w:color w:val="010101"/>
          <w:sz w:val="21"/>
          <w:lang w:val="tr-TR"/>
        </w:rPr>
        <w:t xml:space="preserve">Devletlerin derneklerin ve üyelerinin hakları ve özgürlüklerine müdahale etmeme şeklinde negatif yükümlülüğü olmasının yanı sıra, bu hakları yerel hukuk ve uygulamada temin etme yönünde pozitif bir yükümlülüğü de bulunur. </w:t>
      </w:r>
      <w:r w:rsidR="00052161" w:rsidRPr="001D47B8">
        <w:rPr>
          <w:color w:val="010101"/>
          <w:sz w:val="21"/>
          <w:lang w:val="tr-TR"/>
        </w:rPr>
        <w:t>Derneklerin faaliyet gösterebileceği elverişli bir ortam yaratmak da bu</w:t>
      </w:r>
      <w:r w:rsidR="00CA182F">
        <w:rPr>
          <w:color w:val="010101"/>
          <w:sz w:val="21"/>
          <w:lang w:val="tr-TR"/>
        </w:rPr>
        <w:t xml:space="preserve"> yükümlülüğe </w:t>
      </w:r>
      <w:r w:rsidR="00052161" w:rsidRPr="001D47B8">
        <w:rPr>
          <w:color w:val="010101"/>
          <w:sz w:val="21"/>
          <w:lang w:val="tr-TR"/>
        </w:rPr>
        <w:t>dâhildir. Elverişli ortamın sağlanabilmesi için, diğer gereksinimlerin yanı sıra, devletin kaynaklara erişimi sağlaması ve derneklerin kaynak arama</w:t>
      </w:r>
      <w:r w:rsidR="007D3D42">
        <w:rPr>
          <w:color w:val="010101"/>
          <w:sz w:val="21"/>
          <w:lang w:val="tr-TR"/>
        </w:rPr>
        <w:t>sına</w:t>
      </w:r>
      <w:r w:rsidR="00052161" w:rsidRPr="001D47B8">
        <w:rPr>
          <w:color w:val="010101"/>
          <w:sz w:val="21"/>
          <w:lang w:val="tr-TR"/>
        </w:rPr>
        <w:t xml:space="preserve">, </w:t>
      </w:r>
      <w:r w:rsidR="007D3D42">
        <w:rPr>
          <w:color w:val="010101"/>
          <w:sz w:val="21"/>
          <w:lang w:val="tr-TR"/>
        </w:rPr>
        <w:t>kabul etmesine</w:t>
      </w:r>
      <w:r w:rsidR="00052161" w:rsidRPr="001D47B8">
        <w:rPr>
          <w:color w:val="010101"/>
          <w:sz w:val="21"/>
          <w:lang w:val="tr-TR"/>
        </w:rPr>
        <w:t xml:space="preserve"> ve kullanmasına izin vermesi gerekir. </w:t>
      </w:r>
      <w:r w:rsidR="00052161" w:rsidRPr="001D47B8">
        <w:rPr>
          <w:rStyle w:val="DipnotBavurusu"/>
          <w:color w:val="010101"/>
          <w:sz w:val="21"/>
          <w:lang w:val="tr-TR"/>
        </w:rPr>
        <w:footnoteReference w:id="22"/>
      </w:r>
    </w:p>
    <w:p w14:paraId="33CEE73B" w14:textId="77777777" w:rsidR="00124CC0" w:rsidRPr="001D47B8" w:rsidRDefault="00124CC0" w:rsidP="00124CC0">
      <w:pPr>
        <w:pStyle w:val="ListeParagraf"/>
        <w:tabs>
          <w:tab w:val="left" w:pos="670"/>
        </w:tabs>
        <w:spacing w:line="252" w:lineRule="auto"/>
        <w:ind w:left="130" w:right="317" w:firstLine="0"/>
        <w:rPr>
          <w:color w:val="010101"/>
          <w:sz w:val="21"/>
          <w:lang w:val="tr-TR"/>
        </w:rPr>
      </w:pPr>
    </w:p>
    <w:p w14:paraId="3FD22F49" w14:textId="4C6D37CA" w:rsidR="001B3C12" w:rsidRPr="001D47B8" w:rsidRDefault="00C77180" w:rsidP="00052161">
      <w:pPr>
        <w:pStyle w:val="ListeParagraf"/>
        <w:tabs>
          <w:tab w:val="left" w:pos="670"/>
        </w:tabs>
        <w:spacing w:line="252" w:lineRule="auto"/>
        <w:ind w:left="130" w:right="317" w:firstLine="0"/>
        <w:rPr>
          <w:lang w:val="tr-TR"/>
        </w:rPr>
      </w:pPr>
      <w:r w:rsidRPr="001D47B8">
        <w:rPr>
          <w:color w:val="010101"/>
          <w:sz w:val="21"/>
          <w:lang w:val="tr-TR"/>
        </w:rPr>
        <w:t xml:space="preserve"> </w:t>
      </w:r>
    </w:p>
    <w:p w14:paraId="7D6CC9F3" w14:textId="49B4FABB" w:rsidR="001B3C12" w:rsidRPr="001D47B8" w:rsidRDefault="00052161" w:rsidP="001C4B9F">
      <w:pPr>
        <w:pStyle w:val="GvdeMetni"/>
        <w:ind w:left="766"/>
        <w:jc w:val="both"/>
        <w:rPr>
          <w:lang w:val="tr-TR"/>
        </w:rPr>
      </w:pPr>
      <w:r w:rsidRPr="001D47B8">
        <w:rPr>
          <w:color w:val="010101"/>
          <w:lang w:val="tr-TR"/>
        </w:rPr>
        <w:t xml:space="preserve">Yerel düzenleyici kuralların niteliği ve usule ilişkin şartları </w:t>
      </w:r>
    </w:p>
    <w:p w14:paraId="518C73F9" w14:textId="77777777" w:rsidR="001B3C12" w:rsidRPr="001D47B8" w:rsidRDefault="001B3C12" w:rsidP="001C4B9F">
      <w:pPr>
        <w:pStyle w:val="GvdeMetni"/>
        <w:spacing w:before="3"/>
        <w:jc w:val="both"/>
        <w:rPr>
          <w:sz w:val="23"/>
          <w:lang w:val="tr-TR"/>
        </w:rPr>
      </w:pPr>
    </w:p>
    <w:p w14:paraId="0ED2C78F" w14:textId="0B43A6EA" w:rsidR="00052161" w:rsidRPr="001D47B8" w:rsidRDefault="00052161" w:rsidP="001C4B9F">
      <w:pPr>
        <w:pStyle w:val="ListeParagraf"/>
        <w:numPr>
          <w:ilvl w:val="0"/>
          <w:numId w:val="7"/>
        </w:numPr>
        <w:tabs>
          <w:tab w:val="left" w:pos="838"/>
        </w:tabs>
        <w:spacing w:before="1" w:line="252" w:lineRule="auto"/>
        <w:ind w:right="331" w:firstLine="7"/>
        <w:rPr>
          <w:color w:val="010101"/>
          <w:sz w:val="21"/>
          <w:lang w:val="tr-TR"/>
        </w:rPr>
      </w:pPr>
      <w:r w:rsidRPr="001D47B8">
        <w:rPr>
          <w:color w:val="010101"/>
          <w:sz w:val="21"/>
          <w:lang w:val="tr-TR"/>
        </w:rPr>
        <w:t>Örgütlenme özgürlüğü ile ilgili mevzuat, ilgili uygulayıcı makamlar tarafından doğru şekilde uygulanması</w:t>
      </w:r>
      <w:r w:rsidR="00D86AC6">
        <w:rPr>
          <w:color w:val="010101"/>
          <w:sz w:val="21"/>
          <w:lang w:val="tr-TR"/>
        </w:rPr>
        <w:t xml:space="preserve"> </w:t>
      </w:r>
      <w:r w:rsidRPr="001D47B8">
        <w:rPr>
          <w:color w:val="010101"/>
          <w:sz w:val="21"/>
          <w:lang w:val="tr-TR"/>
        </w:rPr>
        <w:t xml:space="preserve">için yeterli açıklık, kesinlik ve </w:t>
      </w:r>
      <w:r w:rsidR="0011706D">
        <w:rPr>
          <w:color w:val="010101"/>
          <w:sz w:val="21"/>
          <w:lang w:val="tr-TR"/>
        </w:rPr>
        <w:t>belirlilik</w:t>
      </w:r>
      <w:r w:rsidRPr="001D47B8">
        <w:rPr>
          <w:color w:val="010101"/>
          <w:sz w:val="21"/>
          <w:lang w:val="tr-TR"/>
        </w:rPr>
        <w:t xml:space="preserve"> ile hazırlanmalıdır.</w:t>
      </w:r>
      <w:r w:rsidRPr="001D47B8">
        <w:rPr>
          <w:rStyle w:val="DipnotBavurusu"/>
          <w:color w:val="010101"/>
          <w:sz w:val="21"/>
          <w:lang w:val="tr-TR"/>
        </w:rPr>
        <w:footnoteReference w:id="23"/>
      </w:r>
      <w:r w:rsidRPr="001D47B8">
        <w:rPr>
          <w:color w:val="010101"/>
          <w:sz w:val="21"/>
          <w:lang w:val="tr-TR"/>
        </w:rPr>
        <w:t xml:space="preserve"> Bunun yanı sıra, </w:t>
      </w:r>
      <w:r w:rsidR="00211F9F" w:rsidRPr="001D47B8">
        <w:rPr>
          <w:color w:val="010101"/>
          <w:sz w:val="21"/>
          <w:lang w:val="tr-TR"/>
        </w:rPr>
        <w:t>mevzuat, doğrudan etkilenen çok sayıda paydaşın katılımı ile geniş kapsamlı, kapsayıcı ve katılımcı bir süreç sonucunda kabul edilmelidir.</w:t>
      </w:r>
      <w:r w:rsidR="00211F9F" w:rsidRPr="001D47B8">
        <w:rPr>
          <w:rStyle w:val="DipnotBavurusu"/>
          <w:color w:val="010101"/>
          <w:sz w:val="21"/>
          <w:lang w:val="tr-TR"/>
        </w:rPr>
        <w:footnoteReference w:id="24"/>
      </w:r>
      <w:r w:rsidR="00211F9F" w:rsidRPr="001D47B8">
        <w:rPr>
          <w:color w:val="010101"/>
          <w:sz w:val="21"/>
          <w:lang w:val="tr-TR"/>
        </w:rPr>
        <w:t xml:space="preserve"> Derneklerin kanun ve politika yapımına tüm seviyelerde </w:t>
      </w:r>
      <w:r w:rsidR="00B57A57" w:rsidRPr="001D47B8">
        <w:rPr>
          <w:color w:val="010101"/>
          <w:sz w:val="21"/>
          <w:lang w:val="tr-TR"/>
        </w:rPr>
        <w:t>dâhil</w:t>
      </w:r>
      <w:r w:rsidR="00211F9F" w:rsidRPr="001D47B8">
        <w:rPr>
          <w:color w:val="010101"/>
          <w:sz w:val="21"/>
          <w:lang w:val="tr-TR"/>
        </w:rPr>
        <w:t xml:space="preserve"> olduğu katılımcı bir demokrasinin ön koşullarından biri</w:t>
      </w:r>
      <w:r w:rsidR="00B57A57">
        <w:rPr>
          <w:color w:val="010101"/>
          <w:sz w:val="21"/>
          <w:lang w:val="tr-TR"/>
        </w:rPr>
        <w:t>,</w:t>
      </w:r>
      <w:r w:rsidR="00211F9F" w:rsidRPr="001D47B8">
        <w:rPr>
          <w:color w:val="010101"/>
          <w:sz w:val="21"/>
          <w:lang w:val="tr-TR"/>
        </w:rPr>
        <w:t xml:space="preserve"> açık ve şeffaf bir kanun yapım sürecidir.</w:t>
      </w:r>
      <w:r w:rsidR="00413D4A" w:rsidRPr="001D47B8">
        <w:rPr>
          <w:rStyle w:val="DipnotBavurusu"/>
          <w:color w:val="010101"/>
          <w:sz w:val="21"/>
          <w:lang w:val="tr-TR"/>
        </w:rPr>
        <w:footnoteReference w:id="25"/>
      </w:r>
    </w:p>
    <w:p w14:paraId="68FF2B27" w14:textId="3D406E01" w:rsidR="00121190" w:rsidRPr="001D47B8" w:rsidRDefault="00121190" w:rsidP="00121190">
      <w:pPr>
        <w:tabs>
          <w:tab w:val="left" w:pos="838"/>
        </w:tabs>
        <w:spacing w:before="1" w:line="252" w:lineRule="auto"/>
        <w:ind w:right="331"/>
        <w:rPr>
          <w:color w:val="010101"/>
          <w:sz w:val="21"/>
          <w:lang w:val="tr-TR"/>
        </w:rPr>
      </w:pPr>
    </w:p>
    <w:p w14:paraId="401D4B6B" w14:textId="77777777" w:rsidR="00052161" w:rsidRPr="001D47B8" w:rsidRDefault="00052161" w:rsidP="00052161">
      <w:pPr>
        <w:pStyle w:val="ListeParagraf"/>
        <w:tabs>
          <w:tab w:val="left" w:pos="838"/>
        </w:tabs>
        <w:spacing w:before="1" w:line="252" w:lineRule="auto"/>
        <w:ind w:left="130" w:right="331" w:firstLine="0"/>
        <w:rPr>
          <w:color w:val="010101"/>
          <w:w w:val="105"/>
          <w:sz w:val="21"/>
          <w:lang w:val="tr-TR"/>
        </w:rPr>
      </w:pPr>
    </w:p>
    <w:p w14:paraId="7F8DB70E" w14:textId="6C6AF96E" w:rsidR="001B3C12" w:rsidRPr="001D47B8" w:rsidRDefault="00413D4A" w:rsidP="001C4B9F">
      <w:pPr>
        <w:pStyle w:val="GvdeMetni"/>
        <w:ind w:left="785"/>
        <w:jc w:val="both"/>
        <w:rPr>
          <w:color w:val="010101"/>
          <w:lang w:val="tr-TR"/>
        </w:rPr>
      </w:pPr>
      <w:r w:rsidRPr="001D47B8">
        <w:rPr>
          <w:color w:val="010101"/>
          <w:lang w:val="tr-TR"/>
        </w:rPr>
        <w:t>Derne</w:t>
      </w:r>
      <w:r w:rsidR="00060E87">
        <w:rPr>
          <w:color w:val="010101"/>
          <w:lang w:val="tr-TR"/>
        </w:rPr>
        <w:t>k</w:t>
      </w:r>
      <w:r w:rsidRPr="001D47B8">
        <w:rPr>
          <w:color w:val="010101"/>
          <w:lang w:val="tr-TR"/>
        </w:rPr>
        <w:t xml:space="preserve"> örgütleme özgürlüğü </w:t>
      </w:r>
    </w:p>
    <w:p w14:paraId="35836671" w14:textId="77777777" w:rsidR="00413D4A" w:rsidRPr="001D47B8" w:rsidRDefault="00413D4A" w:rsidP="001C4B9F">
      <w:pPr>
        <w:pStyle w:val="GvdeMetni"/>
        <w:ind w:left="785"/>
        <w:jc w:val="both"/>
        <w:rPr>
          <w:lang w:val="tr-TR"/>
        </w:rPr>
      </w:pPr>
    </w:p>
    <w:p w14:paraId="5F0A0AF0" w14:textId="5EEFD570" w:rsidR="00121190" w:rsidRPr="001D47B8" w:rsidRDefault="00C63EC6" w:rsidP="001C4B9F">
      <w:pPr>
        <w:pStyle w:val="ListeParagraf"/>
        <w:numPr>
          <w:ilvl w:val="0"/>
          <w:numId w:val="7"/>
        </w:numPr>
        <w:tabs>
          <w:tab w:val="left" w:pos="729"/>
        </w:tabs>
        <w:spacing w:before="101" w:line="264" w:lineRule="auto"/>
        <w:ind w:right="322" w:firstLine="7"/>
        <w:rPr>
          <w:color w:val="010101"/>
          <w:sz w:val="20"/>
          <w:lang w:val="tr-TR"/>
        </w:rPr>
      </w:pPr>
      <w:r w:rsidRPr="001D47B8">
        <w:rPr>
          <w:color w:val="010101"/>
          <w:w w:val="105"/>
          <w:sz w:val="20"/>
          <w:lang w:val="tr-TR"/>
        </w:rPr>
        <w:t xml:space="preserve">Dernekler genel olarak özerk olmalıdır. Bunun anlamı, </w:t>
      </w:r>
      <w:r w:rsidR="00121190" w:rsidRPr="001D47B8">
        <w:rPr>
          <w:color w:val="010101"/>
          <w:w w:val="105"/>
          <w:sz w:val="20"/>
          <w:lang w:val="tr-TR"/>
        </w:rPr>
        <w:t>derneklerin iç işleyişinin devlet müdahalesinden</w:t>
      </w:r>
      <w:r w:rsidR="00C77180" w:rsidRPr="001D47B8">
        <w:rPr>
          <w:color w:val="010101"/>
          <w:w w:val="105"/>
          <w:sz w:val="20"/>
          <w:lang w:val="tr-TR"/>
        </w:rPr>
        <w:t xml:space="preserve"> </w:t>
      </w:r>
      <w:r w:rsidR="00121190" w:rsidRPr="001D47B8">
        <w:rPr>
          <w:color w:val="010101"/>
          <w:w w:val="105"/>
          <w:sz w:val="20"/>
          <w:lang w:val="tr-TR"/>
        </w:rPr>
        <w:t>özgür olmasıdır.</w:t>
      </w:r>
      <w:r w:rsidR="00C77180" w:rsidRPr="001D47B8">
        <w:rPr>
          <w:color w:val="010101"/>
          <w:w w:val="105"/>
          <w:sz w:val="20"/>
          <w:lang w:val="tr-TR"/>
        </w:rPr>
        <w:t xml:space="preserve"> </w:t>
      </w:r>
      <w:r w:rsidR="00121190" w:rsidRPr="001D47B8">
        <w:rPr>
          <w:color w:val="010101"/>
          <w:w w:val="105"/>
          <w:sz w:val="20"/>
          <w:lang w:val="tr-TR"/>
        </w:rPr>
        <w:t xml:space="preserve">Derneklerin kendilerini yönetme kapasitesine getirilen kısıtlamaların kabul edilebilmesi için, bu kısıtlamaların uluslararası standartlar tarafından kabul </w:t>
      </w:r>
      <w:r w:rsidR="00121190" w:rsidRPr="001D47B8">
        <w:rPr>
          <w:color w:val="010101"/>
          <w:w w:val="105"/>
          <w:sz w:val="20"/>
          <w:lang w:val="tr-TR"/>
        </w:rPr>
        <w:lastRenderedPageBreak/>
        <w:t>edilen meşru bir amaç doğrultusunda olması, hukuki bir dayanağa sahip olmas</w:t>
      </w:r>
      <w:r w:rsidR="00060E87">
        <w:rPr>
          <w:color w:val="010101"/>
          <w:w w:val="105"/>
          <w:sz w:val="20"/>
          <w:lang w:val="tr-TR"/>
        </w:rPr>
        <w:t>ı</w:t>
      </w:r>
      <w:r w:rsidR="00121190" w:rsidRPr="001D47B8">
        <w:rPr>
          <w:color w:val="010101"/>
          <w:w w:val="105"/>
          <w:sz w:val="20"/>
          <w:lang w:val="tr-TR"/>
        </w:rPr>
        <w:t xml:space="preserve"> ve yarattıkları etkinin ölçüsüz olmaması gerekir.</w:t>
      </w:r>
      <w:r w:rsidR="00121190" w:rsidRPr="001D47B8">
        <w:rPr>
          <w:rStyle w:val="DipnotBavurusu"/>
          <w:color w:val="010101"/>
          <w:w w:val="105"/>
          <w:sz w:val="20"/>
          <w:lang w:val="tr-TR"/>
        </w:rPr>
        <w:footnoteReference w:id="26"/>
      </w:r>
      <w:r w:rsidR="00121190" w:rsidRPr="001D47B8">
        <w:rPr>
          <w:color w:val="010101"/>
          <w:w w:val="105"/>
          <w:sz w:val="20"/>
          <w:lang w:val="tr-TR"/>
        </w:rPr>
        <w:t xml:space="preserve">   </w:t>
      </w:r>
    </w:p>
    <w:p w14:paraId="45BC8F57" w14:textId="77777777" w:rsidR="001B3C12" w:rsidRPr="001D47B8" w:rsidRDefault="001B3C12" w:rsidP="001C4B9F">
      <w:pPr>
        <w:pStyle w:val="GvdeMetni"/>
        <w:spacing w:before="3"/>
        <w:jc w:val="both"/>
        <w:rPr>
          <w:sz w:val="22"/>
          <w:lang w:val="tr-TR"/>
        </w:rPr>
      </w:pPr>
    </w:p>
    <w:p w14:paraId="0D50D9E3" w14:textId="2F2998C1" w:rsidR="00121190" w:rsidRPr="001D47B8" w:rsidRDefault="00121190" w:rsidP="001C4B9F">
      <w:pPr>
        <w:pStyle w:val="ListeParagraf"/>
        <w:numPr>
          <w:ilvl w:val="0"/>
          <w:numId w:val="7"/>
        </w:numPr>
        <w:tabs>
          <w:tab w:val="left" w:pos="671"/>
        </w:tabs>
        <w:spacing w:line="264" w:lineRule="auto"/>
        <w:ind w:left="128" w:right="322" w:hanging="3"/>
        <w:rPr>
          <w:color w:val="010101"/>
          <w:sz w:val="20"/>
          <w:lang w:val="tr-TR"/>
        </w:rPr>
      </w:pPr>
      <w:r w:rsidRPr="001D47B8">
        <w:rPr>
          <w:color w:val="010101"/>
          <w:w w:val="105"/>
          <w:sz w:val="20"/>
          <w:lang w:val="tr-TR"/>
        </w:rPr>
        <w:t>Dernekler, iç yönetim yapılarını</w:t>
      </w:r>
      <w:r w:rsidR="006437BC" w:rsidRPr="001D47B8">
        <w:rPr>
          <w:color w:val="010101"/>
          <w:w w:val="105"/>
          <w:sz w:val="20"/>
          <w:lang w:val="tr-TR"/>
        </w:rPr>
        <w:t xml:space="preserve"> ve en yüksek yönetim organlarını</w:t>
      </w:r>
      <w:r w:rsidRPr="001D47B8">
        <w:rPr>
          <w:color w:val="010101"/>
          <w:w w:val="105"/>
          <w:sz w:val="20"/>
          <w:lang w:val="tr-TR"/>
        </w:rPr>
        <w:t xml:space="preserve"> belirlem</w:t>
      </w:r>
      <w:r w:rsidR="006437BC" w:rsidRPr="001D47B8">
        <w:rPr>
          <w:color w:val="010101"/>
          <w:w w:val="105"/>
          <w:sz w:val="20"/>
          <w:lang w:val="tr-TR"/>
        </w:rPr>
        <w:t xml:space="preserve">e konusunda özgür olmalıdır. </w:t>
      </w:r>
      <w:r w:rsidR="00C44EA3">
        <w:rPr>
          <w:color w:val="010101"/>
          <w:w w:val="105"/>
          <w:sz w:val="20"/>
          <w:lang w:val="tr-TR"/>
        </w:rPr>
        <w:t>U</w:t>
      </w:r>
      <w:r w:rsidR="0005560B" w:rsidRPr="001D47B8">
        <w:rPr>
          <w:color w:val="010101"/>
          <w:w w:val="105"/>
          <w:sz w:val="20"/>
          <w:lang w:val="tr-TR"/>
        </w:rPr>
        <w:t xml:space="preserve">luslararası standartlara uygun bir kanun uyarınca derneklerin yönetim organlarında görevli </w:t>
      </w:r>
      <w:r w:rsidR="005D7A3F">
        <w:rPr>
          <w:color w:val="010101"/>
          <w:w w:val="105"/>
          <w:sz w:val="20"/>
          <w:lang w:val="tr-TR"/>
        </w:rPr>
        <w:t>alması</w:t>
      </w:r>
      <w:r w:rsidR="0005560B" w:rsidRPr="001D47B8">
        <w:rPr>
          <w:color w:val="010101"/>
          <w:w w:val="105"/>
          <w:sz w:val="20"/>
          <w:lang w:val="tr-TR"/>
        </w:rPr>
        <w:t xml:space="preserve"> men edilen kişilerin yönetime seçildiği durumlar haricinde, </w:t>
      </w:r>
      <w:r w:rsidR="00C44EA3">
        <w:rPr>
          <w:color w:val="010101"/>
          <w:w w:val="105"/>
          <w:sz w:val="20"/>
          <w:lang w:val="tr-TR"/>
        </w:rPr>
        <w:t>k</w:t>
      </w:r>
      <w:r w:rsidR="00C44EA3" w:rsidRPr="001D47B8">
        <w:rPr>
          <w:color w:val="010101"/>
          <w:w w:val="105"/>
          <w:sz w:val="20"/>
          <w:lang w:val="tr-TR"/>
        </w:rPr>
        <w:t xml:space="preserve">amu yetkilileri </w:t>
      </w:r>
      <w:r w:rsidR="0005560B" w:rsidRPr="001D47B8">
        <w:rPr>
          <w:color w:val="010101"/>
          <w:w w:val="105"/>
          <w:sz w:val="20"/>
          <w:lang w:val="tr-TR"/>
        </w:rPr>
        <w:t>derneklerin yönetimlerini ya da temsilcilerini seçmesine müdahale etmemelidir.</w:t>
      </w:r>
    </w:p>
    <w:p w14:paraId="73AB5B83" w14:textId="77777777" w:rsidR="001B3C12" w:rsidRPr="001D47B8" w:rsidRDefault="001B3C12" w:rsidP="001C4B9F">
      <w:pPr>
        <w:pStyle w:val="GvdeMetni"/>
        <w:spacing w:before="11"/>
        <w:jc w:val="both"/>
        <w:rPr>
          <w:lang w:val="tr-TR"/>
        </w:rPr>
      </w:pPr>
    </w:p>
    <w:p w14:paraId="78BA872F" w14:textId="1C21D2D4" w:rsidR="0005560B" w:rsidRPr="001D47B8" w:rsidRDefault="0005560B" w:rsidP="001C4B9F">
      <w:pPr>
        <w:pStyle w:val="ListeParagraf"/>
        <w:numPr>
          <w:ilvl w:val="0"/>
          <w:numId w:val="7"/>
        </w:numPr>
        <w:tabs>
          <w:tab w:val="left" w:pos="670"/>
        </w:tabs>
        <w:spacing w:line="264" w:lineRule="auto"/>
        <w:ind w:right="326" w:firstLine="7"/>
        <w:rPr>
          <w:color w:val="010101"/>
          <w:sz w:val="20"/>
          <w:lang w:val="tr-TR"/>
        </w:rPr>
      </w:pPr>
      <w:r w:rsidRPr="001D47B8">
        <w:rPr>
          <w:color w:val="010101"/>
          <w:sz w:val="20"/>
          <w:lang w:val="tr-TR"/>
        </w:rPr>
        <w:t xml:space="preserve">Ancak son derece istisnai koşullarda derneklerin yönetilmesine dışarıdan müdahale yapılmalıdır. </w:t>
      </w:r>
      <w:r w:rsidR="00173444" w:rsidRPr="001D47B8">
        <w:rPr>
          <w:color w:val="010101"/>
          <w:sz w:val="20"/>
          <w:lang w:val="tr-TR"/>
        </w:rPr>
        <w:t>Müdahaleler ancak</w:t>
      </w:r>
      <w:r w:rsidRPr="001D47B8">
        <w:rPr>
          <w:color w:val="010101"/>
          <w:sz w:val="20"/>
          <w:lang w:val="tr-TR"/>
        </w:rPr>
        <w:t xml:space="preserve"> yasal gereksinimlerin ciddi anlamda ihlal edildiği durumlarda</w:t>
      </w:r>
      <w:r w:rsidR="00EF529C">
        <w:rPr>
          <w:color w:val="010101"/>
          <w:sz w:val="20"/>
          <w:lang w:val="tr-TR"/>
        </w:rPr>
        <w:t xml:space="preserve"> ihlale</w:t>
      </w:r>
      <w:r w:rsidRPr="001D47B8">
        <w:rPr>
          <w:color w:val="010101"/>
          <w:sz w:val="20"/>
          <w:lang w:val="tr-TR"/>
        </w:rPr>
        <w:t xml:space="preserve"> </w:t>
      </w:r>
      <w:r w:rsidR="00173444" w:rsidRPr="001D47B8">
        <w:rPr>
          <w:color w:val="010101"/>
          <w:sz w:val="20"/>
          <w:lang w:val="tr-TR"/>
        </w:rPr>
        <w:t xml:space="preserve">son vermek amacıyla yapılmalıdır; örneğin </w:t>
      </w:r>
      <w:r w:rsidRPr="001D47B8">
        <w:rPr>
          <w:color w:val="010101"/>
          <w:sz w:val="20"/>
          <w:lang w:val="tr-TR"/>
        </w:rPr>
        <w:t>ilgili derneğin ihlal</w:t>
      </w:r>
      <w:r w:rsidR="00F93273">
        <w:rPr>
          <w:color w:val="010101"/>
          <w:sz w:val="20"/>
          <w:lang w:val="tr-TR"/>
        </w:rPr>
        <w:t xml:space="preserve"> yapılmasına rağmen</w:t>
      </w:r>
      <w:r w:rsidR="00173444" w:rsidRPr="001D47B8">
        <w:rPr>
          <w:color w:val="010101"/>
          <w:sz w:val="20"/>
          <w:lang w:val="tr-TR"/>
        </w:rPr>
        <w:t xml:space="preserve"> harekete geçmediği durumlarda ya da aksi takdirde doğabilecek ciddi sonuçlardan ötürü söz konusu gereksinimlerin ihlal edilmesini önlemek gerektiğinde müdahale edilebilir.</w:t>
      </w:r>
      <w:r w:rsidR="00173444" w:rsidRPr="001D47B8">
        <w:rPr>
          <w:rStyle w:val="DipnotBavurusu"/>
          <w:color w:val="010101"/>
          <w:sz w:val="20"/>
          <w:lang w:val="tr-TR"/>
        </w:rPr>
        <w:footnoteReference w:id="27"/>
      </w:r>
    </w:p>
    <w:p w14:paraId="218E313C" w14:textId="77777777" w:rsidR="0005560B" w:rsidRPr="001D47B8" w:rsidRDefault="0005560B" w:rsidP="0005560B">
      <w:pPr>
        <w:pStyle w:val="ListeParagraf"/>
        <w:tabs>
          <w:tab w:val="left" w:pos="670"/>
        </w:tabs>
        <w:spacing w:line="264" w:lineRule="auto"/>
        <w:ind w:left="130" w:right="326" w:firstLine="0"/>
        <w:rPr>
          <w:color w:val="010101"/>
          <w:w w:val="105"/>
          <w:sz w:val="20"/>
          <w:lang w:val="tr-TR"/>
        </w:rPr>
      </w:pPr>
    </w:p>
    <w:p w14:paraId="06DEAAE9" w14:textId="77777777" w:rsidR="001B3C12" w:rsidRPr="001D47B8" w:rsidRDefault="001B3C12" w:rsidP="001C4B9F">
      <w:pPr>
        <w:pStyle w:val="GvdeMetni"/>
        <w:spacing w:before="7"/>
        <w:jc w:val="both"/>
        <w:rPr>
          <w:sz w:val="22"/>
          <w:lang w:val="tr-TR"/>
        </w:rPr>
      </w:pPr>
    </w:p>
    <w:p w14:paraId="274F60F2" w14:textId="338CD785" w:rsidR="001B3C12" w:rsidRPr="001D47B8" w:rsidRDefault="00173444" w:rsidP="001C4B9F">
      <w:pPr>
        <w:spacing w:line="261" w:lineRule="auto"/>
        <w:ind w:left="126" w:right="378" w:firstLine="351"/>
        <w:jc w:val="both"/>
        <w:rPr>
          <w:sz w:val="20"/>
          <w:lang w:val="tr-TR"/>
        </w:rPr>
      </w:pPr>
      <w:r w:rsidRPr="001D47B8">
        <w:rPr>
          <w:color w:val="010101"/>
          <w:w w:val="105"/>
          <w:sz w:val="20"/>
          <w:lang w:val="tr-TR"/>
        </w:rPr>
        <w:t xml:space="preserve">Derneğin kuruluş amacı doğrultusunda kaynak arama, </w:t>
      </w:r>
      <w:r w:rsidR="00BA5620" w:rsidRPr="001D47B8">
        <w:rPr>
          <w:color w:val="010101"/>
          <w:w w:val="105"/>
          <w:sz w:val="20"/>
          <w:lang w:val="tr-TR"/>
        </w:rPr>
        <w:t>kabul etme</w:t>
      </w:r>
      <w:r w:rsidRPr="001D47B8">
        <w:rPr>
          <w:color w:val="010101"/>
          <w:w w:val="105"/>
          <w:sz w:val="20"/>
          <w:lang w:val="tr-TR"/>
        </w:rPr>
        <w:t xml:space="preserve"> ve kullanma özgürlüğü </w:t>
      </w:r>
    </w:p>
    <w:p w14:paraId="2B46F583" w14:textId="77777777" w:rsidR="001B3C12" w:rsidRPr="001D47B8" w:rsidRDefault="001B3C12" w:rsidP="001C4B9F">
      <w:pPr>
        <w:pStyle w:val="GvdeMetni"/>
        <w:jc w:val="both"/>
        <w:rPr>
          <w:sz w:val="22"/>
          <w:lang w:val="tr-TR"/>
        </w:rPr>
      </w:pPr>
    </w:p>
    <w:p w14:paraId="5C457502" w14:textId="77777777" w:rsidR="001B3C12" w:rsidRPr="001D47B8" w:rsidRDefault="001B3C12" w:rsidP="001C4B9F">
      <w:pPr>
        <w:pStyle w:val="GvdeMetni"/>
        <w:spacing w:before="6"/>
        <w:jc w:val="both"/>
        <w:rPr>
          <w:sz w:val="22"/>
          <w:lang w:val="tr-TR"/>
        </w:rPr>
      </w:pPr>
    </w:p>
    <w:p w14:paraId="18AAE950" w14:textId="3AA65769" w:rsidR="00173444" w:rsidRPr="001D47B8" w:rsidRDefault="00173444" w:rsidP="001C4B9F">
      <w:pPr>
        <w:pStyle w:val="ListeParagraf"/>
        <w:numPr>
          <w:ilvl w:val="0"/>
          <w:numId w:val="7"/>
        </w:numPr>
        <w:tabs>
          <w:tab w:val="left" w:pos="671"/>
        </w:tabs>
        <w:spacing w:before="1" w:line="264" w:lineRule="auto"/>
        <w:ind w:right="322" w:firstLine="2"/>
        <w:rPr>
          <w:color w:val="010101"/>
          <w:sz w:val="20"/>
          <w:lang w:val="tr-TR"/>
        </w:rPr>
      </w:pPr>
      <w:r w:rsidRPr="001D47B8">
        <w:rPr>
          <w:color w:val="010101"/>
          <w:sz w:val="20"/>
          <w:lang w:val="tr-TR"/>
        </w:rPr>
        <w:t>Venedik Komisyonu ve DKIHO tarafından hazırlanan Örgütlenme Özgürlüğü</w:t>
      </w:r>
      <w:r w:rsidR="00BA5620" w:rsidRPr="001D47B8">
        <w:rPr>
          <w:color w:val="010101"/>
          <w:sz w:val="20"/>
          <w:lang w:val="tr-TR"/>
        </w:rPr>
        <w:t xml:space="preserve"> Ortak Rehberinin 7. İlkesine göre, “Dernekler, faaliyetlerini sürdürmek için, yerel, yabancı ya da uluslararası mali, materyal ve beşeri kaynak arama, kabul etme ve kullanma özgürlüğüne sahiptir.”</w:t>
      </w:r>
      <w:r w:rsidR="00BA5620" w:rsidRPr="001D47B8">
        <w:rPr>
          <w:rStyle w:val="DipnotBavurusu"/>
          <w:color w:val="010101"/>
          <w:sz w:val="20"/>
          <w:lang w:val="tr-TR"/>
        </w:rPr>
        <w:footnoteReference w:id="28"/>
      </w:r>
      <w:r w:rsidR="00BA5620" w:rsidRPr="001D47B8">
        <w:rPr>
          <w:color w:val="010101"/>
          <w:sz w:val="20"/>
          <w:lang w:val="tr-TR"/>
        </w:rPr>
        <w:t xml:space="preserve"> Bu özgürlük, derneklerin var olabilmesi ve işlevlerini ve misyon</w:t>
      </w:r>
      <w:r w:rsidR="00AD5CBF" w:rsidRPr="001D47B8">
        <w:rPr>
          <w:color w:val="010101"/>
          <w:sz w:val="20"/>
          <w:lang w:val="tr-TR"/>
        </w:rPr>
        <w:t>larını</w:t>
      </w:r>
      <w:r w:rsidR="00BA5620" w:rsidRPr="001D47B8">
        <w:rPr>
          <w:color w:val="010101"/>
          <w:sz w:val="20"/>
          <w:lang w:val="tr-TR"/>
        </w:rPr>
        <w:t xml:space="preserve"> bağımsız olarak yerine getirebilmesi için</w:t>
      </w:r>
      <w:r w:rsidR="00AD5CBF" w:rsidRPr="001D47B8">
        <w:rPr>
          <w:color w:val="010101"/>
          <w:sz w:val="20"/>
          <w:lang w:val="tr-TR"/>
        </w:rPr>
        <w:t xml:space="preserve"> </w:t>
      </w:r>
      <w:r w:rsidR="00BA5620" w:rsidRPr="001D47B8">
        <w:rPr>
          <w:color w:val="010101"/>
          <w:sz w:val="20"/>
          <w:lang w:val="tr-TR"/>
        </w:rPr>
        <w:t>önemli bir koşul olarak görülmektedir.</w:t>
      </w:r>
      <w:r w:rsidR="00BA5620" w:rsidRPr="001D47B8">
        <w:rPr>
          <w:rStyle w:val="DipnotBavurusu"/>
          <w:color w:val="010101"/>
          <w:sz w:val="20"/>
          <w:lang w:val="tr-TR"/>
        </w:rPr>
        <w:footnoteReference w:id="29"/>
      </w:r>
      <w:r w:rsidR="00BA5620" w:rsidRPr="001D47B8">
        <w:rPr>
          <w:color w:val="010101"/>
          <w:sz w:val="20"/>
          <w:lang w:val="tr-TR"/>
        </w:rPr>
        <w:t xml:space="preserve"> Derneklere sağlanan kaynaklar</w:t>
      </w:r>
      <w:r w:rsidR="00AD5CBF" w:rsidRPr="001D47B8">
        <w:rPr>
          <w:color w:val="010101"/>
          <w:sz w:val="20"/>
          <w:lang w:val="tr-TR"/>
        </w:rPr>
        <w:t>,</w:t>
      </w:r>
      <w:r w:rsidR="00BA5620" w:rsidRPr="001D47B8">
        <w:rPr>
          <w:color w:val="010101"/>
          <w:sz w:val="20"/>
          <w:lang w:val="tr-TR"/>
        </w:rPr>
        <w:t xml:space="preserve"> meşru olarak raporlama ve şeffaflık gereksinimlerine tabi tutulabilir, ancak bu gereksinimler gereksiz şekilde külfetli olmamalıdır.”</w:t>
      </w:r>
      <w:r w:rsidR="00BA5620" w:rsidRPr="001D47B8">
        <w:rPr>
          <w:rStyle w:val="DipnotBavurusu"/>
          <w:color w:val="010101"/>
          <w:sz w:val="20"/>
          <w:lang w:val="tr-TR"/>
        </w:rPr>
        <w:footnoteReference w:id="30"/>
      </w:r>
    </w:p>
    <w:p w14:paraId="0294681C" w14:textId="77777777" w:rsidR="00173444" w:rsidRPr="001D47B8" w:rsidRDefault="00173444" w:rsidP="00173444">
      <w:pPr>
        <w:pStyle w:val="ListeParagraf"/>
        <w:tabs>
          <w:tab w:val="left" w:pos="671"/>
        </w:tabs>
        <w:spacing w:before="1" w:line="264" w:lineRule="auto"/>
        <w:ind w:left="125" w:right="322" w:firstLine="0"/>
        <w:rPr>
          <w:color w:val="010101"/>
          <w:w w:val="105"/>
          <w:sz w:val="20"/>
          <w:lang w:val="tr-TR"/>
        </w:rPr>
      </w:pPr>
    </w:p>
    <w:p w14:paraId="38895EFF" w14:textId="7C43C2F9" w:rsidR="00AD5CBF" w:rsidRPr="001D47B8" w:rsidRDefault="00AD5CBF" w:rsidP="00AD5CBF">
      <w:pPr>
        <w:pStyle w:val="ListeParagraf"/>
        <w:numPr>
          <w:ilvl w:val="0"/>
          <w:numId w:val="7"/>
        </w:numPr>
        <w:tabs>
          <w:tab w:val="left" w:pos="671"/>
        </w:tabs>
        <w:spacing w:before="1" w:line="264" w:lineRule="auto"/>
        <w:ind w:right="327" w:firstLine="7"/>
        <w:rPr>
          <w:color w:val="010101"/>
          <w:sz w:val="20"/>
          <w:lang w:val="tr-TR"/>
        </w:rPr>
      </w:pPr>
      <w:r w:rsidRPr="001D47B8">
        <w:rPr>
          <w:color w:val="010101"/>
          <w:sz w:val="20"/>
          <w:lang w:val="tr-TR"/>
        </w:rPr>
        <w:t xml:space="preserve">Derneklerin, örgütlenme özgürlüğünün doğal bir parçası olarak kaynak arama hakkı mutlak bir hak olmasa da nitelikli bir haktır. Bununla birlikte, AİHS’nin 11(2). maddesi ve ICCPR’nin 22(2). maddesinde, ve diğer ilgili belgelerde, öngörülen üç kümülatif koşul altında bu hak kısıtlanabilir: 1) kısıtlama kanunla </w:t>
      </w:r>
      <w:r w:rsidR="001E5772" w:rsidRPr="001D47B8">
        <w:rPr>
          <w:color w:val="010101"/>
          <w:sz w:val="20"/>
          <w:lang w:val="tr-TR"/>
        </w:rPr>
        <w:t>öngörülmelidir</w:t>
      </w:r>
      <w:r w:rsidRPr="001D47B8">
        <w:rPr>
          <w:color w:val="010101"/>
          <w:sz w:val="20"/>
          <w:lang w:val="tr-TR"/>
        </w:rPr>
        <w:t xml:space="preserve"> (öngörülebilirlik ve erişilebilirlik şartları dahil, yasallık koşulu); 2) kısıtlama, AİHS’nin 11(2). maddesi ve ICCPR’nin 22(2). maddesinde</w:t>
      </w:r>
      <w:r w:rsidR="001E5772" w:rsidRPr="001D47B8">
        <w:rPr>
          <w:rStyle w:val="DipnotBavurusu"/>
          <w:color w:val="010101"/>
          <w:sz w:val="20"/>
          <w:lang w:val="tr-TR"/>
        </w:rPr>
        <w:footnoteReference w:id="31"/>
      </w:r>
      <w:r w:rsidRPr="001D47B8">
        <w:rPr>
          <w:color w:val="010101"/>
          <w:sz w:val="20"/>
          <w:lang w:val="tr-TR"/>
        </w:rPr>
        <w:t xml:space="preserve"> belirtilen meşru amaçların en azından bir tanesine ulaşmak için yapılmalıdır (meşruiyet koşulu), ve 3) kısıtlama, demokratik bir toplumda ilgili meşru amaca ulaşmak için gerekli olmalıdır </w:t>
      </w:r>
      <w:r w:rsidR="001E5772" w:rsidRPr="001D47B8">
        <w:rPr>
          <w:color w:val="010101"/>
          <w:sz w:val="20"/>
          <w:lang w:val="tr-TR"/>
        </w:rPr>
        <w:t>(ölçülülük koşulu dahil gereklilik koşulu).</w:t>
      </w:r>
      <w:r w:rsidR="001E5772" w:rsidRPr="001D47B8">
        <w:rPr>
          <w:rStyle w:val="DipnotBavurusu"/>
          <w:color w:val="010101"/>
          <w:sz w:val="20"/>
          <w:lang w:val="tr-TR"/>
        </w:rPr>
        <w:footnoteReference w:id="32"/>
      </w:r>
    </w:p>
    <w:p w14:paraId="0205E791" w14:textId="77777777" w:rsidR="00AD5CBF" w:rsidRPr="001D47B8" w:rsidRDefault="00AD5CBF" w:rsidP="00AD5CBF">
      <w:pPr>
        <w:pStyle w:val="ListeParagraf"/>
        <w:tabs>
          <w:tab w:val="left" w:pos="671"/>
        </w:tabs>
        <w:spacing w:before="1" w:line="264" w:lineRule="auto"/>
        <w:ind w:left="130" w:right="327" w:firstLine="0"/>
        <w:rPr>
          <w:color w:val="010101"/>
          <w:w w:val="105"/>
          <w:sz w:val="20"/>
          <w:lang w:val="tr-TR"/>
        </w:rPr>
      </w:pPr>
    </w:p>
    <w:p w14:paraId="2ED8C2C2" w14:textId="5C64DF59" w:rsidR="001B3C12" w:rsidRPr="001D47B8" w:rsidRDefault="00510905" w:rsidP="001C4B9F">
      <w:pPr>
        <w:spacing w:before="1"/>
        <w:ind w:left="478"/>
        <w:jc w:val="both"/>
        <w:rPr>
          <w:sz w:val="20"/>
          <w:lang w:val="tr-TR"/>
        </w:rPr>
      </w:pPr>
      <w:r w:rsidRPr="001D47B8">
        <w:rPr>
          <w:color w:val="010101"/>
          <w:w w:val="105"/>
          <w:sz w:val="20"/>
          <w:lang w:val="tr-TR"/>
        </w:rPr>
        <w:t xml:space="preserve">Örgütlenme özgürlüğünün kısıtlanması için gerekli koşullar </w:t>
      </w:r>
    </w:p>
    <w:p w14:paraId="755769F0" w14:textId="77777777" w:rsidR="00510905" w:rsidRPr="001D47B8" w:rsidRDefault="00510905" w:rsidP="001C4B9F">
      <w:pPr>
        <w:pStyle w:val="GvdeMetni"/>
        <w:spacing w:before="10"/>
        <w:jc w:val="both"/>
        <w:rPr>
          <w:sz w:val="23"/>
          <w:lang w:val="tr-TR"/>
        </w:rPr>
      </w:pPr>
    </w:p>
    <w:p w14:paraId="494A5ACD" w14:textId="2FC8EB21" w:rsidR="00510905" w:rsidRPr="001D47B8" w:rsidRDefault="00510905" w:rsidP="001C4B9F">
      <w:pPr>
        <w:pStyle w:val="ListeParagraf"/>
        <w:numPr>
          <w:ilvl w:val="0"/>
          <w:numId w:val="7"/>
        </w:numPr>
        <w:tabs>
          <w:tab w:val="left" w:pos="671"/>
        </w:tabs>
        <w:spacing w:line="266" w:lineRule="auto"/>
        <w:ind w:left="128" w:right="327" w:firstLine="2"/>
        <w:rPr>
          <w:color w:val="010101"/>
          <w:sz w:val="20"/>
          <w:lang w:val="tr-TR"/>
        </w:rPr>
      </w:pPr>
      <w:r w:rsidRPr="001D47B8">
        <w:rPr>
          <w:color w:val="010101"/>
          <w:w w:val="105"/>
          <w:sz w:val="20"/>
          <w:lang w:val="tr-TR"/>
        </w:rPr>
        <w:t>Örgütlenme özgürlüğü hakkı</w:t>
      </w:r>
      <w:r w:rsidR="00607A8F">
        <w:rPr>
          <w:color w:val="010101"/>
          <w:w w:val="105"/>
          <w:sz w:val="20"/>
          <w:lang w:val="tr-TR"/>
        </w:rPr>
        <w:t>na</w:t>
      </w:r>
      <w:r w:rsidRPr="001D47B8">
        <w:rPr>
          <w:color w:val="010101"/>
          <w:w w:val="105"/>
          <w:sz w:val="20"/>
          <w:lang w:val="tr-TR"/>
        </w:rPr>
        <w:t xml:space="preserve"> ve derneklerin haklarına yönelik </w:t>
      </w:r>
      <w:r w:rsidR="008A27F8" w:rsidRPr="001D47B8">
        <w:rPr>
          <w:color w:val="010101"/>
          <w:w w:val="105"/>
          <w:sz w:val="20"/>
          <w:lang w:val="tr-TR"/>
        </w:rPr>
        <w:t xml:space="preserve">kısıtlamalar </w:t>
      </w:r>
      <w:r w:rsidR="008A27F8">
        <w:rPr>
          <w:color w:val="010101"/>
          <w:w w:val="105"/>
          <w:sz w:val="20"/>
          <w:lang w:val="tr-TR"/>
        </w:rPr>
        <w:t xml:space="preserve">ve </w:t>
      </w:r>
      <w:r w:rsidRPr="001D47B8">
        <w:rPr>
          <w:color w:val="010101"/>
          <w:w w:val="105"/>
          <w:sz w:val="20"/>
          <w:lang w:val="tr-TR"/>
        </w:rPr>
        <w:t xml:space="preserve">yaptırımlar kanunla öngörülmelidir ve meşru bir amaca yönelik olmalıdır. İlgili uluslararası standartlara göre ayrıca ölçülülük testi de </w:t>
      </w:r>
      <w:r w:rsidR="00607A8F">
        <w:rPr>
          <w:color w:val="010101"/>
          <w:w w:val="105"/>
          <w:sz w:val="20"/>
          <w:lang w:val="tr-TR"/>
        </w:rPr>
        <w:t>uygulanmalıdır</w:t>
      </w:r>
      <w:r w:rsidRPr="001D47B8">
        <w:rPr>
          <w:color w:val="010101"/>
          <w:w w:val="105"/>
          <w:sz w:val="20"/>
          <w:lang w:val="tr-TR"/>
        </w:rPr>
        <w:t>, yani en az müdahale eden araç kullanılmalıdır. Ayrıca, kısıtlamalar nedeniyle bu haklar asla tamamen yok edilmemeli ya da özünden yoksun bırakılmamalıdır.</w:t>
      </w:r>
      <w:r w:rsidRPr="001D47B8">
        <w:rPr>
          <w:rStyle w:val="DipnotBavurusu"/>
          <w:color w:val="010101"/>
          <w:w w:val="105"/>
          <w:sz w:val="20"/>
          <w:lang w:val="tr-TR"/>
        </w:rPr>
        <w:footnoteReference w:id="33"/>
      </w:r>
      <w:r w:rsidRPr="001D47B8">
        <w:rPr>
          <w:color w:val="010101"/>
          <w:w w:val="105"/>
          <w:sz w:val="20"/>
          <w:lang w:val="tr-TR"/>
        </w:rPr>
        <w:t xml:space="preserve"> Ölçülülük ilkesi, bir derneğin yasaklanması ya da </w:t>
      </w:r>
      <w:r w:rsidR="00D815E3">
        <w:rPr>
          <w:color w:val="010101"/>
          <w:w w:val="105"/>
          <w:sz w:val="20"/>
          <w:lang w:val="tr-TR"/>
        </w:rPr>
        <w:t>feshine</w:t>
      </w:r>
      <w:r w:rsidR="00322E9A" w:rsidRPr="001D47B8">
        <w:rPr>
          <w:color w:val="010101"/>
          <w:w w:val="105"/>
          <w:sz w:val="20"/>
          <w:lang w:val="tr-TR"/>
        </w:rPr>
        <w:t xml:space="preserve"> yönelik</w:t>
      </w:r>
      <w:r w:rsidRPr="001D47B8">
        <w:rPr>
          <w:color w:val="010101"/>
          <w:w w:val="105"/>
          <w:sz w:val="20"/>
          <w:lang w:val="tr-TR"/>
        </w:rPr>
        <w:t xml:space="preserve"> değerlendirme</w:t>
      </w:r>
      <w:r w:rsidR="00322E9A" w:rsidRPr="001D47B8">
        <w:rPr>
          <w:color w:val="010101"/>
          <w:w w:val="105"/>
          <w:sz w:val="20"/>
          <w:lang w:val="tr-TR"/>
        </w:rPr>
        <w:t>nin</w:t>
      </w:r>
      <w:r w:rsidRPr="001D47B8">
        <w:rPr>
          <w:color w:val="010101"/>
          <w:w w:val="105"/>
          <w:sz w:val="20"/>
          <w:lang w:val="tr-TR"/>
        </w:rPr>
        <w:t xml:space="preserve"> en önemli unsur</w:t>
      </w:r>
      <w:r w:rsidR="00322E9A" w:rsidRPr="001D47B8">
        <w:rPr>
          <w:color w:val="010101"/>
          <w:w w:val="105"/>
          <w:sz w:val="20"/>
          <w:lang w:val="tr-TR"/>
        </w:rPr>
        <w:t>u</w:t>
      </w:r>
      <w:r w:rsidRPr="001D47B8">
        <w:rPr>
          <w:color w:val="010101"/>
          <w:w w:val="105"/>
          <w:sz w:val="20"/>
          <w:lang w:val="tr-TR"/>
        </w:rPr>
        <w:t>dur, zira bu eylemler</w:t>
      </w:r>
      <w:r w:rsidR="00322E9A" w:rsidRPr="001D47B8">
        <w:rPr>
          <w:color w:val="010101"/>
          <w:w w:val="105"/>
          <w:sz w:val="20"/>
          <w:lang w:val="tr-TR"/>
        </w:rPr>
        <w:t>e</w:t>
      </w:r>
      <w:r w:rsidRPr="001D47B8">
        <w:rPr>
          <w:color w:val="010101"/>
          <w:w w:val="105"/>
          <w:sz w:val="20"/>
          <w:lang w:val="tr-TR"/>
        </w:rPr>
        <w:t xml:space="preserve"> her zaman en son çare olara</w:t>
      </w:r>
      <w:r w:rsidR="00322E9A" w:rsidRPr="001D47B8">
        <w:rPr>
          <w:color w:val="010101"/>
          <w:w w:val="105"/>
          <w:sz w:val="20"/>
          <w:lang w:val="tr-TR"/>
        </w:rPr>
        <w:t xml:space="preserve">k başvurulmalıdır. </w:t>
      </w:r>
      <w:r w:rsidR="00322E9A" w:rsidRPr="001D47B8">
        <w:rPr>
          <w:rStyle w:val="DipnotBavurusu"/>
          <w:color w:val="010101"/>
          <w:w w:val="105"/>
          <w:sz w:val="20"/>
          <w:lang w:val="tr-TR"/>
        </w:rPr>
        <w:footnoteReference w:id="34"/>
      </w:r>
    </w:p>
    <w:p w14:paraId="1497994E" w14:textId="77777777" w:rsidR="00322E9A" w:rsidRPr="001D47B8" w:rsidRDefault="00322E9A" w:rsidP="00510905">
      <w:pPr>
        <w:pStyle w:val="ListeParagraf"/>
        <w:tabs>
          <w:tab w:val="left" w:pos="671"/>
        </w:tabs>
        <w:spacing w:line="266" w:lineRule="auto"/>
        <w:ind w:left="130" w:right="327" w:firstLine="0"/>
        <w:rPr>
          <w:color w:val="010101"/>
          <w:w w:val="105"/>
          <w:sz w:val="20"/>
          <w:lang w:val="tr-TR"/>
        </w:rPr>
      </w:pPr>
    </w:p>
    <w:p w14:paraId="4F9396C9" w14:textId="49F12A61" w:rsidR="00322E9A" w:rsidRPr="001D47B8" w:rsidRDefault="00322E9A" w:rsidP="001C4B9F">
      <w:pPr>
        <w:pStyle w:val="ListeParagraf"/>
        <w:numPr>
          <w:ilvl w:val="0"/>
          <w:numId w:val="7"/>
        </w:numPr>
        <w:tabs>
          <w:tab w:val="left" w:pos="671"/>
        </w:tabs>
        <w:spacing w:line="252" w:lineRule="auto"/>
        <w:ind w:left="127" w:right="325" w:firstLine="3"/>
        <w:rPr>
          <w:color w:val="010101"/>
          <w:sz w:val="21"/>
          <w:lang w:val="tr-TR"/>
        </w:rPr>
      </w:pPr>
      <w:r w:rsidRPr="001D47B8">
        <w:rPr>
          <w:color w:val="010101"/>
          <w:sz w:val="21"/>
          <w:lang w:val="tr-TR"/>
        </w:rPr>
        <w:t>“Kanunla öngörülmüş olma” ifadesi ile</w:t>
      </w:r>
      <w:r w:rsidR="00D815E3">
        <w:rPr>
          <w:color w:val="010101"/>
          <w:sz w:val="21"/>
          <w:lang w:val="tr-TR"/>
        </w:rPr>
        <w:t>,</w:t>
      </w:r>
      <w:r w:rsidRPr="001D47B8">
        <w:rPr>
          <w:color w:val="010101"/>
          <w:sz w:val="21"/>
          <w:lang w:val="tr-TR"/>
        </w:rPr>
        <w:t xml:space="preserve"> hem ihtilaf konusu tedbirlerin yerel hukukta bir dayanağı olması şartı, hem de, özellikle devlet yetkililerine takdir hakkı tanıyan hükümler söz konusu olduğunda, kanunun kesin</w:t>
      </w:r>
      <w:r w:rsidR="009640A9" w:rsidRPr="001D47B8">
        <w:rPr>
          <w:color w:val="010101"/>
          <w:sz w:val="21"/>
          <w:lang w:val="tr-TR"/>
        </w:rPr>
        <w:t>, belirli</w:t>
      </w:r>
      <w:r w:rsidRPr="001D47B8">
        <w:rPr>
          <w:color w:val="010101"/>
          <w:sz w:val="21"/>
          <w:lang w:val="tr-TR"/>
        </w:rPr>
        <w:t xml:space="preserve"> ve öngörülebilir olma niteliği kast edilmektedir.</w:t>
      </w:r>
      <w:r w:rsidR="009640A9" w:rsidRPr="001D47B8">
        <w:rPr>
          <w:rStyle w:val="DipnotBavurusu"/>
          <w:color w:val="010101"/>
          <w:sz w:val="21"/>
          <w:lang w:val="tr-TR"/>
        </w:rPr>
        <w:footnoteReference w:id="35"/>
      </w:r>
      <w:r w:rsidRPr="001D47B8">
        <w:rPr>
          <w:color w:val="010101"/>
          <w:sz w:val="21"/>
          <w:lang w:val="tr-TR"/>
        </w:rPr>
        <w:t xml:space="preserve"> </w:t>
      </w:r>
    </w:p>
    <w:p w14:paraId="36D0D53B" w14:textId="77777777" w:rsidR="00322E9A" w:rsidRPr="001D47B8" w:rsidRDefault="00322E9A" w:rsidP="00322E9A">
      <w:pPr>
        <w:pStyle w:val="ListeParagraf"/>
        <w:tabs>
          <w:tab w:val="left" w:pos="671"/>
        </w:tabs>
        <w:spacing w:line="252" w:lineRule="auto"/>
        <w:ind w:left="130" w:right="325" w:firstLine="0"/>
        <w:rPr>
          <w:color w:val="010101"/>
          <w:sz w:val="21"/>
          <w:lang w:val="tr-TR"/>
        </w:rPr>
      </w:pPr>
    </w:p>
    <w:p w14:paraId="06259DE3" w14:textId="66C37AFA" w:rsidR="002B1DCE" w:rsidRPr="001D47B8" w:rsidRDefault="00A95104" w:rsidP="001C4B9F">
      <w:pPr>
        <w:pStyle w:val="ListeParagraf"/>
        <w:numPr>
          <w:ilvl w:val="0"/>
          <w:numId w:val="7"/>
        </w:numPr>
        <w:tabs>
          <w:tab w:val="left" w:pos="671"/>
        </w:tabs>
        <w:spacing w:line="252" w:lineRule="auto"/>
        <w:ind w:right="318" w:firstLine="4"/>
        <w:rPr>
          <w:color w:val="010101"/>
          <w:sz w:val="21"/>
          <w:lang w:val="tr-TR"/>
        </w:rPr>
      </w:pPr>
      <w:r>
        <w:rPr>
          <w:color w:val="010101"/>
          <w:sz w:val="21"/>
          <w:lang w:val="tr-TR"/>
        </w:rPr>
        <w:t>U</w:t>
      </w:r>
      <w:r w:rsidRPr="001D47B8">
        <w:rPr>
          <w:color w:val="010101"/>
          <w:sz w:val="21"/>
          <w:lang w:val="tr-TR"/>
        </w:rPr>
        <w:t>luslararası standartlar</w:t>
      </w:r>
      <w:r>
        <w:rPr>
          <w:color w:val="010101"/>
          <w:sz w:val="21"/>
          <w:lang w:val="tr-TR"/>
        </w:rPr>
        <w:t>a göre, k</w:t>
      </w:r>
      <w:r w:rsidR="002B1DCE" w:rsidRPr="001D47B8">
        <w:rPr>
          <w:color w:val="010101"/>
          <w:sz w:val="21"/>
          <w:lang w:val="tr-TR"/>
        </w:rPr>
        <w:t>ısıtlama yapılmasını haklı kılan ve meşru amaç olarak sadece ulusal güvenlik ya da kamu güvenliği, kamu düzeni, kamu sağlığının ya da ahlakının korunması ve başkalarının hak ve özgürlüklerinin korunması kabul edilmektedir.</w:t>
      </w:r>
      <w:r w:rsidR="002B1DCE" w:rsidRPr="001D47B8">
        <w:rPr>
          <w:rStyle w:val="DipnotBavurusu"/>
          <w:color w:val="010101"/>
          <w:sz w:val="21"/>
          <w:lang w:val="tr-TR"/>
        </w:rPr>
        <w:footnoteReference w:id="36"/>
      </w:r>
      <w:r w:rsidR="002B1DCE" w:rsidRPr="001D47B8">
        <w:rPr>
          <w:color w:val="010101"/>
          <w:sz w:val="21"/>
          <w:lang w:val="tr-TR"/>
        </w:rPr>
        <w:t xml:space="preserve"> Ancak bu, ulusal güvenliği, kamu güvenliğini korumak için ya da AİHS’nin 11. maddesi ve ICCPR’nin 22. maddesinin ikinci fıkralarında yer alan kısıtlama yapılmasına izin veren meşru amaçlara yönelik olarak </w:t>
      </w:r>
      <w:r w:rsidR="000C60C2" w:rsidRPr="001D47B8">
        <w:rPr>
          <w:color w:val="010101"/>
          <w:sz w:val="21"/>
          <w:lang w:val="tr-TR"/>
        </w:rPr>
        <w:t xml:space="preserve">Sözleşmeye Taraf Devletler </w:t>
      </w:r>
      <w:r w:rsidR="002B1DCE" w:rsidRPr="001D47B8">
        <w:rPr>
          <w:color w:val="010101"/>
          <w:sz w:val="21"/>
          <w:lang w:val="tr-TR"/>
        </w:rPr>
        <w:t>uygun gördükleri her tedbiri alabilir anlamına gelmemektedir. Yukarıda bahsedilen hukuki dayanak şartı</w:t>
      </w:r>
      <w:r w:rsidR="00E255E1" w:rsidRPr="001D47B8">
        <w:rPr>
          <w:color w:val="010101"/>
          <w:sz w:val="21"/>
          <w:lang w:val="tr-TR"/>
        </w:rPr>
        <w:t xml:space="preserve"> ve sınırlama yapma gerekçeleri</w:t>
      </w:r>
      <w:r w:rsidR="002B1DCE" w:rsidRPr="001D47B8">
        <w:rPr>
          <w:color w:val="010101"/>
          <w:sz w:val="21"/>
          <w:lang w:val="tr-TR"/>
        </w:rPr>
        <w:t xml:space="preserve"> dışında</w:t>
      </w:r>
      <w:r w:rsidR="00E255E1" w:rsidRPr="001D47B8">
        <w:rPr>
          <w:color w:val="010101"/>
          <w:sz w:val="21"/>
          <w:lang w:val="tr-TR"/>
        </w:rPr>
        <w:t xml:space="preserve">, sınırlamanın “demokratik bir toplumda gerekli” olması da ayrıca </w:t>
      </w:r>
      <w:r w:rsidR="00482254">
        <w:rPr>
          <w:color w:val="010101"/>
          <w:sz w:val="21"/>
          <w:lang w:val="tr-TR"/>
        </w:rPr>
        <w:t>şarttır</w:t>
      </w:r>
      <w:r w:rsidR="00E255E1" w:rsidRPr="001D47B8">
        <w:rPr>
          <w:color w:val="010101"/>
          <w:sz w:val="21"/>
          <w:lang w:val="tr-TR"/>
        </w:rPr>
        <w:t xml:space="preserve">. Avrupa İnsan Hakları Mahkemesinin içtihat hukukuna göre bu şart, “acil bir sosyal ihtiyaca” yanıt vermek anlamındadır. </w:t>
      </w:r>
      <w:r w:rsidR="00E255E1" w:rsidRPr="001D47B8">
        <w:rPr>
          <w:rStyle w:val="DipnotBavurusu"/>
          <w:color w:val="010101"/>
          <w:sz w:val="21"/>
          <w:lang w:val="tr-TR"/>
        </w:rPr>
        <w:footnoteReference w:id="37"/>
      </w:r>
    </w:p>
    <w:p w14:paraId="24D33A17" w14:textId="77777777" w:rsidR="002B1DCE" w:rsidRPr="001D47B8" w:rsidRDefault="002B1DCE" w:rsidP="002B1DCE">
      <w:pPr>
        <w:pStyle w:val="ListeParagraf"/>
        <w:tabs>
          <w:tab w:val="left" w:pos="671"/>
        </w:tabs>
        <w:spacing w:line="252" w:lineRule="auto"/>
        <w:ind w:left="127" w:right="318" w:firstLine="0"/>
        <w:rPr>
          <w:color w:val="010101"/>
          <w:sz w:val="21"/>
          <w:lang w:val="tr-TR"/>
        </w:rPr>
      </w:pPr>
    </w:p>
    <w:p w14:paraId="7777CC58" w14:textId="7C0B4FBB" w:rsidR="00E255E1" w:rsidRPr="001D47B8" w:rsidRDefault="00E255E1" w:rsidP="001C4B9F">
      <w:pPr>
        <w:pStyle w:val="ListeParagraf"/>
        <w:numPr>
          <w:ilvl w:val="0"/>
          <w:numId w:val="7"/>
        </w:numPr>
        <w:tabs>
          <w:tab w:val="left" w:pos="668"/>
        </w:tabs>
        <w:spacing w:before="1" w:line="252" w:lineRule="auto"/>
        <w:ind w:right="328" w:firstLine="4"/>
        <w:rPr>
          <w:color w:val="010101"/>
          <w:sz w:val="21"/>
          <w:lang w:val="tr-TR"/>
        </w:rPr>
      </w:pPr>
      <w:r w:rsidRPr="001D47B8">
        <w:rPr>
          <w:color w:val="010101"/>
          <w:sz w:val="21"/>
          <w:lang w:val="tr-TR"/>
        </w:rPr>
        <w:t xml:space="preserve">Derneklerin çevrimiçi faaliyetlerine yönelik kısıtlamalar, diğer sınırlamalarda olduğu gibi </w:t>
      </w:r>
      <w:r w:rsidR="00A4236B" w:rsidRPr="001D47B8">
        <w:rPr>
          <w:color w:val="010101"/>
          <w:sz w:val="21"/>
          <w:lang w:val="tr-TR"/>
        </w:rPr>
        <w:t xml:space="preserve">aynı ilkelere yani, </w:t>
      </w:r>
      <w:r w:rsidRPr="001D47B8">
        <w:rPr>
          <w:color w:val="010101"/>
          <w:sz w:val="21"/>
          <w:lang w:val="tr-TR"/>
        </w:rPr>
        <w:t xml:space="preserve">demokratik bir toplumda gereklilik, ölçülülük ve yasallık ilkelerine </w:t>
      </w:r>
      <w:r w:rsidR="00A4236B" w:rsidRPr="001D47B8">
        <w:rPr>
          <w:color w:val="010101"/>
          <w:sz w:val="21"/>
          <w:lang w:val="tr-TR"/>
        </w:rPr>
        <w:t>tabidir.</w:t>
      </w:r>
      <w:r w:rsidR="00A4236B" w:rsidRPr="001D47B8">
        <w:rPr>
          <w:rStyle w:val="DipnotBavurusu"/>
          <w:color w:val="010101"/>
          <w:sz w:val="21"/>
          <w:lang w:val="tr-TR"/>
        </w:rPr>
        <w:footnoteReference w:id="38"/>
      </w:r>
      <w:r w:rsidR="00A4236B" w:rsidRPr="001D47B8">
        <w:rPr>
          <w:color w:val="010101"/>
          <w:sz w:val="21"/>
          <w:lang w:val="tr-TR"/>
        </w:rPr>
        <w:t xml:space="preserve"> Derneklerin web sayfalarının ya da belli bazı bilgi kaynaklarının veya iletişim araçlarının engellenmesi, derneklerin üzerinde ciddi anlamda olumsuz etkiye yol açabilir. Güvenlik tedbirleri geçici olmalı ve açıkça belirtilen meşru bir amaca ulaşmak üzere dar kapsamlı olarak tanımlanmalı ve kanunla öngörülmelidir. Bu tedbirler muhalif ve eleştirel ifadeyi hedef almak için kullanılmamalıdır. </w:t>
      </w:r>
      <w:r w:rsidR="00FF6E07" w:rsidRPr="001D47B8">
        <w:rPr>
          <w:rStyle w:val="DipnotBavurusu"/>
          <w:color w:val="010101"/>
          <w:sz w:val="21"/>
          <w:lang w:val="tr-TR"/>
        </w:rPr>
        <w:footnoteReference w:id="39"/>
      </w:r>
    </w:p>
    <w:p w14:paraId="49568640" w14:textId="77777777" w:rsidR="00E255E1" w:rsidRPr="001D47B8" w:rsidRDefault="00E255E1" w:rsidP="00E255E1">
      <w:pPr>
        <w:pStyle w:val="ListeParagraf"/>
        <w:tabs>
          <w:tab w:val="left" w:pos="668"/>
        </w:tabs>
        <w:spacing w:before="1" w:line="252" w:lineRule="auto"/>
        <w:ind w:left="127" w:right="328" w:firstLine="0"/>
        <w:rPr>
          <w:color w:val="010101"/>
          <w:sz w:val="21"/>
          <w:lang w:val="tr-TR"/>
        </w:rPr>
      </w:pPr>
    </w:p>
    <w:p w14:paraId="6EAF9C64" w14:textId="77777777" w:rsidR="001B3C12" w:rsidRPr="001D47B8" w:rsidRDefault="001B3C12" w:rsidP="001C4B9F">
      <w:pPr>
        <w:pStyle w:val="GvdeMetni"/>
        <w:spacing w:before="10"/>
        <w:jc w:val="both"/>
        <w:rPr>
          <w:lang w:val="tr-TR"/>
        </w:rPr>
      </w:pPr>
    </w:p>
    <w:p w14:paraId="620F8DB4" w14:textId="3C9C02A2" w:rsidR="001B3C12" w:rsidRPr="001D47B8" w:rsidRDefault="00C77180" w:rsidP="001C4B9F">
      <w:pPr>
        <w:pStyle w:val="Balk2"/>
        <w:spacing w:line="247" w:lineRule="auto"/>
        <w:ind w:left="1362" w:hanging="362"/>
        <w:jc w:val="both"/>
        <w:rPr>
          <w:lang w:val="tr-TR"/>
        </w:rPr>
      </w:pPr>
      <w:r w:rsidRPr="001D47B8">
        <w:rPr>
          <w:color w:val="010101"/>
          <w:w w:val="105"/>
          <w:lang w:val="tr-TR"/>
        </w:rPr>
        <w:t>2.</w:t>
      </w:r>
      <w:r w:rsidRPr="001D47B8">
        <w:rPr>
          <w:color w:val="010101"/>
          <w:spacing w:val="1"/>
          <w:w w:val="105"/>
          <w:lang w:val="tr-TR"/>
        </w:rPr>
        <w:t xml:space="preserve"> </w:t>
      </w:r>
      <w:r w:rsidR="00FF6E07" w:rsidRPr="001D47B8">
        <w:rPr>
          <w:color w:val="010101"/>
          <w:w w:val="105"/>
          <w:lang w:val="tr-TR"/>
        </w:rPr>
        <w:t xml:space="preserve">Ulusal güvenlik ve kamu güvenliği temelinde belli bazı insan haklarının sınırlandırılması </w:t>
      </w:r>
    </w:p>
    <w:p w14:paraId="09BC2975" w14:textId="77777777" w:rsidR="001B3C12" w:rsidRPr="001D47B8" w:rsidRDefault="001B3C12" w:rsidP="001C4B9F">
      <w:pPr>
        <w:pStyle w:val="GvdeMetni"/>
        <w:spacing w:before="9"/>
        <w:jc w:val="both"/>
        <w:rPr>
          <w:b/>
          <w:sz w:val="22"/>
          <w:lang w:val="tr-TR"/>
        </w:rPr>
      </w:pPr>
    </w:p>
    <w:p w14:paraId="3BBA9137" w14:textId="1940B074" w:rsidR="00FF6E07" w:rsidRPr="001D47B8" w:rsidRDefault="00FF6E07" w:rsidP="001C4B9F">
      <w:pPr>
        <w:pStyle w:val="ListeParagraf"/>
        <w:numPr>
          <w:ilvl w:val="0"/>
          <w:numId w:val="7"/>
        </w:numPr>
        <w:tabs>
          <w:tab w:val="left" w:pos="671"/>
        </w:tabs>
        <w:spacing w:line="252" w:lineRule="auto"/>
        <w:ind w:right="328" w:firstLine="4"/>
        <w:rPr>
          <w:color w:val="010101"/>
          <w:sz w:val="21"/>
          <w:lang w:val="tr-TR"/>
        </w:rPr>
      </w:pPr>
      <w:r w:rsidRPr="00B71411">
        <w:rPr>
          <w:color w:val="010101"/>
          <w:sz w:val="21"/>
          <w:lang w:val="tr-TR"/>
        </w:rPr>
        <w:t>Devletin</w:t>
      </w:r>
      <w:r w:rsidR="003C3DFA" w:rsidRPr="001D47B8">
        <w:rPr>
          <w:color w:val="010101"/>
          <w:sz w:val="21"/>
          <w:lang w:val="tr-TR"/>
        </w:rPr>
        <w:t xml:space="preserve">, </w:t>
      </w:r>
      <w:r w:rsidRPr="001D47B8">
        <w:rPr>
          <w:color w:val="010101"/>
          <w:sz w:val="21"/>
          <w:lang w:val="tr-TR"/>
        </w:rPr>
        <w:t xml:space="preserve">devletin demokratik kuruluşlarının </w:t>
      </w:r>
      <w:r w:rsidR="003C3DFA" w:rsidRPr="001D47B8">
        <w:rPr>
          <w:color w:val="010101"/>
          <w:sz w:val="21"/>
          <w:lang w:val="tr-TR"/>
        </w:rPr>
        <w:t>ve nüfusun güvenliği, gerekirse yüksek paha</w:t>
      </w:r>
      <w:r w:rsidR="0090721B">
        <w:rPr>
          <w:color w:val="010101"/>
          <w:sz w:val="21"/>
          <w:lang w:val="tr-TR"/>
        </w:rPr>
        <w:t>lar</w:t>
      </w:r>
      <w:r w:rsidR="003C3DFA" w:rsidRPr="001D47B8">
        <w:rPr>
          <w:color w:val="010101"/>
          <w:sz w:val="21"/>
          <w:lang w:val="tr-TR"/>
        </w:rPr>
        <w:t xml:space="preserve"> ödenerek, korunmayı hak eden kamu ve özel menfaatleridir.</w:t>
      </w:r>
      <w:r w:rsidR="003C3DFA" w:rsidRPr="001D47B8">
        <w:rPr>
          <w:rStyle w:val="DipnotBavurusu"/>
          <w:color w:val="010101"/>
          <w:sz w:val="21"/>
          <w:lang w:val="tr-TR"/>
        </w:rPr>
        <w:footnoteReference w:id="40"/>
      </w:r>
      <w:r w:rsidR="003C3DFA" w:rsidRPr="001D47B8">
        <w:rPr>
          <w:color w:val="010101"/>
          <w:sz w:val="21"/>
          <w:lang w:val="tr-TR"/>
        </w:rPr>
        <w:t xml:space="preserve"> </w:t>
      </w:r>
      <w:r w:rsidR="00944742" w:rsidRPr="001D47B8">
        <w:rPr>
          <w:color w:val="010101"/>
          <w:sz w:val="21"/>
          <w:lang w:val="tr-TR"/>
        </w:rPr>
        <w:t>Devletler, u</w:t>
      </w:r>
      <w:r w:rsidR="003C3DFA" w:rsidRPr="001D47B8">
        <w:rPr>
          <w:color w:val="010101"/>
          <w:sz w:val="21"/>
          <w:lang w:val="tr-TR"/>
        </w:rPr>
        <w:t>luslararası hukuka göre</w:t>
      </w:r>
      <w:r w:rsidR="00944742" w:rsidRPr="001D47B8">
        <w:rPr>
          <w:color w:val="010101"/>
          <w:sz w:val="21"/>
          <w:lang w:val="tr-TR"/>
        </w:rPr>
        <w:t xml:space="preserve"> </w:t>
      </w:r>
      <w:r w:rsidR="003C3DFA" w:rsidRPr="001D47B8">
        <w:rPr>
          <w:color w:val="010101"/>
          <w:sz w:val="21"/>
          <w:lang w:val="tr-TR"/>
        </w:rPr>
        <w:t>Devletin ve halkın korunmasını sağlamakla yükümlüdür.</w:t>
      </w:r>
      <w:r w:rsidR="003C3DFA" w:rsidRPr="001D47B8">
        <w:rPr>
          <w:rStyle w:val="DipnotBavurusu"/>
          <w:color w:val="010101"/>
          <w:sz w:val="21"/>
          <w:lang w:val="tr-TR"/>
        </w:rPr>
        <w:footnoteReference w:id="41"/>
      </w:r>
      <w:r w:rsidR="003C3DFA" w:rsidRPr="001D47B8">
        <w:rPr>
          <w:color w:val="010101"/>
          <w:sz w:val="21"/>
          <w:lang w:val="tr-TR"/>
        </w:rPr>
        <w:t xml:space="preserve"> </w:t>
      </w:r>
      <w:r w:rsidR="00944742" w:rsidRPr="001D47B8">
        <w:rPr>
          <w:color w:val="010101"/>
          <w:sz w:val="21"/>
          <w:lang w:val="tr-TR"/>
        </w:rPr>
        <w:t>Avrupa İnsan Hakları Mahkemesinin kararına göre</w:t>
      </w:r>
      <w:r w:rsidR="0090721B">
        <w:rPr>
          <w:color w:val="010101"/>
          <w:sz w:val="21"/>
          <w:lang w:val="tr-TR"/>
        </w:rPr>
        <w:t>,</w:t>
      </w:r>
      <w:r w:rsidR="00944742" w:rsidRPr="001D47B8">
        <w:rPr>
          <w:color w:val="010101"/>
          <w:sz w:val="21"/>
          <w:lang w:val="tr-TR"/>
        </w:rPr>
        <w:t xml:space="preserve"> yaşam hakkının korunması</w:t>
      </w:r>
      <w:r w:rsidR="00EE625C" w:rsidRPr="001D47B8">
        <w:rPr>
          <w:color w:val="010101"/>
          <w:sz w:val="21"/>
          <w:lang w:val="tr-TR"/>
        </w:rPr>
        <w:t xml:space="preserve"> için</w:t>
      </w:r>
      <w:r w:rsidR="00944742" w:rsidRPr="001D47B8">
        <w:rPr>
          <w:color w:val="010101"/>
          <w:sz w:val="21"/>
          <w:lang w:val="tr-TR"/>
        </w:rPr>
        <w:t xml:space="preserve">, iyi tanımlanmış belli bazı </w:t>
      </w:r>
      <w:r w:rsidR="00EE625C" w:rsidRPr="001D47B8">
        <w:rPr>
          <w:color w:val="010101"/>
          <w:sz w:val="21"/>
          <w:lang w:val="tr-TR"/>
        </w:rPr>
        <w:t>durumlarda yetkililere</w:t>
      </w:r>
      <w:r w:rsidR="00944742" w:rsidRPr="001D47B8">
        <w:rPr>
          <w:color w:val="010101"/>
          <w:sz w:val="21"/>
          <w:lang w:val="tr-TR"/>
        </w:rPr>
        <w:t>, “başka bir</w:t>
      </w:r>
      <w:r w:rsidR="00EE625C" w:rsidRPr="001D47B8">
        <w:rPr>
          <w:color w:val="010101"/>
          <w:sz w:val="21"/>
          <w:lang w:val="tr-TR"/>
        </w:rPr>
        <w:t>inin</w:t>
      </w:r>
      <w:r w:rsidR="00944742" w:rsidRPr="001D47B8">
        <w:rPr>
          <w:color w:val="010101"/>
          <w:sz w:val="21"/>
          <w:lang w:val="tr-TR"/>
        </w:rPr>
        <w:t xml:space="preserve"> suç </w:t>
      </w:r>
      <w:r w:rsidR="00EE625C" w:rsidRPr="001D47B8">
        <w:rPr>
          <w:color w:val="010101"/>
          <w:sz w:val="21"/>
          <w:lang w:val="tr-TR"/>
        </w:rPr>
        <w:t xml:space="preserve">niteliğindeki </w:t>
      </w:r>
      <w:r w:rsidR="00944742" w:rsidRPr="001D47B8">
        <w:rPr>
          <w:color w:val="010101"/>
          <w:sz w:val="21"/>
          <w:lang w:val="tr-TR"/>
        </w:rPr>
        <w:t xml:space="preserve">eylemleri nedeniyle yaşamı risk altında olan bir bireyi korumak </w:t>
      </w:r>
      <w:r w:rsidR="00EE625C" w:rsidRPr="001D47B8">
        <w:rPr>
          <w:color w:val="010101"/>
          <w:sz w:val="21"/>
          <w:lang w:val="tr-TR"/>
        </w:rPr>
        <w:t>için</w:t>
      </w:r>
      <w:r w:rsidR="00944742" w:rsidRPr="001D47B8">
        <w:rPr>
          <w:color w:val="010101"/>
          <w:sz w:val="21"/>
          <w:lang w:val="tr-TR"/>
        </w:rPr>
        <w:t xml:space="preserve"> önleyici operasyonel tedbirler </w:t>
      </w:r>
      <w:r w:rsidR="00EE625C" w:rsidRPr="001D47B8">
        <w:rPr>
          <w:color w:val="010101"/>
          <w:sz w:val="21"/>
          <w:lang w:val="tr-TR"/>
        </w:rPr>
        <w:t>alma şeklinde</w:t>
      </w:r>
      <w:r w:rsidR="00944742" w:rsidRPr="001D47B8">
        <w:rPr>
          <w:color w:val="010101"/>
          <w:sz w:val="21"/>
          <w:lang w:val="tr-TR"/>
        </w:rPr>
        <w:t xml:space="preserve"> pozitif bir yükümlülük</w:t>
      </w:r>
      <w:r w:rsidR="00EE625C" w:rsidRPr="001D47B8">
        <w:rPr>
          <w:color w:val="010101"/>
          <w:sz w:val="21"/>
          <w:lang w:val="tr-TR"/>
        </w:rPr>
        <w:t>” de yüklenebilir</w:t>
      </w:r>
      <w:r w:rsidR="00944742" w:rsidRPr="001D47B8">
        <w:rPr>
          <w:color w:val="010101"/>
          <w:sz w:val="21"/>
          <w:lang w:val="tr-TR"/>
        </w:rPr>
        <w:t>”.</w:t>
      </w:r>
      <w:r w:rsidR="00944742" w:rsidRPr="001D47B8">
        <w:rPr>
          <w:rStyle w:val="DipnotBavurusu"/>
          <w:color w:val="010101"/>
          <w:sz w:val="21"/>
          <w:lang w:val="tr-TR"/>
        </w:rPr>
        <w:footnoteReference w:id="42"/>
      </w:r>
    </w:p>
    <w:p w14:paraId="64CE3DB3" w14:textId="5DBA9B37" w:rsidR="00FF6E07" w:rsidRPr="001D47B8" w:rsidRDefault="00EE625C" w:rsidP="00FF6E07">
      <w:pPr>
        <w:pStyle w:val="ListeParagraf"/>
        <w:tabs>
          <w:tab w:val="left" w:pos="671"/>
        </w:tabs>
        <w:spacing w:line="252" w:lineRule="auto"/>
        <w:ind w:left="127" w:right="328" w:firstLine="0"/>
        <w:rPr>
          <w:color w:val="010101"/>
          <w:sz w:val="21"/>
          <w:lang w:val="tr-TR"/>
        </w:rPr>
      </w:pPr>
      <w:r w:rsidRPr="001D47B8">
        <w:rPr>
          <w:color w:val="010101"/>
          <w:sz w:val="21"/>
          <w:lang w:val="tr-TR"/>
        </w:rPr>
        <w:t xml:space="preserve">  </w:t>
      </w:r>
    </w:p>
    <w:p w14:paraId="47401AB2" w14:textId="0DDE192B" w:rsidR="00EE625C" w:rsidRPr="001D47B8" w:rsidRDefault="00EE625C" w:rsidP="001C4B9F">
      <w:pPr>
        <w:pStyle w:val="ListeParagraf"/>
        <w:numPr>
          <w:ilvl w:val="0"/>
          <w:numId w:val="7"/>
        </w:numPr>
        <w:tabs>
          <w:tab w:val="left" w:pos="670"/>
        </w:tabs>
        <w:spacing w:before="92" w:line="252" w:lineRule="auto"/>
        <w:ind w:left="124" w:right="324" w:firstLine="3"/>
        <w:rPr>
          <w:color w:val="010101"/>
          <w:sz w:val="21"/>
          <w:lang w:val="tr-TR"/>
        </w:rPr>
      </w:pPr>
      <w:r w:rsidRPr="001D47B8">
        <w:rPr>
          <w:color w:val="010101"/>
          <w:sz w:val="21"/>
          <w:lang w:val="tr-TR"/>
        </w:rPr>
        <w:t xml:space="preserve">Devlet güvenliğini, kamu güvenliğini ve başkalarının hak ve özgürlüklerini tehdit edenleri kontrol etmenin </w:t>
      </w:r>
      <w:r w:rsidR="0086763E" w:rsidRPr="001D47B8">
        <w:rPr>
          <w:color w:val="010101"/>
          <w:sz w:val="21"/>
          <w:lang w:val="tr-TR"/>
        </w:rPr>
        <w:t>çoğu kez en</w:t>
      </w:r>
      <w:r w:rsidRPr="001D47B8">
        <w:rPr>
          <w:color w:val="010101"/>
          <w:sz w:val="21"/>
          <w:lang w:val="tr-TR"/>
        </w:rPr>
        <w:t xml:space="preserve"> doğru yolu, yürütme yetkililerine kişisel hak ve özgürlükleri kısıtlamaları için daha fazla yetki vermek değil, </w:t>
      </w:r>
      <w:r w:rsidR="0086763E" w:rsidRPr="001D47B8">
        <w:rPr>
          <w:color w:val="010101"/>
          <w:sz w:val="21"/>
          <w:lang w:val="tr-TR"/>
        </w:rPr>
        <w:t>aksine</w:t>
      </w:r>
      <w:r w:rsidRPr="001D47B8">
        <w:rPr>
          <w:color w:val="010101"/>
          <w:sz w:val="21"/>
          <w:lang w:val="tr-TR"/>
        </w:rPr>
        <w:t xml:space="preserve"> demokrasi</w:t>
      </w:r>
      <w:r w:rsidR="008168CC">
        <w:rPr>
          <w:color w:val="010101"/>
          <w:sz w:val="21"/>
          <w:lang w:val="tr-TR"/>
        </w:rPr>
        <w:t>yi</w:t>
      </w:r>
      <w:r w:rsidRPr="001D47B8">
        <w:rPr>
          <w:color w:val="010101"/>
          <w:sz w:val="21"/>
          <w:lang w:val="tr-TR"/>
        </w:rPr>
        <w:t xml:space="preserve"> ve Hukukun Üstünlüğünü kuvvetlendirmeleri için daha çok yetki vermekti</w:t>
      </w:r>
      <w:r w:rsidR="0086763E" w:rsidRPr="001D47B8">
        <w:rPr>
          <w:color w:val="010101"/>
          <w:sz w:val="21"/>
          <w:lang w:val="tr-TR"/>
        </w:rPr>
        <w:t>r; zaten d</w:t>
      </w:r>
      <w:r w:rsidRPr="001D47B8">
        <w:rPr>
          <w:color w:val="010101"/>
          <w:sz w:val="21"/>
          <w:lang w:val="tr-TR"/>
        </w:rPr>
        <w:t>emokrasi ve Hukukun üstünlüğü de bireyin insan hakları ve özgürlüklerinin yetkililer tarafından keyfi ve ölçüsüz</w:t>
      </w:r>
      <w:r w:rsidR="0086763E" w:rsidRPr="001D47B8">
        <w:rPr>
          <w:color w:val="010101"/>
          <w:sz w:val="21"/>
          <w:lang w:val="tr-TR"/>
        </w:rPr>
        <w:t xml:space="preserve"> olarak</w:t>
      </w:r>
      <w:r w:rsidRPr="001D47B8">
        <w:rPr>
          <w:color w:val="010101"/>
          <w:sz w:val="21"/>
          <w:lang w:val="tr-TR"/>
        </w:rPr>
        <w:t xml:space="preserve"> kısıtlanmasına karşı bireyi korumayı amaçla</w:t>
      </w:r>
      <w:r w:rsidR="0086763E" w:rsidRPr="001D47B8">
        <w:rPr>
          <w:color w:val="010101"/>
          <w:sz w:val="21"/>
          <w:lang w:val="tr-TR"/>
        </w:rPr>
        <w:t>r.</w:t>
      </w:r>
      <w:r w:rsidR="0086763E" w:rsidRPr="001D47B8">
        <w:rPr>
          <w:rStyle w:val="DipnotBavurusu"/>
          <w:color w:val="010101"/>
          <w:sz w:val="21"/>
          <w:lang w:val="tr-TR"/>
        </w:rPr>
        <w:footnoteReference w:id="43"/>
      </w:r>
      <w:r w:rsidR="0086763E" w:rsidRPr="001D47B8">
        <w:rPr>
          <w:color w:val="010101"/>
          <w:sz w:val="21"/>
          <w:lang w:val="tr-TR"/>
        </w:rPr>
        <w:t xml:space="preserve"> Nitekim, Devletler belli bazı hakları başka amaçlarla ya da geçerli durumun gerektirdiğinden daha geniş ölçüde sınırlamak için yetkilerini kullanma eğiliminde olabilir.</w:t>
      </w:r>
      <w:r w:rsidR="0086763E" w:rsidRPr="001D47B8">
        <w:rPr>
          <w:rStyle w:val="DipnotBavurusu"/>
          <w:color w:val="010101"/>
          <w:sz w:val="21"/>
          <w:lang w:val="tr-TR"/>
        </w:rPr>
        <w:footnoteReference w:id="44"/>
      </w:r>
      <w:r w:rsidR="0086763E" w:rsidRPr="001D47B8">
        <w:rPr>
          <w:color w:val="010101"/>
          <w:sz w:val="21"/>
          <w:lang w:val="tr-TR"/>
        </w:rPr>
        <w:t xml:space="preserve"> </w:t>
      </w:r>
    </w:p>
    <w:p w14:paraId="4427E8A1" w14:textId="77777777" w:rsidR="001B3C12" w:rsidRPr="001D47B8" w:rsidRDefault="001B3C12" w:rsidP="001C4B9F">
      <w:pPr>
        <w:pStyle w:val="GvdeMetni"/>
        <w:spacing w:before="10"/>
        <w:jc w:val="both"/>
        <w:rPr>
          <w:lang w:val="tr-TR"/>
        </w:rPr>
      </w:pPr>
    </w:p>
    <w:p w14:paraId="23A0976C" w14:textId="25DAAA2C" w:rsidR="00A326FF" w:rsidRPr="001D47B8" w:rsidRDefault="00A326FF" w:rsidP="008168CC">
      <w:pPr>
        <w:pStyle w:val="ListeParagraf"/>
        <w:numPr>
          <w:ilvl w:val="0"/>
          <w:numId w:val="7"/>
        </w:numPr>
        <w:tabs>
          <w:tab w:val="left" w:pos="668"/>
        </w:tabs>
        <w:spacing w:line="249" w:lineRule="auto"/>
        <w:ind w:right="323" w:firstLine="19"/>
        <w:rPr>
          <w:color w:val="010101"/>
          <w:sz w:val="21"/>
          <w:lang w:val="tr-TR"/>
        </w:rPr>
      </w:pPr>
      <w:r w:rsidRPr="001D47B8">
        <w:rPr>
          <w:color w:val="010101"/>
          <w:sz w:val="21"/>
          <w:lang w:val="tr-TR"/>
        </w:rPr>
        <w:t>Devlet güvenliği ve kamu güvenliğini korumak için ulusal yasama ve yürütme yetkilileri tarafından alınan etkili tedbirler, belli bazı insan hakları ve özgürlüklerinde sınırlama yapılmasını</w:t>
      </w:r>
      <w:r w:rsidR="00832045" w:rsidRPr="001D47B8">
        <w:rPr>
          <w:color w:val="010101"/>
          <w:sz w:val="21"/>
          <w:lang w:val="tr-TR"/>
        </w:rPr>
        <w:t xml:space="preserve"> ve -eğer ulusun yaşamı risk altında ise- bu hak ve özgürlüklerin geçici olarak askıya alınmasını (derogasyon) </w:t>
      </w:r>
      <w:r w:rsidRPr="001D47B8">
        <w:rPr>
          <w:color w:val="010101"/>
          <w:sz w:val="21"/>
          <w:lang w:val="tr-TR"/>
        </w:rPr>
        <w:t xml:space="preserve">gerekli ve haklı kılabilir. </w:t>
      </w:r>
      <w:r w:rsidR="00832045" w:rsidRPr="001D47B8">
        <w:rPr>
          <w:color w:val="010101"/>
          <w:sz w:val="21"/>
          <w:lang w:val="tr-TR"/>
        </w:rPr>
        <w:t>İnsan hakları sözleşmelerinde bu gerekçe kabul edilmiştir.</w:t>
      </w:r>
      <w:r w:rsidR="00832045" w:rsidRPr="001D47B8">
        <w:rPr>
          <w:rStyle w:val="DipnotBavurusu"/>
          <w:color w:val="010101"/>
          <w:sz w:val="21"/>
          <w:lang w:val="tr-TR"/>
        </w:rPr>
        <w:footnoteReference w:id="45"/>
      </w:r>
      <w:r w:rsidR="00832045" w:rsidRPr="001D47B8">
        <w:rPr>
          <w:color w:val="010101"/>
          <w:sz w:val="21"/>
          <w:lang w:val="tr-TR"/>
        </w:rPr>
        <w:t xml:space="preserve"> </w:t>
      </w:r>
      <w:r w:rsidR="00832045" w:rsidRPr="001D47B8">
        <w:rPr>
          <w:color w:val="010101"/>
          <w:sz w:val="21"/>
          <w:lang w:val="tr-TR"/>
        </w:rPr>
        <w:lastRenderedPageBreak/>
        <w:t>Bununla birlikte, sınırlama ve derogasyonun hangi koşullarda yapılabileceği</w:t>
      </w:r>
      <w:r w:rsidR="00A63624" w:rsidRPr="001D47B8">
        <w:rPr>
          <w:color w:val="010101"/>
          <w:sz w:val="21"/>
          <w:lang w:val="tr-TR"/>
        </w:rPr>
        <w:t>nin belirtildiği</w:t>
      </w:r>
      <w:r w:rsidR="00832045" w:rsidRPr="001D47B8">
        <w:rPr>
          <w:color w:val="010101"/>
          <w:sz w:val="21"/>
          <w:lang w:val="tr-TR"/>
        </w:rPr>
        <w:t xml:space="preserve"> bazı</w:t>
      </w:r>
      <w:r w:rsidR="00A63624" w:rsidRPr="001D47B8">
        <w:rPr>
          <w:color w:val="010101"/>
          <w:sz w:val="21"/>
          <w:lang w:val="tr-TR"/>
        </w:rPr>
        <w:t xml:space="preserve"> sözleşmeler kapsamında aynı zamanda, ulusal yetkililerin ilgili sözleşmede kısıtlama yapılması için öngörülen koşullara uygun olarak yetkilerini doğru amaçla kullanıp kullanmadığını ve ilgili menfaatler arasında adil bir denge kurup kurmadığını denetlemek için özel mekanizmalar kurulmuştur. Bu bağlamda, Avrupa İnsan Hakları Sözleşmesindeki hiçbir hük</w:t>
      </w:r>
      <w:r w:rsidR="004362A9">
        <w:rPr>
          <w:color w:val="010101"/>
          <w:sz w:val="21"/>
          <w:lang w:val="tr-TR"/>
        </w:rPr>
        <w:t>mün</w:t>
      </w:r>
      <w:r w:rsidR="00A63624" w:rsidRPr="001D47B8">
        <w:rPr>
          <w:color w:val="010101"/>
          <w:sz w:val="21"/>
          <w:lang w:val="tr-TR"/>
        </w:rPr>
        <w:t>, bir devlete, topluluğa veya kişiye, Sözleşme’de tanınan hak ve özgürlüklerin yok edilmesi veya bunların Sözleşme’de öngörülmüş olandan daha geniş ölçüde sınırlandırılma</w:t>
      </w:r>
      <w:r w:rsidR="00F779EB">
        <w:rPr>
          <w:color w:val="010101"/>
          <w:sz w:val="21"/>
          <w:lang w:val="tr-TR"/>
        </w:rPr>
        <w:t>sını</w:t>
      </w:r>
      <w:r w:rsidR="00A63624" w:rsidRPr="001D47B8">
        <w:rPr>
          <w:color w:val="010101"/>
          <w:sz w:val="21"/>
          <w:lang w:val="tr-TR"/>
        </w:rPr>
        <w:t xml:space="preserve"> amaçlayan bir etkinliğe </w:t>
      </w:r>
      <w:r w:rsidR="007673BA">
        <w:rPr>
          <w:color w:val="010101"/>
          <w:sz w:val="21"/>
          <w:lang w:val="tr-TR"/>
        </w:rPr>
        <w:t>dahil olma</w:t>
      </w:r>
      <w:r w:rsidR="00A63624" w:rsidRPr="001D47B8">
        <w:rPr>
          <w:color w:val="010101"/>
          <w:sz w:val="21"/>
          <w:lang w:val="tr-TR"/>
        </w:rPr>
        <w:t xml:space="preserve"> ya da eylemde bulunma hakkı verdiği biçiminde yorumlanamayacağını belirten AİHS 17. maddesi de dikkate alınmalıdır. Bunun yanı sıra, AİHS 18. maddesine göre, hak ve özgürlüklere yönelik Sözleşme hükümleri ile izin verilen kısıtlamalar öngörüldükleri amaç dışında uygulanamaz.</w:t>
      </w:r>
    </w:p>
    <w:p w14:paraId="71C649A3" w14:textId="77777777" w:rsidR="00A326FF" w:rsidRPr="001D47B8" w:rsidRDefault="00A326FF" w:rsidP="00A326FF">
      <w:pPr>
        <w:pStyle w:val="ListeParagraf"/>
        <w:tabs>
          <w:tab w:val="left" w:pos="668"/>
        </w:tabs>
        <w:spacing w:line="249" w:lineRule="auto"/>
        <w:ind w:left="130" w:right="323" w:firstLine="0"/>
        <w:rPr>
          <w:color w:val="010101"/>
          <w:sz w:val="21"/>
          <w:lang w:val="tr-TR"/>
        </w:rPr>
      </w:pPr>
    </w:p>
    <w:p w14:paraId="36D39C49" w14:textId="6527D565" w:rsidR="007706CF" w:rsidRPr="001D47B8" w:rsidRDefault="007706CF" w:rsidP="001C4B9F">
      <w:pPr>
        <w:pStyle w:val="ListeParagraf"/>
        <w:numPr>
          <w:ilvl w:val="0"/>
          <w:numId w:val="7"/>
        </w:numPr>
        <w:tabs>
          <w:tab w:val="left" w:pos="671"/>
        </w:tabs>
        <w:spacing w:line="252" w:lineRule="auto"/>
        <w:ind w:left="124" w:right="327" w:firstLine="3"/>
        <w:rPr>
          <w:color w:val="010101"/>
          <w:sz w:val="21"/>
          <w:lang w:val="tr-TR"/>
        </w:rPr>
      </w:pPr>
      <w:r w:rsidRPr="001D47B8">
        <w:rPr>
          <w:color w:val="010101"/>
          <w:spacing w:val="-1"/>
          <w:w w:val="105"/>
          <w:sz w:val="21"/>
          <w:lang w:val="tr-TR"/>
        </w:rPr>
        <w:t>Barışçıl toplantı ve örgütlenme özgürlüğü haklarına ilişkin Özel Raportör</w:t>
      </w:r>
      <w:r w:rsidR="00153813" w:rsidRPr="001D47B8">
        <w:rPr>
          <w:color w:val="010101"/>
          <w:spacing w:val="-1"/>
          <w:w w:val="105"/>
          <w:sz w:val="21"/>
          <w:lang w:val="tr-TR"/>
        </w:rPr>
        <w:t xml:space="preserve">e göre, “Dolandırıcılık, zimmet, yolsuzluk, kara para aklama ve diğer kaçakçılık türleri ile mücadele meşrudur ve “ulusal güvenlik, kamu güvenliği ya da kamu düzeninin yararına” </w:t>
      </w:r>
      <w:r w:rsidR="007673BA">
        <w:rPr>
          <w:color w:val="010101"/>
          <w:spacing w:val="-1"/>
          <w:w w:val="105"/>
          <w:sz w:val="21"/>
          <w:lang w:val="tr-TR"/>
        </w:rPr>
        <w:t>olarak</w:t>
      </w:r>
      <w:r w:rsidR="00153813" w:rsidRPr="001D47B8">
        <w:rPr>
          <w:color w:val="010101"/>
          <w:spacing w:val="-1"/>
          <w:w w:val="105"/>
          <w:sz w:val="21"/>
          <w:lang w:val="tr-TR"/>
        </w:rPr>
        <w:t xml:space="preserve"> nitelendirilebilir. Ancak, sadece meşru bir amaca ulaşmaya çalışmak yeterli değildir, sınırlamalar aynı zamanda kanunla öngörülmeli ve demokratik bir toplumda “gerekli” olmalıdır. Bu bakımdan, sınırlamalar korunması gereken yarara ölçülü olmalı ve arzu edilen hedefe ulaşmak için en a</w:t>
      </w:r>
      <w:r w:rsidR="00196006">
        <w:rPr>
          <w:color w:val="010101"/>
          <w:spacing w:val="-1"/>
          <w:w w:val="105"/>
          <w:sz w:val="21"/>
          <w:lang w:val="tr-TR"/>
        </w:rPr>
        <w:t>z</w:t>
      </w:r>
      <w:r w:rsidR="00153813" w:rsidRPr="001D47B8">
        <w:rPr>
          <w:color w:val="010101"/>
          <w:spacing w:val="-1"/>
          <w:w w:val="105"/>
          <w:sz w:val="21"/>
          <w:lang w:val="tr-TR"/>
        </w:rPr>
        <w:t xml:space="preserve"> müdahale eden araç seçilmelidir.”</w:t>
      </w:r>
      <w:r w:rsidR="00153813" w:rsidRPr="001D47B8">
        <w:rPr>
          <w:rStyle w:val="DipnotBavurusu"/>
          <w:color w:val="010101"/>
          <w:spacing w:val="-1"/>
          <w:w w:val="105"/>
          <w:sz w:val="21"/>
          <w:lang w:val="tr-TR"/>
        </w:rPr>
        <w:footnoteReference w:id="46"/>
      </w:r>
      <w:r w:rsidR="00153813" w:rsidRPr="001D47B8">
        <w:rPr>
          <w:color w:val="010101"/>
          <w:spacing w:val="-1"/>
          <w:w w:val="105"/>
          <w:sz w:val="21"/>
          <w:lang w:val="tr-TR"/>
        </w:rPr>
        <w:t xml:space="preserve"> </w:t>
      </w:r>
    </w:p>
    <w:p w14:paraId="2101A7A7" w14:textId="77777777" w:rsidR="007706CF" w:rsidRPr="001D47B8" w:rsidRDefault="007706CF" w:rsidP="007706CF">
      <w:pPr>
        <w:pStyle w:val="ListeParagraf"/>
        <w:tabs>
          <w:tab w:val="left" w:pos="671"/>
        </w:tabs>
        <w:spacing w:line="252" w:lineRule="auto"/>
        <w:ind w:left="127" w:right="327" w:firstLine="0"/>
        <w:rPr>
          <w:color w:val="010101"/>
          <w:spacing w:val="-1"/>
          <w:w w:val="105"/>
          <w:sz w:val="21"/>
          <w:lang w:val="tr-TR"/>
        </w:rPr>
      </w:pPr>
    </w:p>
    <w:p w14:paraId="50CB6224" w14:textId="77777777" w:rsidR="007706CF" w:rsidRPr="001D47B8" w:rsidRDefault="007706CF" w:rsidP="007706CF">
      <w:pPr>
        <w:pStyle w:val="ListeParagraf"/>
        <w:tabs>
          <w:tab w:val="left" w:pos="671"/>
        </w:tabs>
        <w:spacing w:line="252" w:lineRule="auto"/>
        <w:ind w:left="127" w:right="327" w:firstLine="0"/>
        <w:rPr>
          <w:color w:val="010101"/>
          <w:spacing w:val="-1"/>
          <w:w w:val="105"/>
          <w:sz w:val="21"/>
          <w:lang w:val="tr-TR"/>
        </w:rPr>
      </w:pPr>
    </w:p>
    <w:p w14:paraId="2AA7BEF3" w14:textId="5C5870BF" w:rsidR="001B3C12" w:rsidRPr="001D47B8" w:rsidRDefault="00A63624" w:rsidP="001C4B9F">
      <w:pPr>
        <w:pStyle w:val="Balk1"/>
        <w:numPr>
          <w:ilvl w:val="0"/>
          <w:numId w:val="8"/>
        </w:numPr>
        <w:tabs>
          <w:tab w:val="left" w:pos="488"/>
        </w:tabs>
        <w:ind w:hanging="363"/>
        <w:jc w:val="both"/>
        <w:rPr>
          <w:color w:val="010101"/>
          <w:lang w:val="tr-TR"/>
        </w:rPr>
      </w:pPr>
      <w:r w:rsidRPr="001D47B8">
        <w:rPr>
          <w:color w:val="010101"/>
          <w:lang w:val="tr-TR"/>
        </w:rPr>
        <w:t>Anayasal çerçeve</w:t>
      </w:r>
    </w:p>
    <w:p w14:paraId="00552EB2" w14:textId="77777777" w:rsidR="001B3C12" w:rsidRPr="001D47B8" w:rsidRDefault="001B3C12" w:rsidP="001C4B9F">
      <w:pPr>
        <w:pStyle w:val="GvdeMetni"/>
        <w:spacing w:before="9"/>
        <w:jc w:val="both"/>
        <w:rPr>
          <w:b/>
          <w:sz w:val="24"/>
          <w:lang w:val="tr-TR"/>
        </w:rPr>
      </w:pPr>
    </w:p>
    <w:p w14:paraId="37701CA2" w14:textId="541A06F7" w:rsidR="00153813" w:rsidRPr="001D47B8" w:rsidRDefault="00153813" w:rsidP="001C4B9F">
      <w:pPr>
        <w:pStyle w:val="ListeParagraf"/>
        <w:numPr>
          <w:ilvl w:val="0"/>
          <w:numId w:val="7"/>
        </w:numPr>
        <w:tabs>
          <w:tab w:val="left" w:pos="671"/>
        </w:tabs>
        <w:spacing w:line="252" w:lineRule="auto"/>
        <w:ind w:right="327" w:firstLine="4"/>
        <w:rPr>
          <w:color w:val="010101"/>
          <w:sz w:val="21"/>
          <w:lang w:val="tr-TR"/>
        </w:rPr>
      </w:pPr>
      <w:r w:rsidRPr="001D47B8">
        <w:rPr>
          <w:color w:val="010101"/>
          <w:sz w:val="21"/>
          <w:lang w:val="tr-TR"/>
        </w:rPr>
        <w:t>Türkiye Cumhuriyeti Anayasasının 90. maddesine göre Türkiye’de ulusal mevzuat</w:t>
      </w:r>
      <w:r w:rsidR="00196006">
        <w:rPr>
          <w:color w:val="010101"/>
          <w:sz w:val="21"/>
          <w:lang w:val="tr-TR"/>
        </w:rPr>
        <w:t>,</w:t>
      </w:r>
      <w:r w:rsidRPr="001D47B8">
        <w:rPr>
          <w:color w:val="010101"/>
          <w:sz w:val="21"/>
          <w:lang w:val="tr-TR"/>
        </w:rPr>
        <w:t xml:space="preserve"> uluslararası yükümlülükler</w:t>
      </w:r>
      <w:r w:rsidR="00196006">
        <w:rPr>
          <w:color w:val="010101"/>
          <w:sz w:val="21"/>
          <w:lang w:val="tr-TR"/>
        </w:rPr>
        <w:t>e ait</w:t>
      </w:r>
      <w:r w:rsidRPr="001D47B8">
        <w:rPr>
          <w:color w:val="010101"/>
          <w:sz w:val="21"/>
          <w:lang w:val="tr-TR"/>
        </w:rPr>
        <w:t xml:space="preserve"> standartlarına aykırı olarak uygulanamaz. Anayasanın 5. maddesinde (değiştirilemeyecek hükümler adlı bölümde) devletin temel amaç ve görevleri arasında hukuk ile yönetilen bir devlette demokrasiyi, temel hakları ve adaleti </w:t>
      </w:r>
      <w:r w:rsidR="003D10E6" w:rsidRPr="001D47B8">
        <w:rPr>
          <w:color w:val="010101"/>
          <w:sz w:val="21"/>
          <w:lang w:val="tr-TR"/>
        </w:rPr>
        <w:t>korumak</w:t>
      </w:r>
      <w:r w:rsidR="00744B72">
        <w:rPr>
          <w:color w:val="010101"/>
          <w:sz w:val="21"/>
          <w:lang w:val="tr-TR"/>
        </w:rPr>
        <w:t xml:space="preserve"> yer almaktadır</w:t>
      </w:r>
      <w:r w:rsidR="003D10E6" w:rsidRPr="001D47B8">
        <w:rPr>
          <w:color w:val="010101"/>
          <w:sz w:val="21"/>
          <w:lang w:val="tr-TR"/>
        </w:rPr>
        <w:t xml:space="preserve">. 10.madde uyarınca herkes kanun önünde eşittir.  Yerel kanunların Anayasaya aykırı olamayacağı belirtilen 11. maddede, Anayasanın üstünlüğü ve bağlayıcılığı vurgulanmaktadır. Anayasada temel haklara yönelik güçlü bir koruma sağlanmaktadır. I. Kısmın 13. maddesine göre: </w:t>
      </w:r>
    </w:p>
    <w:p w14:paraId="265B9EE9" w14:textId="77777777" w:rsidR="00153813" w:rsidRPr="001D47B8" w:rsidRDefault="00153813" w:rsidP="00153813">
      <w:pPr>
        <w:pStyle w:val="ListeParagraf"/>
        <w:tabs>
          <w:tab w:val="left" w:pos="671"/>
        </w:tabs>
        <w:spacing w:line="252" w:lineRule="auto"/>
        <w:ind w:left="127" w:right="327" w:firstLine="0"/>
        <w:rPr>
          <w:color w:val="010101"/>
          <w:sz w:val="21"/>
          <w:lang w:val="tr-TR"/>
        </w:rPr>
      </w:pPr>
    </w:p>
    <w:p w14:paraId="4E65D55C" w14:textId="77777777" w:rsidR="003D10E6" w:rsidRPr="001D47B8" w:rsidRDefault="003D10E6" w:rsidP="005E2BC7">
      <w:pPr>
        <w:pStyle w:val="ListeParagraf"/>
        <w:numPr>
          <w:ilvl w:val="0"/>
          <w:numId w:val="1"/>
        </w:numPr>
        <w:tabs>
          <w:tab w:val="left" w:pos="1156"/>
        </w:tabs>
        <w:spacing w:before="92" w:line="252" w:lineRule="auto"/>
        <w:ind w:right="332"/>
        <w:rPr>
          <w:i/>
          <w:sz w:val="21"/>
          <w:lang w:val="tr-TR"/>
        </w:rPr>
      </w:pPr>
      <w:r w:rsidRPr="001D47B8">
        <w:rPr>
          <w:i/>
          <w:color w:val="010101"/>
          <w:sz w:val="21"/>
          <w:lang w:val="tr-TR"/>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14:paraId="4058DAB3" w14:textId="77777777" w:rsidR="001B3C12" w:rsidRPr="001D47B8" w:rsidRDefault="001B3C12" w:rsidP="001C4B9F">
      <w:pPr>
        <w:pStyle w:val="GvdeMetni"/>
        <w:spacing w:before="3"/>
        <w:jc w:val="both"/>
        <w:rPr>
          <w:i/>
          <w:sz w:val="22"/>
          <w:lang w:val="tr-TR"/>
        </w:rPr>
      </w:pPr>
    </w:p>
    <w:p w14:paraId="7FCEAC77" w14:textId="5A4260EA" w:rsidR="003D10E6" w:rsidRPr="001D47B8" w:rsidRDefault="003D10E6" w:rsidP="001C4B9F">
      <w:pPr>
        <w:pStyle w:val="ListeParagraf"/>
        <w:numPr>
          <w:ilvl w:val="0"/>
          <w:numId w:val="7"/>
        </w:numPr>
        <w:tabs>
          <w:tab w:val="left" w:pos="671"/>
        </w:tabs>
        <w:spacing w:line="247" w:lineRule="auto"/>
        <w:ind w:right="322" w:firstLine="4"/>
        <w:rPr>
          <w:color w:val="010101"/>
          <w:sz w:val="21"/>
          <w:lang w:val="tr-TR"/>
        </w:rPr>
      </w:pPr>
      <w:r w:rsidRPr="001D47B8">
        <w:rPr>
          <w:color w:val="010101"/>
          <w:sz w:val="21"/>
          <w:lang w:val="tr-TR"/>
        </w:rPr>
        <w:t>Anayasanın 14. maddesinde</w:t>
      </w:r>
      <w:r w:rsidR="004A45AC">
        <w:rPr>
          <w:color w:val="010101"/>
          <w:sz w:val="21"/>
          <w:lang w:val="tr-TR"/>
        </w:rPr>
        <w:t>,</w:t>
      </w:r>
      <w:r w:rsidRPr="001D47B8">
        <w:rPr>
          <w:color w:val="010101"/>
          <w:sz w:val="21"/>
          <w:lang w:val="tr-TR"/>
        </w:rPr>
        <w:t xml:space="preserve"> AİHS’nin 17. maddesinde olduğu gibi</w:t>
      </w:r>
      <w:r w:rsidR="004A45AC">
        <w:rPr>
          <w:color w:val="010101"/>
          <w:sz w:val="21"/>
          <w:lang w:val="tr-TR"/>
        </w:rPr>
        <w:t>,</w:t>
      </w:r>
      <w:r w:rsidRPr="001D47B8">
        <w:rPr>
          <w:color w:val="010101"/>
          <w:sz w:val="21"/>
          <w:lang w:val="tr-TR"/>
        </w:rPr>
        <w:t xml:space="preserve"> temel hak ve özgürlüklerin istismar edilmesi yasaklanmaktadır. </w:t>
      </w:r>
    </w:p>
    <w:p w14:paraId="4BE7D8CB" w14:textId="77777777" w:rsidR="003D10E6" w:rsidRPr="001D47B8" w:rsidRDefault="003D10E6" w:rsidP="003D10E6">
      <w:pPr>
        <w:pStyle w:val="ListeParagraf"/>
        <w:tabs>
          <w:tab w:val="left" w:pos="671"/>
        </w:tabs>
        <w:spacing w:line="247" w:lineRule="auto"/>
        <w:ind w:left="127" w:right="322" w:firstLine="0"/>
        <w:rPr>
          <w:color w:val="010101"/>
          <w:sz w:val="21"/>
          <w:lang w:val="tr-TR"/>
        </w:rPr>
      </w:pPr>
    </w:p>
    <w:p w14:paraId="4209BBC9" w14:textId="7A8121CC" w:rsidR="003D10E6" w:rsidRPr="001D47B8" w:rsidRDefault="003D10E6" w:rsidP="001C4B9F">
      <w:pPr>
        <w:pStyle w:val="ListeParagraf"/>
        <w:numPr>
          <w:ilvl w:val="0"/>
          <w:numId w:val="7"/>
        </w:numPr>
        <w:tabs>
          <w:tab w:val="left" w:pos="671"/>
        </w:tabs>
        <w:spacing w:before="1" w:line="249" w:lineRule="auto"/>
        <w:ind w:left="128" w:right="321" w:hanging="2"/>
        <w:rPr>
          <w:color w:val="010101"/>
          <w:sz w:val="21"/>
          <w:lang w:val="tr-TR"/>
        </w:rPr>
      </w:pPr>
      <w:r w:rsidRPr="001D47B8">
        <w:rPr>
          <w:color w:val="010101"/>
          <w:sz w:val="21"/>
          <w:lang w:val="tr-TR"/>
        </w:rPr>
        <w:t>Anayasanın 33. maddesinde</w:t>
      </w:r>
      <w:r w:rsidR="00DF6F6E">
        <w:rPr>
          <w:color w:val="010101"/>
          <w:sz w:val="21"/>
          <w:lang w:val="tr-TR"/>
        </w:rPr>
        <w:t>,</w:t>
      </w:r>
      <w:r w:rsidRPr="001D47B8">
        <w:rPr>
          <w:color w:val="010101"/>
          <w:sz w:val="21"/>
          <w:lang w:val="tr-TR"/>
        </w:rPr>
        <w:t xml:space="preserve"> uluslararası insan hakları belgelerinde olduğu gibi</w:t>
      </w:r>
      <w:r w:rsidR="00DF6F6E">
        <w:rPr>
          <w:color w:val="010101"/>
          <w:sz w:val="21"/>
          <w:lang w:val="tr-TR"/>
        </w:rPr>
        <w:t>,</w:t>
      </w:r>
      <w:r w:rsidRPr="001D47B8">
        <w:rPr>
          <w:color w:val="010101"/>
          <w:sz w:val="21"/>
          <w:lang w:val="tr-TR"/>
        </w:rPr>
        <w:t xml:space="preserve"> örgütlenme özgürlüğünün </w:t>
      </w:r>
      <w:r w:rsidR="00A26636" w:rsidRPr="001D47B8">
        <w:rPr>
          <w:color w:val="010101"/>
          <w:sz w:val="21"/>
          <w:lang w:val="tr-TR"/>
        </w:rPr>
        <w:t xml:space="preserve">hem </w:t>
      </w:r>
      <w:r w:rsidRPr="001D47B8">
        <w:rPr>
          <w:color w:val="010101"/>
          <w:sz w:val="21"/>
          <w:lang w:val="tr-TR"/>
        </w:rPr>
        <w:t xml:space="preserve">olumlu </w:t>
      </w:r>
      <w:r w:rsidR="00A26636" w:rsidRPr="001D47B8">
        <w:rPr>
          <w:color w:val="010101"/>
          <w:sz w:val="21"/>
          <w:lang w:val="tr-TR"/>
        </w:rPr>
        <w:t>hem de</w:t>
      </w:r>
      <w:r w:rsidRPr="001D47B8">
        <w:rPr>
          <w:color w:val="010101"/>
          <w:sz w:val="21"/>
          <w:lang w:val="tr-TR"/>
        </w:rPr>
        <w:t xml:space="preserve"> olumsuz yönleri</w:t>
      </w:r>
      <w:r w:rsidR="00A26636" w:rsidRPr="001D47B8">
        <w:rPr>
          <w:color w:val="010101"/>
          <w:sz w:val="21"/>
          <w:lang w:val="tr-TR"/>
        </w:rPr>
        <w:t>ni</w:t>
      </w:r>
      <w:r w:rsidRPr="001D47B8">
        <w:rPr>
          <w:color w:val="010101"/>
          <w:sz w:val="21"/>
          <w:lang w:val="tr-TR"/>
        </w:rPr>
        <w:t xml:space="preserve"> korunmaktadır. Vakıflardan </w:t>
      </w:r>
      <w:r w:rsidR="00A26636" w:rsidRPr="001D47B8">
        <w:rPr>
          <w:color w:val="010101"/>
          <w:sz w:val="21"/>
          <w:lang w:val="tr-TR"/>
        </w:rPr>
        <w:t xml:space="preserve">da </w:t>
      </w:r>
      <w:r w:rsidRPr="001D47B8">
        <w:rPr>
          <w:color w:val="010101"/>
          <w:sz w:val="21"/>
          <w:lang w:val="tr-TR"/>
        </w:rPr>
        <w:t xml:space="preserve">korunması gereken varlıklar olarak bahsedilmektedir. </w:t>
      </w:r>
    </w:p>
    <w:p w14:paraId="664FEB7B" w14:textId="77777777" w:rsidR="003D10E6" w:rsidRPr="001D47B8" w:rsidRDefault="003D10E6" w:rsidP="003D10E6">
      <w:pPr>
        <w:pStyle w:val="ListeParagraf"/>
        <w:tabs>
          <w:tab w:val="left" w:pos="671"/>
        </w:tabs>
        <w:spacing w:before="1" w:line="249" w:lineRule="auto"/>
        <w:ind w:left="128" w:right="321" w:firstLine="0"/>
        <w:rPr>
          <w:color w:val="010101"/>
          <w:sz w:val="21"/>
          <w:lang w:val="tr-TR"/>
        </w:rPr>
      </w:pPr>
    </w:p>
    <w:p w14:paraId="5E150DEE" w14:textId="5930D97E" w:rsidR="00A26636" w:rsidRPr="001D47B8" w:rsidRDefault="00A26636" w:rsidP="001C4B9F">
      <w:pPr>
        <w:pStyle w:val="ListeParagraf"/>
        <w:numPr>
          <w:ilvl w:val="1"/>
          <w:numId w:val="7"/>
        </w:numPr>
        <w:tabs>
          <w:tab w:val="left" w:pos="1532"/>
        </w:tabs>
        <w:spacing w:line="252" w:lineRule="auto"/>
        <w:ind w:right="325" w:firstLine="3"/>
        <w:rPr>
          <w:i/>
          <w:sz w:val="21"/>
          <w:lang w:val="tr-TR"/>
        </w:rPr>
      </w:pPr>
      <w:r w:rsidRPr="001D47B8">
        <w:rPr>
          <w:i/>
          <w:sz w:val="21"/>
          <w:lang w:val="tr-TR"/>
        </w:rPr>
        <w:t xml:space="preserve">Herkes, önceden izin almaksızın dernek kurma ve bunlara üye olma ya da üyelikten çıkma hürriyetine sahiptir. Hiç kimse bir derneğe üye olmaya ve dernekte üye kalmaya zorlanamaz. Dernek kurma hürriyeti ancak, millî güvenlik, kamu düzeni, suç işlenmesinin önlenmesi, genel sağlık ve genel ahlâk ile başkalarının hürriyetlerinin korunması sebepleriyle ve kanunla sınırlanabilir. Dernek kurma hürriyetinin kullanılmasında uygulanacak şekil, şart ve usuller kanunda gösterilir. Dernekler, kanunun öngördüğü hallerde hâkim kararıyla kapatılabilir veya faaliyetten alıkonulabilir. Ancak, millî güvenliğin, kamu düzeninin, suç işlenmesini veya suçun devamını önlemenin yahut yakalamanın gerektirdiği hallerde gecikmede sakınca </w:t>
      </w:r>
      <w:r w:rsidRPr="001D47B8">
        <w:rPr>
          <w:i/>
          <w:sz w:val="21"/>
          <w:lang w:val="tr-TR"/>
        </w:rPr>
        <w:lastRenderedPageBreak/>
        <w:t>varsa, kanunla bir merci, derneği faaliyetten men ile yetkilendirilebilir. Bu merciin kararı, yirmi dört saat içinde görevli hâkimin onayına sunulur. Hâkim, kararını kırk sekiz saat içinde açıklar; aksi halde, bu idarî karar kendiliğinden yürürlükten kalkar.</w:t>
      </w:r>
    </w:p>
    <w:p w14:paraId="50168F1A" w14:textId="77777777" w:rsidR="00A26636" w:rsidRPr="001D47B8" w:rsidRDefault="00A26636" w:rsidP="00A26636">
      <w:pPr>
        <w:pStyle w:val="ListeParagraf"/>
        <w:tabs>
          <w:tab w:val="left" w:pos="1532"/>
        </w:tabs>
        <w:spacing w:line="252" w:lineRule="auto"/>
        <w:ind w:left="1302" w:right="325" w:firstLine="0"/>
        <w:rPr>
          <w:i/>
          <w:color w:val="010101"/>
          <w:w w:val="105"/>
          <w:sz w:val="21"/>
          <w:lang w:val="tr-TR"/>
        </w:rPr>
      </w:pPr>
    </w:p>
    <w:p w14:paraId="752D5707" w14:textId="29367F51" w:rsidR="0077252B" w:rsidRPr="001D47B8" w:rsidRDefault="004B71D4" w:rsidP="001D2B12">
      <w:pPr>
        <w:pStyle w:val="ListeParagraf"/>
        <w:numPr>
          <w:ilvl w:val="0"/>
          <w:numId w:val="7"/>
        </w:numPr>
        <w:tabs>
          <w:tab w:val="left" w:pos="730"/>
        </w:tabs>
        <w:spacing w:line="252" w:lineRule="auto"/>
        <w:ind w:left="127" w:right="327" w:firstLine="0"/>
        <w:rPr>
          <w:color w:val="010101"/>
          <w:sz w:val="21"/>
          <w:lang w:val="tr-TR"/>
        </w:rPr>
      </w:pPr>
      <w:r w:rsidRPr="001D47B8">
        <w:rPr>
          <w:color w:val="010101"/>
          <w:sz w:val="21"/>
          <w:lang w:val="tr-TR"/>
        </w:rPr>
        <w:t>S</w:t>
      </w:r>
      <w:r w:rsidR="00581C37" w:rsidRPr="001D47B8">
        <w:rPr>
          <w:color w:val="010101"/>
          <w:sz w:val="21"/>
          <w:lang w:val="tr-TR"/>
        </w:rPr>
        <w:t>on olarak, Anayasanın</w:t>
      </w:r>
      <w:r w:rsidR="008A169B" w:rsidRPr="001D47B8">
        <w:rPr>
          <w:color w:val="010101"/>
          <w:sz w:val="21"/>
          <w:lang w:val="tr-TR"/>
        </w:rPr>
        <w:t xml:space="preserve"> 148. maddesi</w:t>
      </w:r>
      <w:r w:rsidR="0077252B" w:rsidRPr="001D47B8">
        <w:rPr>
          <w:color w:val="010101"/>
          <w:sz w:val="21"/>
          <w:lang w:val="tr-TR"/>
        </w:rPr>
        <w:t>n</w:t>
      </w:r>
      <w:r w:rsidR="00E9443E" w:rsidRPr="001D47B8">
        <w:rPr>
          <w:color w:val="010101"/>
          <w:sz w:val="21"/>
          <w:lang w:val="tr-TR"/>
        </w:rPr>
        <w:t>e göre</w:t>
      </w:r>
      <w:r w:rsidR="00CD6B7B" w:rsidRPr="001D47B8">
        <w:rPr>
          <w:color w:val="010101"/>
          <w:sz w:val="21"/>
          <w:lang w:val="tr-TR"/>
        </w:rPr>
        <w:t xml:space="preserve"> “herkes, Anayasada güvence altına alınmış temel hak ve özgürlüklerinden, Avrupa İnsan Hakları Sözleşmesi kapsamındaki herhangi birinin kamu gücü tarafından ihlal edildiği iddiasıyla” </w:t>
      </w:r>
      <w:r w:rsidR="0077252B" w:rsidRPr="001D47B8">
        <w:rPr>
          <w:color w:val="010101"/>
          <w:sz w:val="21"/>
          <w:lang w:val="tr-TR"/>
        </w:rPr>
        <w:t>Anayasa Mahkemesine bireysel başvuru</w:t>
      </w:r>
      <w:r w:rsidR="00EC3D34">
        <w:rPr>
          <w:color w:val="010101"/>
          <w:sz w:val="21"/>
          <w:lang w:val="tr-TR"/>
        </w:rPr>
        <w:t>da bulunabilir</w:t>
      </w:r>
      <w:r w:rsidR="008A65FC" w:rsidRPr="001D47B8">
        <w:rPr>
          <w:color w:val="010101"/>
          <w:sz w:val="21"/>
          <w:lang w:val="tr-TR"/>
        </w:rPr>
        <w:t>.</w:t>
      </w:r>
    </w:p>
    <w:p w14:paraId="1E8764DF" w14:textId="77777777" w:rsidR="0005377F" w:rsidRPr="001D47B8" w:rsidRDefault="0005377F" w:rsidP="008A65FC">
      <w:pPr>
        <w:pStyle w:val="ListeParagraf"/>
        <w:tabs>
          <w:tab w:val="left" w:pos="730"/>
        </w:tabs>
        <w:spacing w:line="252" w:lineRule="auto"/>
        <w:ind w:left="127" w:right="327" w:firstLine="0"/>
        <w:rPr>
          <w:color w:val="010101"/>
          <w:sz w:val="21"/>
          <w:lang w:val="tr-TR"/>
        </w:rPr>
      </w:pPr>
    </w:p>
    <w:p w14:paraId="2D1BD95C" w14:textId="2ABF2134" w:rsidR="00F413CC" w:rsidRPr="001D47B8" w:rsidRDefault="00F413CC" w:rsidP="001C4B9F">
      <w:pPr>
        <w:pStyle w:val="ListeParagraf"/>
        <w:numPr>
          <w:ilvl w:val="0"/>
          <w:numId w:val="7"/>
        </w:numPr>
        <w:tabs>
          <w:tab w:val="left" w:pos="671"/>
        </w:tabs>
        <w:spacing w:line="252" w:lineRule="auto"/>
        <w:ind w:left="125" w:right="327" w:hanging="1"/>
        <w:rPr>
          <w:color w:val="010101"/>
          <w:sz w:val="21"/>
          <w:lang w:val="tr-TR"/>
        </w:rPr>
      </w:pPr>
      <w:r w:rsidRPr="001D47B8">
        <w:rPr>
          <w:color w:val="010101"/>
          <w:sz w:val="21"/>
          <w:lang w:val="tr-TR"/>
        </w:rPr>
        <w:t>Türkiye’nin anayasal çerçevesi</w:t>
      </w:r>
      <w:r w:rsidR="00EC3D34">
        <w:rPr>
          <w:color w:val="010101"/>
          <w:sz w:val="21"/>
          <w:lang w:val="tr-TR"/>
        </w:rPr>
        <w:t>,</w:t>
      </w:r>
      <w:r w:rsidRPr="001D47B8">
        <w:rPr>
          <w:color w:val="010101"/>
          <w:sz w:val="21"/>
          <w:lang w:val="tr-TR"/>
        </w:rPr>
        <w:t xml:space="preserve"> örgütlenme özgürlüğünü koruyan uluslararası standartları d</w:t>
      </w:r>
      <w:r w:rsidR="0008372F" w:rsidRPr="001D47B8">
        <w:rPr>
          <w:color w:val="010101"/>
          <w:sz w:val="21"/>
          <w:lang w:val="tr-TR"/>
        </w:rPr>
        <w:t xml:space="preserve">a birleştirmektedir. T.C. Anayasa Mahkemesi </w:t>
      </w:r>
      <w:r w:rsidR="00E56445" w:rsidRPr="001D47B8">
        <w:rPr>
          <w:color w:val="010101"/>
          <w:sz w:val="21"/>
          <w:lang w:val="tr-TR"/>
        </w:rPr>
        <w:t xml:space="preserve">temel haklarda yapılan kısıtlamalara ilişkin ölçülülük ilkesini vurgulamıştır: </w:t>
      </w:r>
    </w:p>
    <w:p w14:paraId="4739A8D5" w14:textId="77777777" w:rsidR="00F413CC" w:rsidRPr="001D47B8" w:rsidRDefault="00F413CC" w:rsidP="00F413CC">
      <w:pPr>
        <w:pStyle w:val="ListeParagraf"/>
        <w:tabs>
          <w:tab w:val="left" w:pos="671"/>
        </w:tabs>
        <w:spacing w:line="252" w:lineRule="auto"/>
        <w:ind w:left="125" w:right="327" w:firstLine="0"/>
        <w:rPr>
          <w:color w:val="010101"/>
          <w:sz w:val="21"/>
          <w:lang w:val="tr-TR"/>
        </w:rPr>
      </w:pPr>
    </w:p>
    <w:p w14:paraId="6D73B35B" w14:textId="44657076" w:rsidR="00A47E8E" w:rsidRPr="001D47B8" w:rsidRDefault="00C77180" w:rsidP="001C4B9F">
      <w:pPr>
        <w:pStyle w:val="ListeParagraf"/>
        <w:numPr>
          <w:ilvl w:val="1"/>
          <w:numId w:val="7"/>
        </w:numPr>
        <w:tabs>
          <w:tab w:val="left" w:pos="842"/>
        </w:tabs>
        <w:spacing w:line="252" w:lineRule="auto"/>
        <w:ind w:left="834" w:right="326" w:hanging="109"/>
        <w:rPr>
          <w:i/>
          <w:sz w:val="21"/>
          <w:lang w:val="tr-TR"/>
        </w:rPr>
      </w:pPr>
      <w:r w:rsidRPr="001D47B8">
        <w:rPr>
          <w:i/>
          <w:color w:val="010101"/>
          <w:w w:val="105"/>
          <w:sz w:val="21"/>
          <w:lang w:val="tr-TR"/>
        </w:rPr>
        <w:t xml:space="preserve">"(...) </w:t>
      </w:r>
      <w:r w:rsidR="007C6A9E" w:rsidRPr="001D47B8">
        <w:rPr>
          <w:i/>
          <w:color w:val="010101"/>
          <w:w w:val="105"/>
          <w:sz w:val="21"/>
          <w:lang w:val="tr-TR"/>
        </w:rPr>
        <w:t xml:space="preserve">ölçülülük ilkesi gereğince, getirilen düzenleme ile ulaşılmak istenen amaç arasında makul bir dengenin bulunması gerekmektedir. </w:t>
      </w:r>
      <w:r w:rsidR="000479FC" w:rsidRPr="000479FC">
        <w:rPr>
          <w:i/>
          <w:color w:val="010101"/>
          <w:w w:val="105"/>
          <w:sz w:val="21"/>
          <w:lang w:val="tr-TR"/>
        </w:rPr>
        <w:t>[</w:t>
      </w:r>
      <w:r w:rsidR="00A47E8E" w:rsidRPr="0094121E">
        <w:rPr>
          <w:i/>
          <w:color w:val="010101"/>
          <w:w w:val="105"/>
          <w:sz w:val="21"/>
          <w:lang w:val="tr-TR"/>
        </w:rPr>
        <w:t>Orantılılık olarak da ifade edilen ölçülülüğün bu alt ilkesi</w:t>
      </w:r>
      <w:r w:rsidR="0040001F" w:rsidRPr="0094121E">
        <w:rPr>
          <w:i/>
          <w:color w:val="010101"/>
          <w:w w:val="105"/>
          <w:sz w:val="21"/>
          <w:lang w:val="tr-TR"/>
        </w:rPr>
        <w:t>]</w:t>
      </w:r>
      <w:r w:rsidR="00A47E8E" w:rsidRPr="0094121E">
        <w:rPr>
          <w:i/>
          <w:color w:val="010101"/>
          <w:w w:val="105"/>
          <w:sz w:val="21"/>
          <w:lang w:val="tr-TR"/>
        </w:rPr>
        <w:t xml:space="preserve">, </w:t>
      </w:r>
      <w:r w:rsidR="00F3260F" w:rsidRPr="0094121E">
        <w:rPr>
          <w:i/>
          <w:color w:val="010101"/>
          <w:w w:val="105"/>
          <w:sz w:val="21"/>
          <w:lang w:val="tr-TR"/>
        </w:rPr>
        <w:t>amaca ulaşmak için gerekli</w:t>
      </w:r>
      <w:r w:rsidR="00F3260F" w:rsidRPr="001D47B8">
        <w:rPr>
          <w:i/>
          <w:color w:val="010101"/>
          <w:w w:val="105"/>
          <w:sz w:val="21"/>
          <w:lang w:val="tr-TR"/>
        </w:rPr>
        <w:t xml:space="preserve"> olan önlemin alınmasına </w:t>
      </w:r>
      <w:r w:rsidR="00295119" w:rsidRPr="001D47B8">
        <w:rPr>
          <w:i/>
          <w:color w:val="010101"/>
          <w:w w:val="105"/>
          <w:sz w:val="21"/>
          <w:lang w:val="tr-TR"/>
        </w:rPr>
        <w:t>imkân</w:t>
      </w:r>
      <w:r w:rsidR="00F3260F" w:rsidRPr="001D47B8">
        <w:rPr>
          <w:i/>
          <w:color w:val="010101"/>
          <w:w w:val="105"/>
          <w:sz w:val="21"/>
          <w:lang w:val="tr-TR"/>
        </w:rPr>
        <w:t xml:space="preserve"> tanımakta, ancak amaca ulaşmak için gerekli olmayan önlemlere başvurulmasına ve ilgili hakkın ölçüsüz bir şekilde sınırlanmasına müsaade etmemektedir. </w:t>
      </w:r>
      <w:r w:rsidR="00295119" w:rsidRPr="001D47B8">
        <w:rPr>
          <w:i/>
          <w:color w:val="010101"/>
          <w:w w:val="105"/>
          <w:sz w:val="21"/>
          <w:lang w:val="tr-TR"/>
        </w:rPr>
        <w:t xml:space="preserve">Demokratik bir toplumda, temel hak ve özgürlüklere getirilen sınırlamanın, bu sınırlamayla güdülen amacın gerektirdiğinden fazla olmaması gerekir. </w:t>
      </w:r>
      <w:r w:rsidR="004A6CDB" w:rsidRPr="001D47B8">
        <w:rPr>
          <w:i/>
          <w:color w:val="010101"/>
          <w:w w:val="105"/>
          <w:sz w:val="21"/>
          <w:lang w:val="tr-TR"/>
        </w:rPr>
        <w:t>Orantılılık ilkesi, meşru bir amaca ulaşmak için gerekli olan sınırlayıcı araçlardan daha hafif olanı tercih edebilecekken daha ağır olanına başvurulmasına izin vermez.”</w:t>
      </w:r>
      <w:r w:rsidR="00810235" w:rsidRPr="001D47B8">
        <w:rPr>
          <w:rStyle w:val="DipnotBavurusu"/>
          <w:i/>
          <w:color w:val="010101"/>
          <w:w w:val="105"/>
          <w:sz w:val="21"/>
          <w:lang w:val="tr-TR"/>
        </w:rPr>
        <w:footnoteReference w:id="47"/>
      </w:r>
    </w:p>
    <w:p w14:paraId="06919BB8" w14:textId="77777777" w:rsidR="00A47E8E" w:rsidRPr="001D47B8" w:rsidRDefault="00A47E8E" w:rsidP="00A47E8E">
      <w:pPr>
        <w:pStyle w:val="ListeParagraf"/>
        <w:tabs>
          <w:tab w:val="left" w:pos="842"/>
        </w:tabs>
        <w:spacing w:line="252" w:lineRule="auto"/>
        <w:ind w:left="834" w:right="326" w:firstLine="0"/>
        <w:rPr>
          <w:i/>
          <w:color w:val="1C1C1C"/>
          <w:spacing w:val="1"/>
          <w:w w:val="105"/>
          <w:sz w:val="21"/>
          <w:lang w:val="tr-TR"/>
        </w:rPr>
      </w:pPr>
    </w:p>
    <w:p w14:paraId="212D7D2D" w14:textId="77777777" w:rsidR="009C3E10" w:rsidRPr="001D47B8" w:rsidRDefault="009C3E10" w:rsidP="001C4B9F">
      <w:pPr>
        <w:pStyle w:val="GvdeMetni"/>
        <w:spacing w:before="2"/>
        <w:jc w:val="both"/>
        <w:rPr>
          <w:i/>
          <w:sz w:val="22"/>
          <w:lang w:val="tr-TR"/>
        </w:rPr>
      </w:pPr>
    </w:p>
    <w:p w14:paraId="1CC14585" w14:textId="4A142378" w:rsidR="00364AF7" w:rsidRPr="001D47B8" w:rsidRDefault="00364AF7" w:rsidP="001C4B9F">
      <w:pPr>
        <w:pStyle w:val="ListeParagraf"/>
        <w:numPr>
          <w:ilvl w:val="0"/>
          <w:numId w:val="7"/>
        </w:numPr>
        <w:tabs>
          <w:tab w:val="left" w:pos="671"/>
        </w:tabs>
        <w:spacing w:line="252" w:lineRule="auto"/>
        <w:ind w:left="127" w:right="335" w:hanging="4"/>
        <w:rPr>
          <w:color w:val="010101"/>
          <w:sz w:val="21"/>
          <w:lang w:val="tr-TR"/>
        </w:rPr>
      </w:pPr>
      <w:r w:rsidRPr="001D47B8">
        <w:rPr>
          <w:color w:val="010101"/>
          <w:sz w:val="21"/>
          <w:lang w:val="tr-TR"/>
        </w:rPr>
        <w:t>Venedik Komisyonu</w:t>
      </w:r>
      <w:r w:rsidR="008F7154" w:rsidRPr="001D47B8">
        <w:rPr>
          <w:color w:val="010101"/>
          <w:sz w:val="21"/>
          <w:lang w:val="tr-TR"/>
        </w:rPr>
        <w:t xml:space="preserve">, </w:t>
      </w:r>
      <w:r w:rsidR="00741005" w:rsidRPr="001D47B8">
        <w:rPr>
          <w:color w:val="010101"/>
          <w:sz w:val="21"/>
          <w:lang w:val="tr-TR"/>
        </w:rPr>
        <w:t xml:space="preserve">Türkiye’nin </w:t>
      </w:r>
      <w:r w:rsidR="008F7154" w:rsidRPr="001D47B8">
        <w:rPr>
          <w:color w:val="010101"/>
          <w:sz w:val="21"/>
          <w:lang w:val="tr-TR"/>
        </w:rPr>
        <w:t xml:space="preserve">Mart 2021’de kabul </w:t>
      </w:r>
      <w:r w:rsidR="00741005" w:rsidRPr="001D47B8">
        <w:rPr>
          <w:color w:val="010101"/>
          <w:sz w:val="21"/>
          <w:lang w:val="tr-TR"/>
        </w:rPr>
        <w:t>ettiği</w:t>
      </w:r>
      <w:r w:rsidR="008F7154" w:rsidRPr="001D47B8">
        <w:rPr>
          <w:color w:val="010101"/>
          <w:sz w:val="21"/>
          <w:lang w:val="tr-TR"/>
        </w:rPr>
        <w:t xml:space="preserve"> İnsan Hakları Eylem Planının, </w:t>
      </w:r>
      <w:r w:rsidR="00F43D22" w:rsidRPr="001D47B8">
        <w:rPr>
          <w:color w:val="010101"/>
          <w:sz w:val="21"/>
          <w:lang w:val="tr-TR"/>
        </w:rPr>
        <w:t xml:space="preserve">diğer </w:t>
      </w:r>
      <w:r w:rsidR="00741005" w:rsidRPr="001D47B8">
        <w:rPr>
          <w:color w:val="010101"/>
          <w:sz w:val="21"/>
          <w:lang w:val="tr-TR"/>
        </w:rPr>
        <w:t>ilkelerin</w:t>
      </w:r>
      <w:r w:rsidR="00F43D22" w:rsidRPr="001D47B8">
        <w:rPr>
          <w:color w:val="010101"/>
          <w:sz w:val="21"/>
          <w:lang w:val="tr-TR"/>
        </w:rPr>
        <w:t xml:space="preserve"> yanı sıra, yasallık/hukuki belirlilik ilkesine</w:t>
      </w:r>
      <w:r w:rsidR="00F43D22" w:rsidRPr="001D47B8">
        <w:rPr>
          <w:rStyle w:val="DipnotBavurusu"/>
          <w:color w:val="010101"/>
          <w:sz w:val="21"/>
          <w:lang w:val="tr-TR"/>
        </w:rPr>
        <w:footnoteReference w:id="48"/>
      </w:r>
      <w:r w:rsidR="00F43D22" w:rsidRPr="001D47B8">
        <w:rPr>
          <w:color w:val="010101"/>
          <w:sz w:val="21"/>
          <w:lang w:val="tr-TR"/>
        </w:rPr>
        <w:t xml:space="preserve"> dayandığını ve örgütlenme özgürlüğünü koruma</w:t>
      </w:r>
      <w:r w:rsidR="00CF6C13">
        <w:rPr>
          <w:color w:val="010101"/>
          <w:sz w:val="21"/>
          <w:lang w:val="tr-TR"/>
        </w:rPr>
        <w:t>yı</w:t>
      </w:r>
      <w:r w:rsidR="00F43D22" w:rsidRPr="001D47B8">
        <w:rPr>
          <w:color w:val="010101"/>
          <w:sz w:val="21"/>
          <w:lang w:val="tr-TR"/>
        </w:rPr>
        <w:t xml:space="preserve"> ve geliştirmeyi amaçladığını kaydetmektedir. </w:t>
      </w:r>
      <w:r w:rsidR="00FF580C" w:rsidRPr="001D47B8">
        <w:rPr>
          <w:color w:val="010101"/>
          <w:sz w:val="21"/>
          <w:lang w:val="tr-TR"/>
        </w:rPr>
        <w:t>Bununla birlikte, belgede güvence altına alınan çeşitli hakların hayata geçirilmesinde Eylem Planının pratik ve etkili bir araç</w:t>
      </w:r>
      <w:r w:rsidR="006817AE" w:rsidRPr="001D47B8">
        <w:rPr>
          <w:color w:val="010101"/>
          <w:sz w:val="21"/>
          <w:lang w:val="tr-TR"/>
        </w:rPr>
        <w:t xml:space="preserve"> </w:t>
      </w:r>
      <w:r w:rsidR="00E87A0E" w:rsidRPr="001D47B8">
        <w:rPr>
          <w:color w:val="010101"/>
          <w:sz w:val="21"/>
          <w:lang w:val="tr-TR"/>
        </w:rPr>
        <w:t>olup olmayacağ</w:t>
      </w:r>
      <w:r w:rsidR="006817AE" w:rsidRPr="001D47B8">
        <w:rPr>
          <w:color w:val="010101"/>
          <w:sz w:val="21"/>
          <w:lang w:val="tr-TR"/>
        </w:rPr>
        <w:t>ını zaman gösterecektir.</w:t>
      </w:r>
      <w:r w:rsidR="006817AE" w:rsidRPr="001D47B8">
        <w:rPr>
          <w:rStyle w:val="DipnotBavurusu"/>
          <w:color w:val="010101"/>
          <w:sz w:val="21"/>
          <w:lang w:val="tr-TR"/>
        </w:rPr>
        <w:footnoteReference w:id="49"/>
      </w:r>
      <w:r w:rsidR="00E87A0E" w:rsidRPr="001D47B8">
        <w:rPr>
          <w:color w:val="010101"/>
          <w:sz w:val="21"/>
          <w:lang w:val="tr-TR"/>
        </w:rPr>
        <w:t xml:space="preserve"> </w:t>
      </w:r>
    </w:p>
    <w:p w14:paraId="10FCF4FC" w14:textId="77777777" w:rsidR="00364AF7" w:rsidRPr="001D47B8" w:rsidRDefault="00364AF7" w:rsidP="00364AF7">
      <w:pPr>
        <w:pStyle w:val="ListeParagraf"/>
        <w:tabs>
          <w:tab w:val="left" w:pos="671"/>
        </w:tabs>
        <w:spacing w:line="252" w:lineRule="auto"/>
        <w:ind w:left="127" w:right="335" w:firstLine="0"/>
        <w:rPr>
          <w:color w:val="010101"/>
          <w:sz w:val="21"/>
          <w:lang w:val="tr-TR"/>
        </w:rPr>
      </w:pPr>
    </w:p>
    <w:p w14:paraId="51A0F0F4" w14:textId="6825B805" w:rsidR="001B3C12" w:rsidRPr="001D47B8" w:rsidRDefault="00F35316" w:rsidP="001C4B9F">
      <w:pPr>
        <w:pStyle w:val="Balk2"/>
        <w:numPr>
          <w:ilvl w:val="0"/>
          <w:numId w:val="8"/>
        </w:numPr>
        <w:tabs>
          <w:tab w:val="left" w:pos="491"/>
        </w:tabs>
        <w:spacing w:line="252" w:lineRule="auto"/>
        <w:ind w:right="1161"/>
        <w:jc w:val="both"/>
        <w:rPr>
          <w:color w:val="010101"/>
          <w:lang w:val="tr-TR"/>
        </w:rPr>
      </w:pPr>
      <w:r w:rsidRPr="001D47B8">
        <w:rPr>
          <w:color w:val="010101"/>
          <w:lang w:val="tr-TR"/>
        </w:rPr>
        <w:t xml:space="preserve">Uluslararası standartlar ve T.C. Anayasası hükümleri ışığında 7262 sayılı Kanun </w:t>
      </w:r>
    </w:p>
    <w:p w14:paraId="2648B2AF" w14:textId="77777777" w:rsidR="001B3C12" w:rsidRPr="001D47B8" w:rsidRDefault="001B3C12" w:rsidP="001C4B9F">
      <w:pPr>
        <w:pStyle w:val="GvdeMetni"/>
        <w:spacing w:before="4"/>
        <w:jc w:val="both"/>
        <w:rPr>
          <w:b/>
          <w:sz w:val="22"/>
          <w:lang w:val="tr-TR"/>
        </w:rPr>
      </w:pPr>
    </w:p>
    <w:p w14:paraId="6CDD6DF9" w14:textId="043A1621" w:rsidR="007C029D" w:rsidRPr="001D47B8" w:rsidRDefault="007C029D" w:rsidP="001C4B9F">
      <w:pPr>
        <w:pStyle w:val="ListeParagraf"/>
        <w:numPr>
          <w:ilvl w:val="0"/>
          <w:numId w:val="6"/>
        </w:numPr>
        <w:tabs>
          <w:tab w:val="left" w:pos="839"/>
        </w:tabs>
        <w:spacing w:line="252" w:lineRule="auto"/>
        <w:ind w:right="327" w:firstLine="1"/>
        <w:rPr>
          <w:color w:val="010101"/>
          <w:sz w:val="21"/>
          <w:lang w:val="tr-TR"/>
        </w:rPr>
      </w:pPr>
      <w:r w:rsidRPr="001D47B8">
        <w:rPr>
          <w:color w:val="010101"/>
          <w:sz w:val="21"/>
          <w:lang w:val="tr-TR"/>
        </w:rPr>
        <w:t>Yukarıda bahsedildiği gibi, 7262 sayılı Kanun iki bölümde</w:t>
      </w:r>
      <w:r w:rsidR="00E50BEA" w:rsidRPr="001D47B8">
        <w:rPr>
          <w:color w:val="010101"/>
          <w:sz w:val="21"/>
          <w:lang w:val="tr-TR"/>
        </w:rPr>
        <w:t xml:space="preserve"> gruplanan toplam 44 maddeden oluşmaktadır. “Genel Hükümler” başlıklı Birinci Bölümde </w:t>
      </w:r>
      <w:r w:rsidR="00D501D3" w:rsidRPr="001D47B8">
        <w:rPr>
          <w:color w:val="010101"/>
          <w:sz w:val="21"/>
          <w:lang w:val="tr-TR"/>
        </w:rPr>
        <w:t>kitle imha silahlarının yayılmasının finansmanına ilişkin BM Güvenlik Konseyinin Kararları</w:t>
      </w:r>
      <w:r w:rsidR="007F7D84" w:rsidRPr="001D47B8">
        <w:rPr>
          <w:color w:val="010101"/>
          <w:sz w:val="21"/>
          <w:lang w:val="tr-TR"/>
        </w:rPr>
        <w:t>nın uygulanması ile ilgili esaslar ve usuller</w:t>
      </w:r>
      <w:r w:rsidR="00452FB0" w:rsidRPr="001D47B8">
        <w:rPr>
          <w:color w:val="010101"/>
          <w:sz w:val="21"/>
          <w:lang w:val="tr-TR"/>
        </w:rPr>
        <w:t xml:space="preserve"> ve diğer hususları içeren 6 madde bulunmaktadır</w:t>
      </w:r>
      <w:r w:rsidR="00F443AB" w:rsidRPr="001D47B8">
        <w:rPr>
          <w:color w:val="010101"/>
          <w:sz w:val="21"/>
          <w:lang w:val="tr-TR"/>
        </w:rPr>
        <w:t xml:space="preserve">. </w:t>
      </w:r>
      <w:r w:rsidR="00BB0B5F" w:rsidRPr="001D47B8">
        <w:rPr>
          <w:color w:val="010101"/>
          <w:sz w:val="21"/>
          <w:lang w:val="tr-TR"/>
        </w:rPr>
        <w:t xml:space="preserve">“Değiştirilen ve Yürürlükten Kaldırılan Hükümler” başlıklı </w:t>
      </w:r>
      <w:r w:rsidR="00452FB0" w:rsidRPr="001D47B8">
        <w:rPr>
          <w:color w:val="010101"/>
          <w:sz w:val="21"/>
          <w:lang w:val="tr-TR"/>
        </w:rPr>
        <w:t xml:space="preserve">İkinci Bölümde ise </w:t>
      </w:r>
      <w:r w:rsidR="00F443AB" w:rsidRPr="001D47B8">
        <w:rPr>
          <w:color w:val="010101"/>
          <w:sz w:val="21"/>
          <w:lang w:val="tr-TR"/>
        </w:rPr>
        <w:t xml:space="preserve">sivil toplum </w:t>
      </w:r>
      <w:r w:rsidR="00C055AF" w:rsidRPr="001D47B8">
        <w:rPr>
          <w:color w:val="010101"/>
          <w:sz w:val="21"/>
          <w:lang w:val="tr-TR"/>
        </w:rPr>
        <w:t>örgütlerinin</w:t>
      </w:r>
      <w:r w:rsidR="00F443AB" w:rsidRPr="001D47B8">
        <w:rPr>
          <w:color w:val="010101"/>
          <w:sz w:val="21"/>
          <w:lang w:val="tr-TR"/>
        </w:rPr>
        <w:t xml:space="preserve"> faaliyetlerini düzenleyen kanunlar da </w:t>
      </w:r>
      <w:r w:rsidR="00EA3986" w:rsidRPr="001D47B8">
        <w:rPr>
          <w:color w:val="010101"/>
          <w:sz w:val="21"/>
          <w:lang w:val="tr-TR"/>
        </w:rPr>
        <w:t>dâhil</w:t>
      </w:r>
      <w:r w:rsidR="00F443AB" w:rsidRPr="001D47B8">
        <w:rPr>
          <w:color w:val="010101"/>
          <w:sz w:val="21"/>
          <w:lang w:val="tr-TR"/>
        </w:rPr>
        <w:t xml:space="preserve"> mevcut 6 kanun</w:t>
      </w:r>
      <w:r w:rsidR="00C055AF" w:rsidRPr="001D47B8">
        <w:rPr>
          <w:color w:val="010101"/>
          <w:sz w:val="21"/>
          <w:lang w:val="tr-TR"/>
        </w:rPr>
        <w:t>da değişiklik yapılmaktadır. Birinci Bölüm</w:t>
      </w:r>
      <w:r w:rsidR="006562D1" w:rsidRPr="001D47B8">
        <w:rPr>
          <w:color w:val="010101"/>
          <w:sz w:val="21"/>
          <w:lang w:val="tr-TR"/>
        </w:rPr>
        <w:t>ün amacının</w:t>
      </w:r>
      <w:r w:rsidR="00C055AF" w:rsidRPr="001D47B8">
        <w:rPr>
          <w:color w:val="010101"/>
          <w:sz w:val="21"/>
          <w:lang w:val="tr-TR"/>
        </w:rPr>
        <w:t xml:space="preserve"> </w:t>
      </w:r>
      <w:r w:rsidR="00EB1EF3" w:rsidRPr="001D47B8">
        <w:rPr>
          <w:color w:val="010101"/>
          <w:sz w:val="21"/>
          <w:lang w:val="tr-TR"/>
        </w:rPr>
        <w:t>kitle imha silahlarının yayılmasının finansmanına ilişkin BM Güvenlik Konseyi Kararlarının uygulanması</w:t>
      </w:r>
      <w:r w:rsidR="006562D1" w:rsidRPr="001D47B8">
        <w:rPr>
          <w:color w:val="010101"/>
          <w:sz w:val="21"/>
          <w:lang w:val="tr-TR"/>
        </w:rPr>
        <w:t xml:space="preserve"> olduğu açıkça belli olmasına rağmen</w:t>
      </w:r>
      <w:r w:rsidR="00660305" w:rsidRPr="001D47B8">
        <w:rPr>
          <w:color w:val="010101"/>
          <w:sz w:val="21"/>
          <w:lang w:val="tr-TR"/>
        </w:rPr>
        <w:t xml:space="preserve"> (bakınız 1-3. Maddeler, </w:t>
      </w:r>
      <w:r w:rsidR="005310BB" w:rsidRPr="001D47B8">
        <w:rPr>
          <w:color w:val="010101"/>
          <w:sz w:val="21"/>
          <w:lang w:val="tr-TR"/>
        </w:rPr>
        <w:t xml:space="preserve">4-6. Maddelerde de </w:t>
      </w:r>
      <w:r w:rsidR="00ED5CC1">
        <w:rPr>
          <w:color w:val="010101"/>
          <w:sz w:val="21"/>
          <w:lang w:val="tr-TR"/>
        </w:rPr>
        <w:t xml:space="preserve">BMGK kararlarına </w:t>
      </w:r>
      <w:r w:rsidR="005310BB" w:rsidRPr="001D47B8">
        <w:rPr>
          <w:color w:val="010101"/>
          <w:sz w:val="21"/>
          <w:lang w:val="tr-TR"/>
        </w:rPr>
        <w:t>atıfta bulunulmaktadır)</w:t>
      </w:r>
      <w:r w:rsidR="006562D1" w:rsidRPr="001D47B8">
        <w:rPr>
          <w:color w:val="010101"/>
          <w:sz w:val="21"/>
          <w:lang w:val="tr-TR"/>
        </w:rPr>
        <w:t xml:space="preserve">, </w:t>
      </w:r>
      <w:r w:rsidR="00100C98" w:rsidRPr="001D47B8">
        <w:rPr>
          <w:color w:val="010101"/>
          <w:sz w:val="21"/>
          <w:lang w:val="tr-TR"/>
        </w:rPr>
        <w:t>İ</w:t>
      </w:r>
      <w:r w:rsidR="005310BB" w:rsidRPr="001D47B8">
        <w:rPr>
          <w:color w:val="010101"/>
          <w:sz w:val="21"/>
          <w:lang w:val="tr-TR"/>
        </w:rPr>
        <w:t xml:space="preserve">kinci Bölümün </w:t>
      </w:r>
      <w:r w:rsidR="00100C98" w:rsidRPr="001D47B8">
        <w:rPr>
          <w:color w:val="010101"/>
          <w:sz w:val="21"/>
          <w:lang w:val="tr-TR"/>
        </w:rPr>
        <w:t xml:space="preserve">(7-44. maddeler) Kanunun genel amacı olan kitle imha silahlarının yayılmasının finansmanına ilişkin BM Güvenlik Konseyi Kararlarının uygulanması ile ilgisi olmadığı görülmektedir. </w:t>
      </w:r>
    </w:p>
    <w:p w14:paraId="3698D87F" w14:textId="436AAD06" w:rsidR="007C029D" w:rsidRPr="001D47B8" w:rsidRDefault="007C029D" w:rsidP="007C029D">
      <w:pPr>
        <w:pStyle w:val="ListeParagraf"/>
        <w:tabs>
          <w:tab w:val="left" w:pos="839"/>
        </w:tabs>
        <w:spacing w:line="252" w:lineRule="auto"/>
        <w:ind w:left="124" w:right="327" w:firstLine="0"/>
        <w:rPr>
          <w:color w:val="010101"/>
          <w:sz w:val="21"/>
          <w:lang w:val="tr-TR"/>
        </w:rPr>
      </w:pPr>
    </w:p>
    <w:p w14:paraId="0DE59000" w14:textId="77777777" w:rsidR="00503792" w:rsidRPr="001D47B8" w:rsidRDefault="00503792" w:rsidP="007C029D">
      <w:pPr>
        <w:pStyle w:val="ListeParagraf"/>
        <w:tabs>
          <w:tab w:val="left" w:pos="839"/>
        </w:tabs>
        <w:spacing w:line="252" w:lineRule="auto"/>
        <w:ind w:left="124" w:right="327" w:firstLine="0"/>
        <w:rPr>
          <w:color w:val="010101"/>
          <w:sz w:val="21"/>
          <w:lang w:val="tr-TR"/>
        </w:rPr>
      </w:pPr>
    </w:p>
    <w:p w14:paraId="0EF28980" w14:textId="595AA81F" w:rsidR="001B3C12" w:rsidRPr="001D47B8" w:rsidRDefault="002E44B8" w:rsidP="001C4B9F">
      <w:pPr>
        <w:pStyle w:val="Balk2"/>
        <w:numPr>
          <w:ilvl w:val="1"/>
          <w:numId w:val="6"/>
        </w:numPr>
        <w:tabs>
          <w:tab w:val="left" w:pos="944"/>
        </w:tabs>
        <w:ind w:hanging="248"/>
        <w:jc w:val="both"/>
        <w:rPr>
          <w:lang w:val="tr-TR"/>
        </w:rPr>
      </w:pPr>
      <w:r w:rsidRPr="001D47B8">
        <w:rPr>
          <w:color w:val="010101"/>
          <w:w w:val="105"/>
          <w:lang w:val="tr-TR"/>
        </w:rPr>
        <w:t xml:space="preserve">Yardım </w:t>
      </w:r>
      <w:r w:rsidR="00020CC1" w:rsidRPr="001D47B8">
        <w:rPr>
          <w:color w:val="010101"/>
          <w:w w:val="105"/>
          <w:lang w:val="tr-TR"/>
        </w:rPr>
        <w:t xml:space="preserve">toplama faaliyetlerine yönelik kısıtlamalar </w:t>
      </w:r>
    </w:p>
    <w:p w14:paraId="0991A64E" w14:textId="77777777" w:rsidR="001B3C12" w:rsidRPr="001D47B8" w:rsidRDefault="001B3C12" w:rsidP="001C4B9F">
      <w:pPr>
        <w:pStyle w:val="GvdeMetni"/>
        <w:jc w:val="both"/>
        <w:rPr>
          <w:b/>
          <w:sz w:val="25"/>
          <w:lang w:val="tr-TR"/>
        </w:rPr>
      </w:pPr>
    </w:p>
    <w:p w14:paraId="3389C92E" w14:textId="253549DF" w:rsidR="006B2819" w:rsidRPr="001D47B8" w:rsidRDefault="006B2819" w:rsidP="001C4B9F">
      <w:pPr>
        <w:pStyle w:val="ListeParagraf"/>
        <w:numPr>
          <w:ilvl w:val="0"/>
          <w:numId w:val="6"/>
        </w:numPr>
        <w:tabs>
          <w:tab w:val="left" w:pos="671"/>
        </w:tabs>
        <w:spacing w:line="252" w:lineRule="auto"/>
        <w:ind w:left="127" w:right="325" w:hanging="3"/>
        <w:rPr>
          <w:color w:val="010101"/>
          <w:sz w:val="21"/>
          <w:lang w:val="tr-TR"/>
        </w:rPr>
      </w:pPr>
      <w:r w:rsidRPr="001D47B8">
        <w:rPr>
          <w:color w:val="010101"/>
          <w:sz w:val="21"/>
          <w:lang w:val="tr-TR"/>
        </w:rPr>
        <w:t>Yardım Toplama Kanununun</w:t>
      </w:r>
      <w:r w:rsidR="003834DA" w:rsidRPr="001D47B8">
        <w:rPr>
          <w:color w:val="010101"/>
          <w:sz w:val="21"/>
          <w:lang w:val="tr-TR"/>
        </w:rPr>
        <w:t xml:space="preserve"> dernekler ile ilgili</w:t>
      </w:r>
      <w:r w:rsidRPr="001D47B8">
        <w:rPr>
          <w:color w:val="010101"/>
          <w:sz w:val="21"/>
          <w:lang w:val="tr-TR"/>
        </w:rPr>
        <w:t xml:space="preserve"> </w:t>
      </w:r>
      <w:r w:rsidR="000B35DD" w:rsidRPr="001D47B8">
        <w:rPr>
          <w:color w:val="010101"/>
          <w:sz w:val="21"/>
          <w:lang w:val="tr-TR"/>
        </w:rPr>
        <w:t>6, 9, 16 ve</w:t>
      </w:r>
      <w:r w:rsidR="000B35DD" w:rsidRPr="001D47B8">
        <w:rPr>
          <w:color w:val="010101"/>
          <w:spacing w:val="1"/>
          <w:sz w:val="21"/>
          <w:lang w:val="tr-TR"/>
        </w:rPr>
        <w:t xml:space="preserve"> </w:t>
      </w:r>
      <w:r w:rsidR="000B35DD" w:rsidRPr="001D47B8">
        <w:rPr>
          <w:color w:val="010101"/>
          <w:sz w:val="21"/>
          <w:lang w:val="tr-TR"/>
        </w:rPr>
        <w:t xml:space="preserve">29. maddelerini değiştiren </w:t>
      </w:r>
      <w:r w:rsidR="00CE7E62" w:rsidRPr="001D47B8">
        <w:rPr>
          <w:color w:val="010101"/>
          <w:sz w:val="21"/>
          <w:lang w:val="tr-TR"/>
        </w:rPr>
        <w:t>7262 sayılı Kanunun 7, 8, 9 ve 10. maddeleri</w:t>
      </w:r>
      <w:r w:rsidR="003834DA" w:rsidRPr="001D47B8">
        <w:rPr>
          <w:color w:val="010101"/>
          <w:sz w:val="21"/>
          <w:lang w:val="tr-TR"/>
        </w:rPr>
        <w:t>, ilgili BM Güvenlik Konseyi Kararları</w:t>
      </w:r>
      <w:r w:rsidR="00D62627" w:rsidRPr="001D47B8">
        <w:rPr>
          <w:color w:val="010101"/>
          <w:sz w:val="21"/>
          <w:lang w:val="tr-TR"/>
        </w:rPr>
        <w:t>nda vurgulanan</w:t>
      </w:r>
      <w:r w:rsidR="003834DA" w:rsidRPr="001D47B8">
        <w:rPr>
          <w:color w:val="010101"/>
          <w:sz w:val="21"/>
          <w:lang w:val="tr-TR"/>
        </w:rPr>
        <w:t xml:space="preserve"> terörle mücadele amacı ile özellikle ilgili değildir ve </w:t>
      </w:r>
      <w:r w:rsidR="003A3E3E" w:rsidRPr="001D47B8">
        <w:rPr>
          <w:color w:val="010101"/>
          <w:sz w:val="21"/>
          <w:lang w:val="tr-TR"/>
        </w:rPr>
        <w:t>kişilerin, bilhassa STÖ’lerin yardım toplama faaliyetlerine ciddi bir müdahale ve engel oluşturma potansiyel</w:t>
      </w:r>
      <w:r w:rsidR="007F2FF1" w:rsidRPr="001D47B8">
        <w:rPr>
          <w:color w:val="010101"/>
          <w:sz w:val="21"/>
          <w:lang w:val="tr-TR"/>
        </w:rPr>
        <w:t xml:space="preserve">leri bulunmaktadır. </w:t>
      </w:r>
    </w:p>
    <w:p w14:paraId="0532DFA0" w14:textId="77777777" w:rsidR="006B2819" w:rsidRPr="001D47B8" w:rsidRDefault="006B2819" w:rsidP="006B2819">
      <w:pPr>
        <w:pStyle w:val="ListeParagraf"/>
        <w:tabs>
          <w:tab w:val="left" w:pos="671"/>
        </w:tabs>
        <w:spacing w:line="252" w:lineRule="auto"/>
        <w:ind w:left="127" w:right="325" w:firstLine="0"/>
        <w:rPr>
          <w:color w:val="010101"/>
          <w:sz w:val="21"/>
          <w:lang w:val="tr-TR"/>
        </w:rPr>
      </w:pPr>
    </w:p>
    <w:p w14:paraId="25779585" w14:textId="24866C4B" w:rsidR="00503792" w:rsidRPr="001D47B8" w:rsidRDefault="00503792" w:rsidP="001C4B9F">
      <w:pPr>
        <w:pStyle w:val="ListeParagraf"/>
        <w:numPr>
          <w:ilvl w:val="0"/>
          <w:numId w:val="6"/>
        </w:numPr>
        <w:tabs>
          <w:tab w:val="left" w:pos="668"/>
        </w:tabs>
        <w:spacing w:line="249" w:lineRule="auto"/>
        <w:ind w:right="319" w:firstLine="0"/>
        <w:rPr>
          <w:color w:val="010101"/>
          <w:sz w:val="21"/>
          <w:lang w:val="tr-TR"/>
        </w:rPr>
      </w:pPr>
      <w:r w:rsidRPr="001D47B8">
        <w:rPr>
          <w:color w:val="010101"/>
          <w:sz w:val="21"/>
          <w:lang w:val="tr-TR"/>
        </w:rPr>
        <w:t xml:space="preserve">7262 sayılı Kanunun 7. maddesi ile </w:t>
      </w:r>
      <w:r w:rsidR="006A4FA7" w:rsidRPr="001D47B8">
        <w:rPr>
          <w:color w:val="010101"/>
          <w:sz w:val="21"/>
          <w:lang w:val="tr-TR"/>
        </w:rPr>
        <w:t>2860 sayılı Yardım Toplama Kanununun 6. madde</w:t>
      </w:r>
      <w:r w:rsidR="00DC0BC9" w:rsidRPr="001D47B8">
        <w:rPr>
          <w:color w:val="010101"/>
          <w:sz w:val="21"/>
          <w:lang w:val="tr-TR"/>
        </w:rPr>
        <w:t>s</w:t>
      </w:r>
      <w:r w:rsidR="006A4FA7" w:rsidRPr="001D47B8">
        <w:rPr>
          <w:color w:val="010101"/>
          <w:sz w:val="21"/>
          <w:lang w:val="tr-TR"/>
        </w:rPr>
        <w:t xml:space="preserve">ine yeni bir fıkra eklenmiştir. </w:t>
      </w:r>
      <w:r w:rsidR="001F0508" w:rsidRPr="001D47B8">
        <w:rPr>
          <w:color w:val="010101"/>
          <w:sz w:val="21"/>
          <w:lang w:val="tr-TR"/>
        </w:rPr>
        <w:t>Çevrimiçi düzenlenen yardım kampanyaları ile ilgili bu</w:t>
      </w:r>
      <w:r w:rsidR="006A4FA7" w:rsidRPr="001D47B8">
        <w:rPr>
          <w:color w:val="010101"/>
          <w:sz w:val="21"/>
          <w:lang w:val="tr-TR"/>
        </w:rPr>
        <w:t xml:space="preserve"> fıkraya göre, </w:t>
      </w:r>
      <w:r w:rsidR="00B471E5" w:rsidRPr="001D47B8">
        <w:rPr>
          <w:color w:val="010101"/>
          <w:sz w:val="21"/>
          <w:lang w:val="tr-TR"/>
        </w:rPr>
        <w:t xml:space="preserve">internet ortamında izinsiz yardım toplama faaliyeti </w:t>
      </w:r>
      <w:r w:rsidR="00FE1C7E" w:rsidRPr="001D47B8">
        <w:rPr>
          <w:color w:val="010101"/>
          <w:sz w:val="21"/>
          <w:lang w:val="tr-TR"/>
        </w:rPr>
        <w:t xml:space="preserve">yapılması durumunda, ilgili valilik veya İçişleri Bakanlığı </w:t>
      </w:r>
      <w:r w:rsidR="00DC0BC9" w:rsidRPr="001D47B8">
        <w:rPr>
          <w:color w:val="010101"/>
          <w:sz w:val="21"/>
          <w:lang w:val="tr-TR"/>
        </w:rPr>
        <w:t xml:space="preserve">yardım toplama faaliyetine ilişkin içeriğin çıkarılması </w:t>
      </w:r>
      <w:r w:rsidR="00D4794A" w:rsidRPr="001D47B8">
        <w:rPr>
          <w:color w:val="010101"/>
          <w:sz w:val="21"/>
          <w:lang w:val="tr-TR"/>
        </w:rPr>
        <w:t>iç</w:t>
      </w:r>
      <w:r w:rsidR="00AB7C2B" w:rsidRPr="001D47B8">
        <w:rPr>
          <w:color w:val="010101"/>
          <w:sz w:val="21"/>
          <w:lang w:val="tr-TR"/>
        </w:rPr>
        <w:t>in</w:t>
      </w:r>
      <w:r w:rsidR="00D4794A" w:rsidRPr="001D47B8">
        <w:rPr>
          <w:color w:val="010101"/>
          <w:sz w:val="21"/>
          <w:lang w:val="tr-TR"/>
        </w:rPr>
        <w:t xml:space="preserve"> </w:t>
      </w:r>
      <w:r w:rsidR="00AB7C2B" w:rsidRPr="001D47B8">
        <w:rPr>
          <w:color w:val="010101"/>
          <w:sz w:val="21"/>
          <w:lang w:val="tr-TR"/>
        </w:rPr>
        <w:t xml:space="preserve">elektronik posta veya diğer iletişim araçları ile </w:t>
      </w:r>
      <w:r w:rsidR="001A3678" w:rsidRPr="001D47B8">
        <w:rPr>
          <w:color w:val="010101"/>
          <w:sz w:val="21"/>
          <w:lang w:val="tr-TR"/>
        </w:rPr>
        <w:t xml:space="preserve">internet hizmet sağlayıcısına bildirimde bulunur. </w:t>
      </w:r>
      <w:r w:rsidR="001A5BB5" w:rsidRPr="001D47B8">
        <w:rPr>
          <w:color w:val="010101"/>
          <w:sz w:val="21"/>
          <w:lang w:val="tr-TR"/>
        </w:rPr>
        <w:t>Bu</w:t>
      </w:r>
      <w:r w:rsidR="00F95581" w:rsidRPr="001D47B8">
        <w:rPr>
          <w:color w:val="010101"/>
          <w:sz w:val="21"/>
          <w:lang w:val="tr-TR"/>
        </w:rPr>
        <w:t>nun anlamı</w:t>
      </w:r>
      <w:r w:rsidR="001A5BB5" w:rsidRPr="001D47B8">
        <w:rPr>
          <w:color w:val="010101"/>
          <w:sz w:val="21"/>
          <w:lang w:val="tr-TR"/>
        </w:rPr>
        <w:t xml:space="preserve">, </w:t>
      </w:r>
      <w:r w:rsidR="00A923ED" w:rsidRPr="001D47B8">
        <w:rPr>
          <w:color w:val="010101"/>
          <w:sz w:val="21"/>
          <w:lang w:val="tr-TR"/>
        </w:rPr>
        <w:t>çevrimiçi yardım toplama kampanyası başlatmadan önce izin alınması</w:t>
      </w:r>
      <w:r w:rsidR="00F95581" w:rsidRPr="001D47B8">
        <w:rPr>
          <w:color w:val="010101"/>
          <w:sz w:val="21"/>
          <w:lang w:val="tr-TR"/>
        </w:rPr>
        <w:t>nın</w:t>
      </w:r>
      <w:r w:rsidR="00A923ED" w:rsidRPr="001D47B8">
        <w:rPr>
          <w:color w:val="010101"/>
          <w:sz w:val="21"/>
          <w:lang w:val="tr-TR"/>
        </w:rPr>
        <w:t xml:space="preserve"> zorunlu </w:t>
      </w:r>
      <w:r w:rsidR="00202C47" w:rsidRPr="001D47B8">
        <w:rPr>
          <w:color w:val="010101"/>
          <w:sz w:val="21"/>
          <w:lang w:val="tr-TR"/>
        </w:rPr>
        <w:t xml:space="preserve">hale getirilmiş olmasıdır. Bu yeni değişikliğe göre, </w:t>
      </w:r>
      <w:r w:rsidR="005018DF" w:rsidRPr="001D47B8">
        <w:rPr>
          <w:color w:val="010101"/>
          <w:sz w:val="21"/>
          <w:lang w:val="tr-TR"/>
        </w:rPr>
        <w:t>çevrimiçi izinsiz bir yardım toplama faaliyetinin tespit edilmes</w:t>
      </w:r>
      <w:r w:rsidR="00E764BD" w:rsidRPr="001D47B8">
        <w:rPr>
          <w:color w:val="010101"/>
          <w:sz w:val="21"/>
          <w:lang w:val="tr-TR"/>
        </w:rPr>
        <w:t>i</w:t>
      </w:r>
      <w:r w:rsidR="005018DF" w:rsidRPr="001D47B8">
        <w:rPr>
          <w:color w:val="010101"/>
          <w:sz w:val="21"/>
          <w:lang w:val="tr-TR"/>
        </w:rPr>
        <w:t xml:space="preserve"> halinde, İçişleri Bakanlığı</w:t>
      </w:r>
      <w:r w:rsidR="0073223C" w:rsidRPr="001D47B8">
        <w:rPr>
          <w:color w:val="010101"/>
          <w:sz w:val="21"/>
          <w:lang w:val="tr-TR"/>
        </w:rPr>
        <w:t>, izinsiz çevrimiçi yardım toplama faaliyetine erişimin 24 saat içinde engellenmesi için</w:t>
      </w:r>
      <w:r w:rsidR="005018DF" w:rsidRPr="001D47B8">
        <w:rPr>
          <w:color w:val="010101"/>
          <w:sz w:val="21"/>
          <w:lang w:val="tr-TR"/>
        </w:rPr>
        <w:t xml:space="preserve"> </w:t>
      </w:r>
      <w:r w:rsidR="00D66404" w:rsidRPr="001D47B8">
        <w:rPr>
          <w:color w:val="010101"/>
          <w:sz w:val="21"/>
          <w:lang w:val="tr-TR"/>
        </w:rPr>
        <w:t>sulh ceza hâkimliğine başvur</w:t>
      </w:r>
      <w:r w:rsidR="001210AE" w:rsidRPr="001D47B8">
        <w:rPr>
          <w:color w:val="010101"/>
          <w:sz w:val="21"/>
          <w:lang w:val="tr-TR"/>
        </w:rPr>
        <w:t xml:space="preserve">abilir. </w:t>
      </w:r>
      <w:r w:rsidR="00514347" w:rsidRPr="001D47B8">
        <w:rPr>
          <w:color w:val="010101"/>
          <w:sz w:val="21"/>
          <w:lang w:val="tr-TR"/>
        </w:rPr>
        <w:t>Hâkim</w:t>
      </w:r>
      <w:r w:rsidR="001210AE" w:rsidRPr="001D47B8">
        <w:rPr>
          <w:color w:val="010101"/>
          <w:sz w:val="21"/>
          <w:lang w:val="tr-TR"/>
        </w:rPr>
        <w:t xml:space="preserve"> duruşma yapmaksızın talebi karar bağlayacaktır. Bu değişiklik ile </w:t>
      </w:r>
      <w:r w:rsidR="00FC0AF4" w:rsidRPr="001D47B8">
        <w:rPr>
          <w:color w:val="010101"/>
          <w:sz w:val="21"/>
          <w:lang w:val="tr-TR"/>
        </w:rPr>
        <w:t xml:space="preserve">hükümetin sivil toplumun yardım toplama faaliyetleri üzerindeki kontrolü </w:t>
      </w:r>
      <w:r w:rsidR="004C48C4">
        <w:rPr>
          <w:color w:val="010101"/>
          <w:sz w:val="21"/>
          <w:lang w:val="tr-TR"/>
        </w:rPr>
        <w:t>sıkılaşmaktadır</w:t>
      </w:r>
      <w:r w:rsidR="00FC0AF4" w:rsidRPr="001D47B8">
        <w:rPr>
          <w:color w:val="010101"/>
          <w:sz w:val="21"/>
          <w:lang w:val="tr-TR"/>
        </w:rPr>
        <w:t xml:space="preserve">. Venedik Komisyonu, buna benzer bir konuda daha önce bildirdiği bir görüşte, </w:t>
      </w:r>
      <w:r w:rsidR="00F25B32" w:rsidRPr="001D47B8">
        <w:rPr>
          <w:color w:val="010101"/>
          <w:sz w:val="21"/>
          <w:lang w:val="tr-TR"/>
        </w:rPr>
        <w:t>ilgili derneğ</w:t>
      </w:r>
      <w:r w:rsidR="00687F76" w:rsidRPr="001D47B8">
        <w:rPr>
          <w:color w:val="010101"/>
          <w:sz w:val="21"/>
          <w:lang w:val="tr-TR"/>
        </w:rPr>
        <w:t>e</w:t>
      </w:r>
      <w:r w:rsidR="00F25B32" w:rsidRPr="001D47B8">
        <w:rPr>
          <w:color w:val="010101"/>
          <w:sz w:val="21"/>
          <w:lang w:val="tr-TR"/>
        </w:rPr>
        <w:t xml:space="preserve"> ihlal iddiası hakkında açıklama yapma olanağı </w:t>
      </w:r>
      <w:r w:rsidR="00DC2E05" w:rsidRPr="001D47B8">
        <w:rPr>
          <w:color w:val="010101"/>
          <w:sz w:val="21"/>
          <w:lang w:val="tr-TR"/>
        </w:rPr>
        <w:t>tanınmasını</w:t>
      </w:r>
      <w:r w:rsidR="0060021C" w:rsidRPr="001D47B8">
        <w:rPr>
          <w:color w:val="010101"/>
          <w:sz w:val="21"/>
          <w:lang w:val="tr-TR"/>
        </w:rPr>
        <w:t xml:space="preserve"> ve hatta bunun derneğe uyarıda bulunulmasından önce yapılmasını </w:t>
      </w:r>
      <w:r w:rsidR="00F25B32" w:rsidRPr="001D47B8">
        <w:rPr>
          <w:color w:val="010101"/>
          <w:sz w:val="21"/>
          <w:lang w:val="tr-TR"/>
        </w:rPr>
        <w:t xml:space="preserve">tavsiye etmiştir. </w:t>
      </w:r>
      <w:r w:rsidR="00687F76" w:rsidRPr="001D47B8">
        <w:rPr>
          <w:rStyle w:val="DipnotBavurusu"/>
          <w:color w:val="010101"/>
          <w:sz w:val="21"/>
          <w:lang w:val="tr-TR"/>
        </w:rPr>
        <w:footnoteReference w:id="50"/>
      </w:r>
    </w:p>
    <w:p w14:paraId="5CB491C0" w14:textId="16486D8F" w:rsidR="004661BA" w:rsidRPr="001D47B8" w:rsidRDefault="004661BA" w:rsidP="004661BA">
      <w:pPr>
        <w:pStyle w:val="ListeParagraf"/>
        <w:tabs>
          <w:tab w:val="left" w:pos="668"/>
        </w:tabs>
        <w:spacing w:line="249" w:lineRule="auto"/>
        <w:ind w:right="319" w:firstLine="0"/>
        <w:rPr>
          <w:color w:val="010101"/>
          <w:sz w:val="21"/>
          <w:lang w:val="tr-TR"/>
        </w:rPr>
      </w:pPr>
    </w:p>
    <w:p w14:paraId="70E44923" w14:textId="35FAD11B" w:rsidR="00E06DFB" w:rsidRPr="001D47B8" w:rsidRDefault="00DC2E05" w:rsidP="00186462">
      <w:pPr>
        <w:pStyle w:val="ListeParagraf"/>
        <w:numPr>
          <w:ilvl w:val="0"/>
          <w:numId w:val="6"/>
        </w:numPr>
        <w:tabs>
          <w:tab w:val="left" w:pos="671"/>
        </w:tabs>
        <w:spacing w:line="252" w:lineRule="auto"/>
        <w:ind w:left="124" w:right="320" w:firstLine="0"/>
        <w:rPr>
          <w:color w:val="010101"/>
          <w:sz w:val="21"/>
          <w:lang w:val="tr-TR"/>
        </w:rPr>
      </w:pPr>
      <w:r w:rsidRPr="001D47B8">
        <w:rPr>
          <w:color w:val="010101"/>
          <w:sz w:val="21"/>
          <w:lang w:val="tr-TR"/>
        </w:rPr>
        <w:t>Venedik Komisyonu</w:t>
      </w:r>
      <w:r w:rsidR="00197D23" w:rsidRPr="001D47B8">
        <w:rPr>
          <w:color w:val="010101"/>
          <w:sz w:val="21"/>
          <w:lang w:val="tr-TR"/>
        </w:rPr>
        <w:t xml:space="preserve">, </w:t>
      </w:r>
      <w:r w:rsidR="00C96A34" w:rsidRPr="001D47B8">
        <w:rPr>
          <w:color w:val="010101"/>
          <w:sz w:val="21"/>
          <w:lang w:val="tr-TR"/>
        </w:rPr>
        <w:t>çevrimiçi faaliyette bulunmadan kaynak aramanın mümkün olmadığı bu modern dijital çağda</w:t>
      </w:r>
      <w:r w:rsidR="0004321F" w:rsidRPr="001D47B8">
        <w:rPr>
          <w:color w:val="010101"/>
          <w:sz w:val="21"/>
          <w:lang w:val="tr-TR"/>
        </w:rPr>
        <w:t xml:space="preserve"> derneklerin kaynak arama hakkının, </w:t>
      </w:r>
      <w:r w:rsidR="00643202" w:rsidRPr="001D47B8">
        <w:rPr>
          <w:color w:val="010101"/>
          <w:sz w:val="21"/>
          <w:lang w:val="tr-TR"/>
        </w:rPr>
        <w:t xml:space="preserve">yukarıda 27. paragrafta açıklandığı gibi sadece üç kümülatif koşul altında kısıtlanabileceğini Türk makamlarına hatırlatır. </w:t>
      </w:r>
      <w:r w:rsidR="002F10B9" w:rsidRPr="001D47B8">
        <w:rPr>
          <w:color w:val="010101"/>
          <w:sz w:val="21"/>
          <w:lang w:val="tr-TR"/>
        </w:rPr>
        <w:t>Venedik Komisyon</w:t>
      </w:r>
      <w:r w:rsidR="007168B2" w:rsidRPr="001D47B8">
        <w:rPr>
          <w:color w:val="010101"/>
          <w:sz w:val="21"/>
          <w:lang w:val="tr-TR"/>
        </w:rPr>
        <w:t>u</w:t>
      </w:r>
      <w:r w:rsidR="00981EE3" w:rsidRPr="001D47B8">
        <w:rPr>
          <w:color w:val="010101"/>
          <w:sz w:val="21"/>
          <w:lang w:val="tr-TR"/>
        </w:rPr>
        <w:t xml:space="preserve">, </w:t>
      </w:r>
      <w:r w:rsidR="00445309" w:rsidRPr="001D47B8">
        <w:rPr>
          <w:color w:val="010101"/>
          <w:sz w:val="21"/>
          <w:lang w:val="tr-TR"/>
        </w:rPr>
        <w:t xml:space="preserve">Türk makamlarının, </w:t>
      </w:r>
      <w:r w:rsidR="004A61AA" w:rsidRPr="001D47B8">
        <w:rPr>
          <w:color w:val="010101"/>
          <w:sz w:val="21"/>
          <w:lang w:val="tr-TR"/>
        </w:rPr>
        <w:t xml:space="preserve">Yardım Toplama Kanununun </w:t>
      </w:r>
      <w:r w:rsidR="00A8430B" w:rsidRPr="001D47B8">
        <w:rPr>
          <w:color w:val="010101"/>
          <w:sz w:val="21"/>
          <w:lang w:val="tr-TR"/>
        </w:rPr>
        <w:t xml:space="preserve">değiştirilen </w:t>
      </w:r>
      <w:r w:rsidR="004A61AA" w:rsidRPr="001D47B8">
        <w:rPr>
          <w:color w:val="010101"/>
          <w:sz w:val="21"/>
          <w:lang w:val="tr-TR"/>
        </w:rPr>
        <w:t xml:space="preserve">6. maddesi ile </w:t>
      </w:r>
      <w:r w:rsidR="00981EE3" w:rsidRPr="001D47B8">
        <w:rPr>
          <w:color w:val="010101"/>
          <w:sz w:val="21"/>
          <w:lang w:val="tr-TR"/>
        </w:rPr>
        <w:t xml:space="preserve">STK’ların </w:t>
      </w:r>
      <w:r w:rsidR="004A61AA" w:rsidRPr="001D47B8">
        <w:rPr>
          <w:color w:val="010101"/>
          <w:sz w:val="21"/>
          <w:lang w:val="tr-TR"/>
        </w:rPr>
        <w:t>kaynak geliştirme</w:t>
      </w:r>
      <w:r w:rsidR="00981EE3" w:rsidRPr="001D47B8">
        <w:rPr>
          <w:color w:val="010101"/>
          <w:sz w:val="21"/>
          <w:lang w:val="tr-TR"/>
        </w:rPr>
        <w:t xml:space="preserve"> hakkına </w:t>
      </w:r>
      <w:r w:rsidR="00A8430B" w:rsidRPr="001D47B8">
        <w:rPr>
          <w:color w:val="010101"/>
          <w:sz w:val="21"/>
          <w:lang w:val="tr-TR"/>
        </w:rPr>
        <w:t>uygulanan genel kısıtlamanın</w:t>
      </w:r>
      <w:r w:rsidR="009F0304" w:rsidRPr="001D47B8">
        <w:rPr>
          <w:color w:val="010101"/>
          <w:sz w:val="21"/>
          <w:lang w:val="tr-TR"/>
        </w:rPr>
        <w:t xml:space="preserve">, </w:t>
      </w:r>
      <w:r w:rsidR="004467F8" w:rsidRPr="001D47B8">
        <w:rPr>
          <w:color w:val="010101"/>
          <w:sz w:val="21"/>
          <w:lang w:val="tr-TR"/>
        </w:rPr>
        <w:t>terörizmin finansmanın</w:t>
      </w:r>
      <w:r w:rsidR="0080703D" w:rsidRPr="001D47B8">
        <w:rPr>
          <w:color w:val="010101"/>
          <w:sz w:val="21"/>
          <w:lang w:val="tr-TR"/>
        </w:rPr>
        <w:t xml:space="preserve">a dair sadece </w:t>
      </w:r>
      <w:r w:rsidR="004467F8" w:rsidRPr="001D47B8">
        <w:rPr>
          <w:color w:val="010101"/>
          <w:sz w:val="21"/>
          <w:lang w:val="tr-TR"/>
        </w:rPr>
        <w:t xml:space="preserve">farazi </w:t>
      </w:r>
      <w:r w:rsidR="0080703D" w:rsidRPr="001D47B8">
        <w:rPr>
          <w:color w:val="010101"/>
          <w:sz w:val="21"/>
          <w:lang w:val="tr-TR"/>
        </w:rPr>
        <w:t xml:space="preserve">bir tehdidi değil gerçek bir tehdidi önlemek için gerekli </w:t>
      </w:r>
      <w:r w:rsidR="00E06DFB" w:rsidRPr="001D47B8">
        <w:rPr>
          <w:color w:val="010101"/>
          <w:sz w:val="21"/>
          <w:lang w:val="tr-TR"/>
        </w:rPr>
        <w:t>olduğunu</w:t>
      </w:r>
      <w:r w:rsidR="00445309" w:rsidRPr="001D47B8">
        <w:rPr>
          <w:color w:val="010101"/>
          <w:sz w:val="21"/>
          <w:lang w:val="tr-TR"/>
        </w:rPr>
        <w:t xml:space="preserve"> </w:t>
      </w:r>
      <w:r w:rsidR="00E06DFB" w:rsidRPr="001D47B8">
        <w:rPr>
          <w:color w:val="010101"/>
          <w:sz w:val="21"/>
          <w:lang w:val="tr-TR"/>
        </w:rPr>
        <w:t xml:space="preserve">ve daha az müdahale eden </w:t>
      </w:r>
      <w:r w:rsidR="00D538BA" w:rsidRPr="001D47B8">
        <w:rPr>
          <w:color w:val="010101"/>
          <w:sz w:val="21"/>
          <w:lang w:val="tr-TR"/>
        </w:rPr>
        <w:t>tedbirlerin aynı amaca ulaşılmasında yeterli olmadığını</w:t>
      </w:r>
      <w:r w:rsidR="00BE296B" w:rsidRPr="001D47B8">
        <w:rPr>
          <w:rStyle w:val="DipnotBavurusu"/>
          <w:color w:val="010101"/>
          <w:sz w:val="21"/>
          <w:lang w:val="tr-TR"/>
        </w:rPr>
        <w:footnoteReference w:id="51"/>
      </w:r>
      <w:r w:rsidR="00D538BA" w:rsidRPr="001D47B8">
        <w:rPr>
          <w:color w:val="010101"/>
          <w:sz w:val="21"/>
          <w:lang w:val="tr-TR"/>
        </w:rPr>
        <w:t xml:space="preserve"> ve sonuç olarak</w:t>
      </w:r>
      <w:r w:rsidR="003A5083" w:rsidRPr="001D47B8">
        <w:rPr>
          <w:color w:val="010101"/>
          <w:sz w:val="21"/>
          <w:lang w:val="tr-TR"/>
        </w:rPr>
        <w:t xml:space="preserve"> kısıtlamanın korun</w:t>
      </w:r>
      <w:r w:rsidR="00C47EF1" w:rsidRPr="001D47B8">
        <w:rPr>
          <w:color w:val="010101"/>
          <w:sz w:val="21"/>
          <w:lang w:val="tr-TR"/>
        </w:rPr>
        <w:t xml:space="preserve">mak </w:t>
      </w:r>
      <w:r w:rsidR="003A5083" w:rsidRPr="001D47B8">
        <w:rPr>
          <w:color w:val="010101"/>
          <w:sz w:val="21"/>
          <w:lang w:val="tr-TR"/>
        </w:rPr>
        <w:t>istenen yarar</w:t>
      </w:r>
      <w:r w:rsidR="000B4E8D" w:rsidRPr="001D47B8">
        <w:rPr>
          <w:color w:val="010101"/>
          <w:sz w:val="21"/>
          <w:lang w:val="tr-TR"/>
        </w:rPr>
        <w:t xml:space="preserve"> ile</w:t>
      </w:r>
      <w:r w:rsidR="003A5083" w:rsidRPr="001D47B8">
        <w:rPr>
          <w:color w:val="010101"/>
          <w:sz w:val="21"/>
          <w:lang w:val="tr-TR"/>
        </w:rPr>
        <w:t xml:space="preserve"> ölçülü olduğunu göstermesinin zor ol</w:t>
      </w:r>
      <w:r w:rsidR="00C47EF1" w:rsidRPr="001D47B8">
        <w:rPr>
          <w:color w:val="010101"/>
          <w:sz w:val="21"/>
          <w:lang w:val="tr-TR"/>
        </w:rPr>
        <w:t xml:space="preserve">acağı kanaatindedir. </w:t>
      </w:r>
    </w:p>
    <w:p w14:paraId="1C2B5EC8" w14:textId="77777777" w:rsidR="00DC2E05" w:rsidRPr="001D47B8" w:rsidRDefault="00DC2E05" w:rsidP="00DC2E05">
      <w:pPr>
        <w:pStyle w:val="ListeParagraf"/>
        <w:tabs>
          <w:tab w:val="left" w:pos="671"/>
        </w:tabs>
        <w:spacing w:line="252" w:lineRule="auto"/>
        <w:ind w:left="124" w:right="320" w:firstLine="0"/>
        <w:rPr>
          <w:color w:val="010101"/>
          <w:sz w:val="21"/>
          <w:lang w:val="tr-TR"/>
        </w:rPr>
      </w:pPr>
    </w:p>
    <w:p w14:paraId="70034EF4" w14:textId="34AE64E2" w:rsidR="00FC3114" w:rsidRPr="001D47B8" w:rsidRDefault="00FC3114" w:rsidP="00635A09">
      <w:pPr>
        <w:pStyle w:val="ListeParagraf"/>
        <w:numPr>
          <w:ilvl w:val="0"/>
          <w:numId w:val="6"/>
        </w:numPr>
        <w:tabs>
          <w:tab w:val="left" w:pos="671"/>
        </w:tabs>
        <w:spacing w:before="94" w:line="252" w:lineRule="auto"/>
        <w:ind w:right="324" w:firstLine="19"/>
        <w:rPr>
          <w:color w:val="010101"/>
          <w:sz w:val="21"/>
          <w:lang w:val="tr-TR"/>
        </w:rPr>
      </w:pPr>
      <w:r w:rsidRPr="001D47B8">
        <w:rPr>
          <w:color w:val="010101"/>
          <w:sz w:val="21"/>
          <w:lang w:val="tr-TR"/>
        </w:rPr>
        <w:t xml:space="preserve">7262 </w:t>
      </w:r>
      <w:r w:rsidR="00E725E8" w:rsidRPr="001D47B8">
        <w:rPr>
          <w:color w:val="010101"/>
          <w:sz w:val="21"/>
          <w:lang w:val="tr-TR"/>
        </w:rPr>
        <w:t>sayılı</w:t>
      </w:r>
      <w:r w:rsidRPr="001D47B8">
        <w:rPr>
          <w:color w:val="010101"/>
          <w:sz w:val="21"/>
          <w:lang w:val="tr-TR"/>
        </w:rPr>
        <w:t xml:space="preserve"> Kanunun 8. maddesi ile Yardım Toplama Kanununun 9. maddesine</w:t>
      </w:r>
      <w:r w:rsidR="00E725E8" w:rsidRPr="001D47B8">
        <w:rPr>
          <w:color w:val="010101"/>
          <w:sz w:val="21"/>
          <w:lang w:val="tr-TR"/>
        </w:rPr>
        <w:t xml:space="preserve"> eklenen fıkra</w:t>
      </w:r>
      <w:r w:rsidR="00635A09" w:rsidRPr="001D47B8">
        <w:rPr>
          <w:color w:val="010101"/>
          <w:sz w:val="21"/>
          <w:lang w:val="tr-TR"/>
        </w:rPr>
        <w:t>ya göre</w:t>
      </w:r>
      <w:r w:rsidR="00E725E8" w:rsidRPr="001D47B8">
        <w:rPr>
          <w:color w:val="010101"/>
          <w:sz w:val="21"/>
          <w:lang w:val="tr-TR"/>
        </w:rPr>
        <w:t xml:space="preserve"> </w:t>
      </w:r>
      <w:r w:rsidR="00635A09" w:rsidRPr="001D47B8">
        <w:rPr>
          <w:color w:val="010101"/>
          <w:sz w:val="21"/>
          <w:lang w:val="tr-TR"/>
        </w:rPr>
        <w:t>“yurt içine ve yurt dışına yapılacak yardımlara ilişkin usul ve esaslar yönetmelikte düzenlenir.</w:t>
      </w:r>
      <w:r w:rsidR="00580F34" w:rsidRPr="001D47B8">
        <w:rPr>
          <w:color w:val="010101"/>
          <w:sz w:val="21"/>
          <w:lang w:val="tr-TR"/>
        </w:rPr>
        <w:t>” Bu değişikli</w:t>
      </w:r>
      <w:r w:rsidR="00437887" w:rsidRPr="001D47B8">
        <w:rPr>
          <w:color w:val="010101"/>
          <w:sz w:val="21"/>
          <w:lang w:val="tr-TR"/>
        </w:rPr>
        <w:t>ğin</w:t>
      </w:r>
      <w:r w:rsidR="00884CE6" w:rsidRPr="001D47B8">
        <w:rPr>
          <w:color w:val="010101"/>
          <w:sz w:val="21"/>
          <w:lang w:val="tr-TR"/>
        </w:rPr>
        <w:t>,</w:t>
      </w:r>
      <w:r w:rsidR="00580F34" w:rsidRPr="001D47B8">
        <w:rPr>
          <w:color w:val="010101"/>
          <w:sz w:val="21"/>
          <w:lang w:val="tr-TR"/>
        </w:rPr>
        <w:t xml:space="preserve"> AİHS’nin 11. Maddesi ve ICCPR’nin 22. maddesinde güvence altına alınan yasallık </w:t>
      </w:r>
      <w:r w:rsidR="002241D2" w:rsidRPr="001D47B8">
        <w:rPr>
          <w:color w:val="010101"/>
          <w:sz w:val="21"/>
          <w:lang w:val="tr-TR"/>
        </w:rPr>
        <w:t xml:space="preserve">ve hukuki belirlilik </w:t>
      </w:r>
      <w:r w:rsidR="00437887" w:rsidRPr="001D47B8">
        <w:rPr>
          <w:color w:val="010101"/>
          <w:sz w:val="21"/>
          <w:lang w:val="tr-TR"/>
        </w:rPr>
        <w:t xml:space="preserve">ilkelerine ters düştüğü </w:t>
      </w:r>
      <w:r w:rsidR="00BD7BE4">
        <w:rPr>
          <w:color w:val="010101"/>
          <w:sz w:val="21"/>
          <w:lang w:val="tr-TR"/>
        </w:rPr>
        <w:t xml:space="preserve">şeklinde </w:t>
      </w:r>
      <w:r w:rsidR="00437887" w:rsidRPr="001D47B8">
        <w:rPr>
          <w:color w:val="010101"/>
          <w:sz w:val="21"/>
          <w:lang w:val="tr-TR"/>
        </w:rPr>
        <w:t>değerlendirme</w:t>
      </w:r>
      <w:r w:rsidR="00BD7BE4">
        <w:rPr>
          <w:color w:val="010101"/>
          <w:sz w:val="21"/>
          <w:lang w:val="tr-TR"/>
        </w:rPr>
        <w:t xml:space="preserve"> yapmak mümkündür</w:t>
      </w:r>
      <w:r w:rsidR="00437887" w:rsidRPr="001D47B8">
        <w:rPr>
          <w:color w:val="010101"/>
          <w:sz w:val="21"/>
          <w:lang w:val="tr-TR"/>
        </w:rPr>
        <w:t xml:space="preserve">. </w:t>
      </w:r>
      <w:r w:rsidR="00437887" w:rsidRPr="001D47B8">
        <w:rPr>
          <w:rStyle w:val="DipnotBavurusu"/>
          <w:color w:val="010101"/>
          <w:sz w:val="21"/>
          <w:lang w:val="tr-TR"/>
        </w:rPr>
        <w:footnoteReference w:id="52"/>
      </w:r>
    </w:p>
    <w:p w14:paraId="15CF608E" w14:textId="77777777" w:rsidR="001B3C12" w:rsidRPr="001D47B8" w:rsidRDefault="001B3C12" w:rsidP="001C4B9F">
      <w:pPr>
        <w:pStyle w:val="GvdeMetni"/>
        <w:spacing w:before="8"/>
        <w:jc w:val="both"/>
        <w:rPr>
          <w:lang w:val="tr-TR"/>
        </w:rPr>
      </w:pPr>
    </w:p>
    <w:p w14:paraId="34B5D814" w14:textId="2A863EDF" w:rsidR="002941AC" w:rsidRPr="001D47B8" w:rsidRDefault="00B93CBC" w:rsidP="00EB3389">
      <w:pPr>
        <w:pStyle w:val="ListeParagraf"/>
        <w:numPr>
          <w:ilvl w:val="0"/>
          <w:numId w:val="6"/>
        </w:numPr>
        <w:ind w:right="318" w:firstLine="19"/>
        <w:rPr>
          <w:color w:val="010101"/>
          <w:sz w:val="21"/>
          <w:lang w:val="tr-TR"/>
        </w:rPr>
      </w:pPr>
      <w:r w:rsidRPr="001D47B8">
        <w:rPr>
          <w:color w:val="010101"/>
          <w:sz w:val="21"/>
          <w:lang w:val="tr-TR"/>
        </w:rPr>
        <w:t>Yardım Toplama Kanununun değiştirilen 29. maddesi</w:t>
      </w:r>
      <w:r w:rsidR="00A97BF2" w:rsidRPr="001D47B8">
        <w:rPr>
          <w:color w:val="010101"/>
          <w:sz w:val="21"/>
          <w:lang w:val="tr-TR"/>
        </w:rPr>
        <w:t>yle</w:t>
      </w:r>
      <w:r w:rsidR="00750737" w:rsidRPr="001D47B8">
        <w:rPr>
          <w:color w:val="010101"/>
          <w:sz w:val="21"/>
          <w:lang w:val="tr-TR"/>
        </w:rPr>
        <w:t xml:space="preserve">, </w:t>
      </w:r>
      <w:r w:rsidR="001B1373" w:rsidRPr="001D47B8">
        <w:rPr>
          <w:color w:val="010101"/>
          <w:sz w:val="21"/>
          <w:lang w:val="tr-TR"/>
        </w:rPr>
        <w:t>izinsiz yardım toplama faaliyetlerin</w:t>
      </w:r>
      <w:r w:rsidR="00FE669C" w:rsidRPr="001D47B8">
        <w:rPr>
          <w:color w:val="010101"/>
          <w:sz w:val="21"/>
          <w:lang w:val="tr-TR"/>
        </w:rPr>
        <w:t xml:space="preserve">de bulunan </w:t>
      </w:r>
      <w:r w:rsidR="00A97BF2" w:rsidRPr="001D47B8">
        <w:rPr>
          <w:color w:val="010101"/>
          <w:sz w:val="21"/>
          <w:lang w:val="tr-TR"/>
        </w:rPr>
        <w:t>ve bu faaliyetler içi</w:t>
      </w:r>
      <w:r w:rsidR="00F22D96" w:rsidRPr="001D47B8">
        <w:rPr>
          <w:color w:val="010101"/>
          <w:sz w:val="21"/>
          <w:lang w:val="tr-TR"/>
        </w:rPr>
        <w:t>n</w:t>
      </w:r>
      <w:r w:rsidR="00A97BF2" w:rsidRPr="001D47B8">
        <w:rPr>
          <w:color w:val="010101"/>
          <w:sz w:val="21"/>
          <w:lang w:val="tr-TR"/>
        </w:rPr>
        <w:t xml:space="preserve"> internet </w:t>
      </w:r>
      <w:r w:rsidR="00223DFC" w:rsidRPr="001D47B8">
        <w:rPr>
          <w:color w:val="010101"/>
          <w:sz w:val="21"/>
          <w:lang w:val="tr-TR"/>
        </w:rPr>
        <w:t>alanı</w:t>
      </w:r>
      <w:r w:rsidR="00FE669C" w:rsidRPr="001D47B8">
        <w:rPr>
          <w:color w:val="010101"/>
          <w:sz w:val="21"/>
          <w:lang w:val="tr-TR"/>
        </w:rPr>
        <w:t xml:space="preserve"> </w:t>
      </w:r>
      <w:r w:rsidR="00F22D96" w:rsidRPr="001D47B8">
        <w:rPr>
          <w:color w:val="010101"/>
          <w:sz w:val="21"/>
          <w:lang w:val="tr-TR"/>
        </w:rPr>
        <w:t xml:space="preserve">sağlayan örgütlere </w:t>
      </w:r>
      <w:r w:rsidR="00FE669C" w:rsidRPr="001D47B8">
        <w:rPr>
          <w:color w:val="010101"/>
          <w:sz w:val="21"/>
          <w:lang w:val="tr-TR"/>
        </w:rPr>
        <w:t>ağır idari para cezası</w:t>
      </w:r>
      <w:r w:rsidR="0016057A" w:rsidRPr="001D47B8">
        <w:rPr>
          <w:color w:val="010101"/>
          <w:sz w:val="21"/>
          <w:lang w:val="tr-TR"/>
        </w:rPr>
        <w:t xml:space="preserve"> verilmekte ve izin almadan toplanan </w:t>
      </w:r>
      <w:r w:rsidR="005E2439" w:rsidRPr="001D47B8">
        <w:rPr>
          <w:color w:val="010101"/>
          <w:sz w:val="21"/>
          <w:lang w:val="tr-TR"/>
        </w:rPr>
        <w:t xml:space="preserve">yardımlara el koyma olasılığı da öngörülmektedir (7262 sayılı Kanunun 10. maddesi uyarınca). </w:t>
      </w:r>
      <w:r w:rsidR="00955242" w:rsidRPr="001D47B8">
        <w:rPr>
          <w:color w:val="010101"/>
          <w:sz w:val="21"/>
          <w:lang w:val="tr-TR"/>
        </w:rPr>
        <w:t>Öngörülen idari</w:t>
      </w:r>
      <w:r w:rsidR="006B0CBC" w:rsidRPr="001D47B8">
        <w:rPr>
          <w:color w:val="010101"/>
          <w:sz w:val="21"/>
          <w:lang w:val="tr-TR"/>
        </w:rPr>
        <w:t xml:space="preserve"> para cezalarının alt ve üst sınırları arasındaki büyük fark (5.000-100</w:t>
      </w:r>
      <w:r w:rsidR="006B0CBC" w:rsidRPr="001D47B8">
        <w:rPr>
          <w:color w:val="2F2F2F"/>
          <w:sz w:val="21"/>
          <w:lang w:val="tr-TR"/>
        </w:rPr>
        <w:t>.</w:t>
      </w:r>
      <w:r w:rsidR="006B0CBC" w:rsidRPr="001D47B8">
        <w:rPr>
          <w:color w:val="010101"/>
          <w:sz w:val="21"/>
          <w:lang w:val="tr-TR"/>
        </w:rPr>
        <w:t>000</w:t>
      </w:r>
      <w:r w:rsidR="006B0CBC" w:rsidRPr="001D47B8">
        <w:rPr>
          <w:color w:val="010101"/>
          <w:spacing w:val="1"/>
          <w:sz w:val="21"/>
          <w:lang w:val="tr-TR"/>
        </w:rPr>
        <w:t xml:space="preserve"> </w:t>
      </w:r>
      <w:r w:rsidR="006B0CBC" w:rsidRPr="001D47B8">
        <w:rPr>
          <w:color w:val="010101"/>
          <w:sz w:val="21"/>
          <w:lang w:val="tr-TR"/>
        </w:rPr>
        <w:t>ya da 10</w:t>
      </w:r>
      <w:r w:rsidR="006B0CBC" w:rsidRPr="001D47B8">
        <w:rPr>
          <w:color w:val="2F2F2F"/>
          <w:sz w:val="21"/>
          <w:lang w:val="tr-TR"/>
        </w:rPr>
        <w:t>.</w:t>
      </w:r>
      <w:r w:rsidR="006B0CBC" w:rsidRPr="001D47B8">
        <w:rPr>
          <w:color w:val="010101"/>
          <w:sz w:val="21"/>
          <w:lang w:val="tr-TR"/>
        </w:rPr>
        <w:t>000-200</w:t>
      </w:r>
      <w:r w:rsidR="006B0CBC" w:rsidRPr="001D47B8">
        <w:rPr>
          <w:color w:val="2F2F2F"/>
          <w:sz w:val="21"/>
          <w:lang w:val="tr-TR"/>
        </w:rPr>
        <w:t>.</w:t>
      </w:r>
      <w:r w:rsidR="006B0CBC" w:rsidRPr="001D47B8">
        <w:rPr>
          <w:color w:val="010101"/>
          <w:sz w:val="21"/>
          <w:lang w:val="tr-TR"/>
        </w:rPr>
        <w:t>000)</w:t>
      </w:r>
      <w:r w:rsidR="000F01B5" w:rsidRPr="001D47B8">
        <w:rPr>
          <w:color w:val="010101"/>
          <w:sz w:val="21"/>
          <w:lang w:val="tr-TR"/>
        </w:rPr>
        <w:t>, keyfi istismara yol açar ve hukuki belirlilik ve tahmin edilebilirlik ilkesinin ihlali</w:t>
      </w:r>
      <w:r w:rsidR="00BF304F" w:rsidRPr="001D47B8">
        <w:rPr>
          <w:color w:val="010101"/>
          <w:sz w:val="21"/>
          <w:lang w:val="tr-TR"/>
        </w:rPr>
        <w:t xml:space="preserve">ni teşkil eder. </w:t>
      </w:r>
      <w:r w:rsidR="00A10BCE" w:rsidRPr="001D47B8">
        <w:rPr>
          <w:color w:val="010101"/>
          <w:sz w:val="21"/>
          <w:lang w:val="tr-TR"/>
        </w:rPr>
        <w:t>Kanuna göre şu koşullar</w:t>
      </w:r>
      <w:r w:rsidR="00CB4D45">
        <w:rPr>
          <w:color w:val="010101"/>
          <w:sz w:val="21"/>
          <w:lang w:val="tr-TR"/>
        </w:rPr>
        <w:t xml:space="preserve">ın tümünde </w:t>
      </w:r>
      <w:r w:rsidR="00A10BCE" w:rsidRPr="001D47B8">
        <w:rPr>
          <w:color w:val="010101"/>
          <w:sz w:val="21"/>
          <w:lang w:val="tr-TR"/>
        </w:rPr>
        <w:t>asgari beş bin Türk lirası para cezası verilecektir: “</w:t>
      </w:r>
      <w:r w:rsidR="005515E7" w:rsidRPr="001D47B8">
        <w:rPr>
          <w:color w:val="010101"/>
          <w:spacing w:val="-1"/>
          <w:w w:val="104"/>
          <w:sz w:val="21"/>
          <w:lang w:val="tr-TR"/>
        </w:rPr>
        <w:t>Bu</w:t>
      </w:r>
      <w:r w:rsidR="00A91717" w:rsidRPr="001D47B8">
        <w:rPr>
          <w:color w:val="010101"/>
          <w:spacing w:val="-1"/>
          <w:w w:val="104"/>
          <w:sz w:val="21"/>
          <w:lang w:val="tr-TR"/>
        </w:rPr>
        <w:t xml:space="preserve"> </w:t>
      </w:r>
      <w:r w:rsidR="005515E7" w:rsidRPr="001D47B8">
        <w:rPr>
          <w:color w:val="010101"/>
          <w:spacing w:val="-1"/>
          <w:w w:val="104"/>
          <w:sz w:val="21"/>
          <w:lang w:val="tr-TR"/>
        </w:rPr>
        <w:t>Kanun hükümlerine aykırı olarak izinsiz yardım toplayanlar</w:t>
      </w:r>
      <w:r w:rsidR="00666FB7" w:rsidRPr="001D47B8">
        <w:rPr>
          <w:color w:val="010101"/>
          <w:spacing w:val="-1"/>
          <w:w w:val="104"/>
          <w:sz w:val="21"/>
          <w:lang w:val="tr-TR"/>
        </w:rPr>
        <w:t xml:space="preserve">”, </w:t>
      </w:r>
      <w:r w:rsidR="00A91717" w:rsidRPr="001D47B8">
        <w:rPr>
          <w:color w:val="010101"/>
          <w:spacing w:val="-1"/>
          <w:w w:val="104"/>
          <w:sz w:val="21"/>
          <w:lang w:val="tr-TR"/>
        </w:rPr>
        <w:t xml:space="preserve">ya da </w:t>
      </w:r>
      <w:r w:rsidR="00797566" w:rsidRPr="001D47B8">
        <w:rPr>
          <w:color w:val="010101"/>
          <w:spacing w:val="-1"/>
          <w:w w:val="104"/>
          <w:sz w:val="21"/>
          <w:lang w:val="tr-TR"/>
        </w:rPr>
        <w:t>“</w:t>
      </w:r>
      <w:r w:rsidR="00264D81" w:rsidRPr="001D47B8">
        <w:rPr>
          <w:color w:val="010101"/>
          <w:spacing w:val="-1"/>
          <w:w w:val="104"/>
          <w:sz w:val="21"/>
          <w:lang w:val="tr-TR"/>
        </w:rPr>
        <w:t>Bu Kanun hükümlerine aykırı olarak izinsiz yardım toplayan kişiler ya da kuruluşlar”</w:t>
      </w:r>
      <w:r w:rsidR="00533F86" w:rsidRPr="001D47B8">
        <w:rPr>
          <w:color w:val="010101"/>
          <w:spacing w:val="-1"/>
          <w:w w:val="104"/>
          <w:sz w:val="21"/>
          <w:lang w:val="tr-TR"/>
        </w:rPr>
        <w:t xml:space="preserve">  ya da </w:t>
      </w:r>
      <w:r w:rsidR="00797566" w:rsidRPr="001D47B8">
        <w:rPr>
          <w:color w:val="010101"/>
          <w:spacing w:val="-1"/>
          <w:w w:val="104"/>
          <w:sz w:val="21"/>
          <w:lang w:val="tr-TR"/>
        </w:rPr>
        <w:t>“</w:t>
      </w:r>
      <w:r w:rsidR="00923E89" w:rsidRPr="001D47B8">
        <w:rPr>
          <w:color w:val="010101"/>
          <w:spacing w:val="-1"/>
          <w:w w:val="104"/>
          <w:sz w:val="21"/>
          <w:lang w:val="tr-TR"/>
        </w:rPr>
        <w:t>i</w:t>
      </w:r>
      <w:r w:rsidR="00797566" w:rsidRPr="001D47B8">
        <w:rPr>
          <w:color w:val="010101"/>
          <w:spacing w:val="-1"/>
          <w:w w:val="104"/>
          <w:sz w:val="21"/>
          <w:lang w:val="tr-TR"/>
        </w:rPr>
        <w:t xml:space="preserve">zinsiz yardım toplanmasına yer ve imkân sağlayan </w:t>
      </w:r>
      <w:r w:rsidR="00DA6985" w:rsidRPr="001D47B8">
        <w:rPr>
          <w:color w:val="010101"/>
          <w:spacing w:val="-1"/>
          <w:w w:val="104"/>
          <w:sz w:val="21"/>
          <w:lang w:val="tr-TR"/>
        </w:rPr>
        <w:t xml:space="preserve">ve uyarılmalarına rağmen bu faaliyeti sonlandırmayan </w:t>
      </w:r>
      <w:r w:rsidR="00797566" w:rsidRPr="001D47B8">
        <w:rPr>
          <w:color w:val="010101"/>
          <w:spacing w:val="-1"/>
          <w:w w:val="104"/>
          <w:sz w:val="21"/>
          <w:lang w:val="tr-TR"/>
        </w:rPr>
        <w:t>kişiler ya da kuruluşlar</w:t>
      </w:r>
      <w:r w:rsidR="00923E89" w:rsidRPr="001D47B8">
        <w:rPr>
          <w:color w:val="010101"/>
          <w:spacing w:val="-1"/>
          <w:w w:val="104"/>
          <w:sz w:val="21"/>
          <w:lang w:val="tr-TR"/>
        </w:rPr>
        <w:t>”, ya da “</w:t>
      </w:r>
      <w:r w:rsidR="00993B70" w:rsidRPr="001D47B8">
        <w:rPr>
          <w:color w:val="010101"/>
          <w:spacing w:val="-1"/>
          <w:w w:val="104"/>
          <w:sz w:val="21"/>
          <w:lang w:val="tr-TR"/>
        </w:rPr>
        <w:t>Bu Kanunun 9</w:t>
      </w:r>
      <w:r w:rsidR="00946408" w:rsidRPr="001D47B8">
        <w:rPr>
          <w:color w:val="010101"/>
          <w:spacing w:val="-1"/>
          <w:w w:val="104"/>
          <w:sz w:val="21"/>
          <w:lang w:val="tr-TR"/>
        </w:rPr>
        <w:t>.</w:t>
      </w:r>
      <w:r w:rsidR="00993B70" w:rsidRPr="001D47B8">
        <w:rPr>
          <w:color w:val="010101"/>
          <w:spacing w:val="-1"/>
          <w:w w:val="104"/>
          <w:sz w:val="21"/>
          <w:lang w:val="tr-TR"/>
        </w:rPr>
        <w:t xml:space="preserve"> maddesi uyarınca belirlenen usul ve esaslara aykırı olarak yurt dışına yardım yapan sorumlu</w:t>
      </w:r>
      <w:r w:rsidR="00A91717" w:rsidRPr="001D47B8">
        <w:rPr>
          <w:color w:val="010101"/>
          <w:spacing w:val="-1"/>
          <w:w w:val="104"/>
          <w:sz w:val="21"/>
          <w:lang w:val="tr-TR"/>
        </w:rPr>
        <w:t xml:space="preserve"> </w:t>
      </w:r>
      <w:r w:rsidR="00993B70" w:rsidRPr="001D47B8">
        <w:rPr>
          <w:color w:val="010101"/>
          <w:spacing w:val="-1"/>
          <w:w w:val="104"/>
          <w:sz w:val="21"/>
          <w:lang w:val="tr-TR"/>
        </w:rPr>
        <w:t>kurul üyeleri</w:t>
      </w:r>
      <w:r w:rsidR="00946408" w:rsidRPr="001D47B8">
        <w:rPr>
          <w:color w:val="010101"/>
          <w:spacing w:val="-1"/>
          <w:w w:val="104"/>
          <w:sz w:val="21"/>
          <w:lang w:val="tr-TR"/>
        </w:rPr>
        <w:t>”</w:t>
      </w:r>
      <w:r w:rsidR="00993B70" w:rsidRPr="001D47B8">
        <w:rPr>
          <w:color w:val="010101"/>
          <w:spacing w:val="-1"/>
          <w:w w:val="104"/>
          <w:sz w:val="21"/>
          <w:lang w:val="tr-TR"/>
        </w:rPr>
        <w:t>,</w:t>
      </w:r>
      <w:r w:rsidR="00A91717" w:rsidRPr="001D47B8">
        <w:rPr>
          <w:color w:val="010101"/>
          <w:spacing w:val="-1"/>
          <w:w w:val="104"/>
          <w:sz w:val="21"/>
          <w:lang w:val="tr-TR"/>
        </w:rPr>
        <w:t xml:space="preserve"> ya da “Bu Kanunun </w:t>
      </w:r>
      <w:r w:rsidR="000779B8" w:rsidRPr="001D47B8">
        <w:rPr>
          <w:color w:val="010101"/>
          <w:spacing w:val="-1"/>
          <w:w w:val="104"/>
          <w:sz w:val="21"/>
          <w:lang w:val="tr-TR"/>
        </w:rPr>
        <w:t>16. maddesinin üçüncü fıkrasına aykırı hareket edenler” ya da “</w:t>
      </w:r>
      <w:r w:rsidR="009572BA" w:rsidRPr="001D47B8">
        <w:rPr>
          <w:color w:val="010101"/>
          <w:spacing w:val="-1"/>
          <w:w w:val="104"/>
          <w:sz w:val="21"/>
          <w:lang w:val="tr-TR"/>
        </w:rPr>
        <w:t>İzin verilen yardım toplama şekli dışında 5</w:t>
      </w:r>
      <w:r w:rsidR="00A4643A" w:rsidRPr="001D47B8">
        <w:rPr>
          <w:color w:val="010101"/>
          <w:spacing w:val="-1"/>
          <w:w w:val="104"/>
          <w:sz w:val="21"/>
          <w:lang w:val="tr-TR"/>
        </w:rPr>
        <w:t>.</w:t>
      </w:r>
      <w:r w:rsidR="009572BA" w:rsidRPr="001D47B8">
        <w:rPr>
          <w:color w:val="010101"/>
          <w:spacing w:val="-1"/>
          <w:w w:val="104"/>
          <w:sz w:val="21"/>
          <w:lang w:val="tr-TR"/>
        </w:rPr>
        <w:t xml:space="preserve"> maddede belirtilen diğer yardım toplama şekillerine göre izinsiz yardım toplayan</w:t>
      </w:r>
      <w:r w:rsidR="008D3F39" w:rsidRPr="001D47B8">
        <w:rPr>
          <w:color w:val="010101"/>
          <w:spacing w:val="-1"/>
          <w:w w:val="104"/>
          <w:sz w:val="21"/>
          <w:lang w:val="tr-TR"/>
        </w:rPr>
        <w:t xml:space="preserve"> ve</w:t>
      </w:r>
      <w:r w:rsidR="009572BA" w:rsidRPr="001D47B8">
        <w:rPr>
          <w:color w:val="010101"/>
          <w:spacing w:val="-1"/>
          <w:w w:val="104"/>
          <w:sz w:val="21"/>
          <w:lang w:val="tr-TR"/>
        </w:rPr>
        <w:t xml:space="preserve"> uyarılmalarına rağmen bu faaliyeti sonlandırma</w:t>
      </w:r>
      <w:r w:rsidR="008D3F39" w:rsidRPr="001D47B8">
        <w:rPr>
          <w:color w:val="010101"/>
          <w:spacing w:val="-1"/>
          <w:w w:val="104"/>
          <w:sz w:val="21"/>
          <w:lang w:val="tr-TR"/>
        </w:rPr>
        <w:t>yanlar</w:t>
      </w:r>
      <w:r w:rsidR="00A4643A" w:rsidRPr="001D47B8">
        <w:rPr>
          <w:color w:val="010101"/>
          <w:spacing w:val="-1"/>
          <w:w w:val="104"/>
          <w:sz w:val="21"/>
          <w:lang w:val="tr-TR"/>
        </w:rPr>
        <w:t xml:space="preserve">”, </w:t>
      </w:r>
      <w:r w:rsidR="00946408" w:rsidRPr="001D47B8">
        <w:rPr>
          <w:color w:val="010101"/>
          <w:spacing w:val="-1"/>
          <w:w w:val="104"/>
          <w:sz w:val="21"/>
          <w:lang w:val="tr-TR"/>
        </w:rPr>
        <w:t>ya da “İzin vermeye yetkili makamın izin verdiği yer dışında yardım toplayan</w:t>
      </w:r>
      <w:r w:rsidR="008D3F39" w:rsidRPr="001D47B8">
        <w:rPr>
          <w:color w:val="010101"/>
          <w:spacing w:val="-1"/>
          <w:w w:val="104"/>
          <w:sz w:val="21"/>
          <w:lang w:val="tr-TR"/>
        </w:rPr>
        <w:t xml:space="preserve"> ve</w:t>
      </w:r>
      <w:r w:rsidR="00946408" w:rsidRPr="001D47B8">
        <w:rPr>
          <w:color w:val="010101"/>
          <w:spacing w:val="-1"/>
          <w:w w:val="104"/>
          <w:sz w:val="21"/>
          <w:lang w:val="tr-TR"/>
        </w:rPr>
        <w:t xml:space="preserve"> uyarılmalarına rağmen bu faaliyeti sonlandırma</w:t>
      </w:r>
      <w:r w:rsidR="008D3F39" w:rsidRPr="001D47B8">
        <w:rPr>
          <w:color w:val="010101"/>
          <w:spacing w:val="-1"/>
          <w:w w:val="104"/>
          <w:sz w:val="21"/>
          <w:lang w:val="tr-TR"/>
        </w:rPr>
        <w:t>yan</w:t>
      </w:r>
      <w:r w:rsidR="007A1A9F" w:rsidRPr="001D47B8">
        <w:rPr>
          <w:color w:val="010101"/>
          <w:spacing w:val="-1"/>
          <w:w w:val="104"/>
          <w:sz w:val="21"/>
          <w:lang w:val="tr-TR"/>
        </w:rPr>
        <w:t xml:space="preserve"> kişiler ve kuruluşlar</w:t>
      </w:r>
      <w:r w:rsidR="00694CC3" w:rsidRPr="001D47B8">
        <w:rPr>
          <w:color w:val="010101"/>
          <w:spacing w:val="-1"/>
          <w:w w:val="104"/>
          <w:sz w:val="21"/>
          <w:lang w:val="tr-TR"/>
        </w:rPr>
        <w:t>ın</w:t>
      </w:r>
      <w:r w:rsidR="00946408" w:rsidRPr="001D47B8">
        <w:rPr>
          <w:color w:val="010101"/>
          <w:spacing w:val="-1"/>
          <w:w w:val="104"/>
          <w:sz w:val="21"/>
          <w:lang w:val="tr-TR"/>
        </w:rPr>
        <w:t>”</w:t>
      </w:r>
      <w:r w:rsidR="002941AC" w:rsidRPr="001D47B8">
        <w:rPr>
          <w:color w:val="010101"/>
          <w:spacing w:val="-1"/>
          <w:w w:val="104"/>
          <w:sz w:val="21"/>
          <w:lang w:val="tr-TR"/>
        </w:rPr>
        <w:t xml:space="preserve"> </w:t>
      </w:r>
      <w:r w:rsidR="00694CC3" w:rsidRPr="001D47B8">
        <w:rPr>
          <w:color w:val="010101"/>
          <w:spacing w:val="-1"/>
          <w:w w:val="104"/>
          <w:sz w:val="21"/>
          <w:lang w:val="tr-TR"/>
        </w:rPr>
        <w:t xml:space="preserve">hepsine </w:t>
      </w:r>
      <w:r w:rsidR="002941AC" w:rsidRPr="001D47B8">
        <w:rPr>
          <w:color w:val="010101"/>
          <w:spacing w:val="-1"/>
          <w:w w:val="104"/>
          <w:sz w:val="21"/>
          <w:lang w:val="tr-TR"/>
        </w:rPr>
        <w:t xml:space="preserve">asgari beş bin Türk lirası para cezası </w:t>
      </w:r>
      <w:r w:rsidR="002D32A6" w:rsidRPr="001D47B8">
        <w:rPr>
          <w:color w:val="010101"/>
          <w:spacing w:val="-1"/>
          <w:w w:val="104"/>
          <w:sz w:val="21"/>
          <w:lang w:val="tr-TR"/>
        </w:rPr>
        <w:t>verilecektir.</w:t>
      </w:r>
      <w:r w:rsidR="00D05FB7" w:rsidRPr="001D47B8">
        <w:rPr>
          <w:color w:val="010101"/>
          <w:spacing w:val="-1"/>
          <w:w w:val="104"/>
          <w:sz w:val="21"/>
          <w:lang w:val="tr-TR"/>
        </w:rPr>
        <w:t xml:space="preserve"> </w:t>
      </w:r>
      <w:r w:rsidR="000907EB" w:rsidRPr="001D47B8">
        <w:rPr>
          <w:color w:val="010101"/>
          <w:spacing w:val="-1"/>
          <w:w w:val="104"/>
          <w:sz w:val="21"/>
          <w:lang w:val="tr-TR"/>
        </w:rPr>
        <w:t xml:space="preserve">Para cezasının asgari miktarı oldukça yüksek tutulmuştur, ihlalin yapısı ve </w:t>
      </w:r>
      <w:r w:rsidR="00E237B5" w:rsidRPr="001D47B8">
        <w:rPr>
          <w:color w:val="010101"/>
          <w:spacing w:val="-1"/>
          <w:w w:val="104"/>
          <w:sz w:val="21"/>
          <w:lang w:val="tr-TR"/>
        </w:rPr>
        <w:t xml:space="preserve">ciddiyeti dikkate alınarak </w:t>
      </w:r>
      <w:r w:rsidR="00CF1324" w:rsidRPr="001D47B8">
        <w:rPr>
          <w:color w:val="010101"/>
          <w:spacing w:val="-1"/>
          <w:w w:val="104"/>
          <w:sz w:val="21"/>
          <w:lang w:val="tr-TR"/>
        </w:rPr>
        <w:t xml:space="preserve">miktarda </w:t>
      </w:r>
      <w:r w:rsidR="00E237B5" w:rsidRPr="001D47B8">
        <w:rPr>
          <w:color w:val="010101"/>
          <w:spacing w:val="-1"/>
          <w:w w:val="104"/>
          <w:sz w:val="21"/>
          <w:lang w:val="tr-TR"/>
        </w:rPr>
        <w:t xml:space="preserve">bir azaltma </w:t>
      </w:r>
      <w:r w:rsidR="00CF1324" w:rsidRPr="001D47B8">
        <w:rPr>
          <w:color w:val="010101"/>
          <w:spacing w:val="-1"/>
          <w:w w:val="104"/>
          <w:sz w:val="21"/>
          <w:lang w:val="tr-TR"/>
        </w:rPr>
        <w:t xml:space="preserve">yapılmasına izin verilmemektedir, dolayısıyla </w:t>
      </w:r>
      <w:r w:rsidR="00AF3FB0" w:rsidRPr="001D47B8">
        <w:rPr>
          <w:color w:val="010101"/>
          <w:spacing w:val="-1"/>
          <w:w w:val="104"/>
          <w:sz w:val="21"/>
          <w:lang w:val="tr-TR"/>
        </w:rPr>
        <w:t xml:space="preserve">bu durum </w:t>
      </w:r>
      <w:r w:rsidR="00CF1324" w:rsidRPr="001D47B8">
        <w:rPr>
          <w:color w:val="010101"/>
          <w:spacing w:val="-1"/>
          <w:w w:val="104"/>
          <w:sz w:val="21"/>
          <w:lang w:val="tr-TR"/>
        </w:rPr>
        <w:t>ölçülülük ilkesi</w:t>
      </w:r>
      <w:r w:rsidR="00AF3FB0" w:rsidRPr="001D47B8">
        <w:rPr>
          <w:color w:val="010101"/>
          <w:spacing w:val="-1"/>
          <w:w w:val="104"/>
          <w:sz w:val="21"/>
          <w:lang w:val="tr-TR"/>
        </w:rPr>
        <w:t xml:space="preserve">ne aykırıdır. </w:t>
      </w:r>
    </w:p>
    <w:p w14:paraId="26595D69" w14:textId="3F2F4378" w:rsidR="00533F86" w:rsidRPr="001D47B8" w:rsidRDefault="00533F86" w:rsidP="00946408">
      <w:pPr>
        <w:pStyle w:val="ListeParagraf"/>
        <w:tabs>
          <w:tab w:val="left" w:pos="671"/>
        </w:tabs>
        <w:spacing w:line="252" w:lineRule="auto"/>
        <w:ind w:left="124" w:right="322"/>
        <w:rPr>
          <w:color w:val="010101"/>
          <w:spacing w:val="-1"/>
          <w:w w:val="104"/>
          <w:sz w:val="21"/>
          <w:lang w:val="tr-TR"/>
        </w:rPr>
      </w:pPr>
    </w:p>
    <w:p w14:paraId="17AF9CD3" w14:textId="620DB5E0" w:rsidR="0096637C" w:rsidRPr="001D47B8" w:rsidRDefault="0096637C" w:rsidP="001C4B9F">
      <w:pPr>
        <w:pStyle w:val="ListeParagraf"/>
        <w:numPr>
          <w:ilvl w:val="0"/>
          <w:numId w:val="6"/>
        </w:numPr>
        <w:tabs>
          <w:tab w:val="left" w:pos="728"/>
        </w:tabs>
        <w:spacing w:line="252" w:lineRule="auto"/>
        <w:ind w:right="323" w:firstLine="1"/>
        <w:rPr>
          <w:color w:val="010101"/>
          <w:sz w:val="21"/>
          <w:lang w:val="tr-TR"/>
        </w:rPr>
      </w:pPr>
      <w:r w:rsidRPr="001D47B8">
        <w:rPr>
          <w:color w:val="010101"/>
          <w:sz w:val="21"/>
          <w:lang w:val="tr-TR"/>
        </w:rPr>
        <w:t xml:space="preserve">Öte yandan, </w:t>
      </w:r>
      <w:r w:rsidR="002D4364" w:rsidRPr="001D47B8">
        <w:rPr>
          <w:color w:val="010101"/>
          <w:sz w:val="21"/>
          <w:lang w:val="tr-TR"/>
        </w:rPr>
        <w:t>“Bu Kanun hükümlerine aykırı olarak izinsiz yardım toplayan</w:t>
      </w:r>
      <w:r w:rsidR="00832DF0" w:rsidRPr="001D47B8">
        <w:rPr>
          <w:color w:val="010101"/>
          <w:sz w:val="21"/>
          <w:lang w:val="tr-TR"/>
        </w:rPr>
        <w:t xml:space="preserve"> kişilere ya da kuruluşlara</w:t>
      </w:r>
      <w:r w:rsidR="002D4364" w:rsidRPr="001D47B8">
        <w:rPr>
          <w:color w:val="010101"/>
          <w:sz w:val="21"/>
          <w:lang w:val="tr-TR"/>
        </w:rPr>
        <w:t xml:space="preserve"> beş bin Türk lirasından yüz bin Türk lirasına kadar idari para cezası verili</w:t>
      </w:r>
      <w:r w:rsidR="004E03E9" w:rsidRPr="001D47B8">
        <w:rPr>
          <w:color w:val="010101"/>
          <w:sz w:val="21"/>
          <w:lang w:val="tr-TR"/>
        </w:rPr>
        <w:t xml:space="preserve">r” (7262 sayılı Kanun, 10. Madde, 1. fıkra) </w:t>
      </w:r>
      <w:r w:rsidR="00AE00DD" w:rsidRPr="001D47B8">
        <w:rPr>
          <w:color w:val="010101"/>
          <w:sz w:val="21"/>
          <w:lang w:val="tr-TR"/>
        </w:rPr>
        <w:t xml:space="preserve">şeklindeki hüküm, </w:t>
      </w:r>
      <w:r w:rsidR="006D41ED" w:rsidRPr="001D47B8">
        <w:rPr>
          <w:color w:val="010101"/>
          <w:sz w:val="21"/>
          <w:lang w:val="tr-TR"/>
        </w:rPr>
        <w:t xml:space="preserve">takip eden fıkralarda </w:t>
      </w:r>
      <w:r w:rsidR="004D772C" w:rsidRPr="001D47B8">
        <w:rPr>
          <w:color w:val="010101"/>
          <w:sz w:val="21"/>
          <w:lang w:val="tr-TR"/>
        </w:rPr>
        <w:t xml:space="preserve">açıklanan, </w:t>
      </w:r>
      <w:r w:rsidR="006D41ED" w:rsidRPr="001D47B8">
        <w:rPr>
          <w:color w:val="010101"/>
          <w:sz w:val="21"/>
          <w:lang w:val="tr-TR"/>
        </w:rPr>
        <w:t xml:space="preserve">para cezasının verildiği </w:t>
      </w:r>
      <w:r w:rsidR="004D772C" w:rsidRPr="001D47B8">
        <w:rPr>
          <w:color w:val="010101"/>
          <w:sz w:val="21"/>
          <w:lang w:val="tr-TR"/>
        </w:rPr>
        <w:t xml:space="preserve">daha spesifik davranışların tümünü kapsamaktadır. </w:t>
      </w:r>
      <w:r w:rsidR="00CE5778" w:rsidRPr="001D47B8">
        <w:rPr>
          <w:color w:val="010101"/>
          <w:sz w:val="21"/>
          <w:lang w:val="tr-TR"/>
        </w:rPr>
        <w:t xml:space="preserve">“Bu Kanun hükümlerine aykırı olarak </w:t>
      </w:r>
      <w:r w:rsidR="00CE5778" w:rsidRPr="001D47B8">
        <w:rPr>
          <w:color w:val="010101"/>
          <w:sz w:val="21"/>
          <w:lang w:val="tr-TR"/>
        </w:rPr>
        <w:lastRenderedPageBreak/>
        <w:t>izinsiz yardım toplayan kişiler</w:t>
      </w:r>
      <w:r w:rsidR="008D6616">
        <w:rPr>
          <w:color w:val="010101"/>
          <w:sz w:val="21"/>
          <w:lang w:val="tr-TR"/>
        </w:rPr>
        <w:t xml:space="preserve"> </w:t>
      </w:r>
      <w:r w:rsidR="00CE5778" w:rsidRPr="001D47B8">
        <w:rPr>
          <w:color w:val="010101"/>
          <w:sz w:val="21"/>
          <w:lang w:val="tr-TR"/>
        </w:rPr>
        <w:t>ya da kuruluşlar” terimi</w:t>
      </w:r>
      <w:r w:rsidR="00CB2BC7" w:rsidRPr="001D47B8">
        <w:rPr>
          <w:color w:val="010101"/>
          <w:sz w:val="21"/>
          <w:lang w:val="tr-TR"/>
        </w:rPr>
        <w:t>,</w:t>
      </w:r>
      <w:r w:rsidR="00E71B65" w:rsidRPr="001D47B8">
        <w:rPr>
          <w:color w:val="010101"/>
          <w:sz w:val="21"/>
          <w:lang w:val="tr-TR"/>
        </w:rPr>
        <w:t xml:space="preserve"> “ </w:t>
      </w:r>
      <w:r w:rsidR="008D6616">
        <w:rPr>
          <w:color w:val="010101"/>
          <w:sz w:val="21"/>
          <w:lang w:val="tr-TR"/>
        </w:rPr>
        <w:t>i</w:t>
      </w:r>
      <w:r w:rsidR="00E71B65" w:rsidRPr="001D47B8">
        <w:rPr>
          <w:color w:val="010101"/>
          <w:spacing w:val="-1"/>
          <w:w w:val="104"/>
          <w:sz w:val="21"/>
          <w:lang w:val="tr-TR"/>
        </w:rPr>
        <w:t>zin vermeye yetkili makamın izin verdiği yer dışında yardım toplayan ve uyarılmalarına rağmen bu faaliyeti sonlandırmayan kişiler ve kuruluşlar</w:t>
      </w:r>
      <w:r w:rsidR="004520CE" w:rsidRPr="001D47B8">
        <w:rPr>
          <w:color w:val="010101"/>
          <w:spacing w:val="-1"/>
          <w:w w:val="104"/>
          <w:sz w:val="21"/>
          <w:lang w:val="tr-TR"/>
        </w:rPr>
        <w:t xml:space="preserve"> vs.</w:t>
      </w:r>
      <w:r w:rsidR="00CB2BC7" w:rsidRPr="001D47B8">
        <w:rPr>
          <w:color w:val="010101"/>
          <w:spacing w:val="-1"/>
          <w:w w:val="104"/>
          <w:sz w:val="21"/>
          <w:lang w:val="tr-TR"/>
        </w:rPr>
        <w:t>” teriminden</w:t>
      </w:r>
      <w:r w:rsidR="00C83B8B" w:rsidRPr="001D47B8">
        <w:rPr>
          <w:color w:val="010101"/>
          <w:spacing w:val="-1"/>
          <w:w w:val="104"/>
          <w:sz w:val="21"/>
          <w:lang w:val="tr-TR"/>
        </w:rPr>
        <w:t xml:space="preserve"> </w:t>
      </w:r>
      <w:r w:rsidR="00CB2BC7" w:rsidRPr="001D47B8">
        <w:rPr>
          <w:color w:val="010101"/>
          <w:spacing w:val="-1"/>
          <w:w w:val="104"/>
          <w:sz w:val="21"/>
          <w:lang w:val="tr-TR"/>
        </w:rPr>
        <w:t xml:space="preserve">daha geniş kapsamlıdır. </w:t>
      </w:r>
      <w:r w:rsidR="007D2734" w:rsidRPr="001D47B8">
        <w:rPr>
          <w:color w:val="010101"/>
          <w:spacing w:val="-1"/>
          <w:w w:val="104"/>
          <w:sz w:val="21"/>
          <w:lang w:val="tr-TR"/>
        </w:rPr>
        <w:t xml:space="preserve">Dolayısıyla </w:t>
      </w:r>
      <w:r w:rsidR="00C83B8B" w:rsidRPr="001D47B8">
        <w:rPr>
          <w:color w:val="010101"/>
          <w:spacing w:val="-1"/>
          <w:w w:val="104"/>
          <w:sz w:val="21"/>
          <w:lang w:val="tr-TR"/>
        </w:rPr>
        <w:t>idari makamlar</w:t>
      </w:r>
      <w:r w:rsidR="003674FB" w:rsidRPr="001D47B8">
        <w:rPr>
          <w:color w:val="010101"/>
          <w:spacing w:val="-1"/>
          <w:w w:val="104"/>
          <w:sz w:val="21"/>
          <w:lang w:val="tr-TR"/>
        </w:rPr>
        <w:t>a</w:t>
      </w:r>
      <w:r w:rsidR="00C83B8B" w:rsidRPr="001D47B8">
        <w:rPr>
          <w:color w:val="010101"/>
          <w:spacing w:val="-1"/>
          <w:w w:val="104"/>
          <w:sz w:val="21"/>
          <w:lang w:val="tr-TR"/>
        </w:rPr>
        <w:t xml:space="preserve"> kanunu uygularken aynı davranış </w:t>
      </w:r>
      <w:r w:rsidR="004520CE" w:rsidRPr="001D47B8">
        <w:rPr>
          <w:color w:val="010101"/>
          <w:spacing w:val="-1"/>
          <w:w w:val="104"/>
          <w:sz w:val="21"/>
          <w:lang w:val="tr-TR"/>
        </w:rPr>
        <w:t xml:space="preserve">için birden fazla </w:t>
      </w:r>
      <w:r w:rsidR="003674FB" w:rsidRPr="001D47B8">
        <w:rPr>
          <w:color w:val="010101"/>
          <w:spacing w:val="-1"/>
          <w:w w:val="104"/>
          <w:sz w:val="21"/>
          <w:lang w:val="tr-TR"/>
        </w:rPr>
        <w:t>hüküm arasında seçim yapma yetkisi verilmektedir.</w:t>
      </w:r>
      <w:r w:rsidR="007033BF" w:rsidRPr="001D47B8">
        <w:rPr>
          <w:color w:val="010101"/>
          <w:spacing w:val="-1"/>
          <w:w w:val="104"/>
          <w:sz w:val="21"/>
          <w:lang w:val="tr-TR"/>
        </w:rPr>
        <w:t xml:space="preserve"> Bu tür bir yetki, öngörülebilirlik, </w:t>
      </w:r>
      <w:r w:rsidR="0095574B" w:rsidRPr="001D47B8">
        <w:rPr>
          <w:color w:val="010101"/>
          <w:spacing w:val="-1"/>
          <w:w w:val="104"/>
          <w:sz w:val="21"/>
          <w:lang w:val="tr-TR"/>
        </w:rPr>
        <w:t>makul olma ve ölçülülük ilkeleri</w:t>
      </w:r>
      <w:r w:rsidR="00A014F2" w:rsidRPr="001D47B8">
        <w:rPr>
          <w:color w:val="010101"/>
          <w:spacing w:val="-1"/>
          <w:w w:val="104"/>
          <w:sz w:val="21"/>
          <w:lang w:val="tr-TR"/>
        </w:rPr>
        <w:t>nin ihlali anlamına gelmektedir.</w:t>
      </w:r>
      <w:r w:rsidR="00A014F2" w:rsidRPr="001D47B8">
        <w:rPr>
          <w:rStyle w:val="DipnotBavurusu"/>
          <w:color w:val="010101"/>
          <w:spacing w:val="-1"/>
          <w:w w:val="104"/>
          <w:sz w:val="21"/>
          <w:lang w:val="tr-TR"/>
        </w:rPr>
        <w:footnoteReference w:id="53"/>
      </w:r>
      <w:r w:rsidR="00A014F2" w:rsidRPr="001D47B8">
        <w:rPr>
          <w:color w:val="010101"/>
          <w:spacing w:val="-1"/>
          <w:w w:val="104"/>
          <w:sz w:val="21"/>
          <w:lang w:val="tr-TR"/>
        </w:rPr>
        <w:t xml:space="preserve"> Dahası, </w:t>
      </w:r>
      <w:r w:rsidR="003E2EC2" w:rsidRPr="001D47B8">
        <w:rPr>
          <w:color w:val="010101"/>
          <w:spacing w:val="-1"/>
          <w:w w:val="104"/>
          <w:sz w:val="21"/>
          <w:lang w:val="tr-TR"/>
        </w:rPr>
        <w:t xml:space="preserve">para cezaları Avrupa İnsan Hakları Sözleşmesinin 6. maddesi anlamında “suç isnadı” niteliğini taşımasına rağmen, </w:t>
      </w:r>
      <w:r w:rsidR="00FD1989" w:rsidRPr="001D47B8">
        <w:rPr>
          <w:color w:val="010101"/>
          <w:spacing w:val="-1"/>
          <w:w w:val="104"/>
          <w:sz w:val="21"/>
          <w:lang w:val="tr-TR"/>
        </w:rPr>
        <w:t xml:space="preserve">idari makamlar hiçbir yargı denetimi olmadan </w:t>
      </w:r>
      <w:r w:rsidR="00863D9F" w:rsidRPr="001D47B8">
        <w:rPr>
          <w:color w:val="010101"/>
          <w:spacing w:val="-1"/>
          <w:w w:val="104"/>
          <w:sz w:val="21"/>
          <w:lang w:val="tr-TR"/>
        </w:rPr>
        <w:t>idari para ceza</w:t>
      </w:r>
      <w:r w:rsidR="00863D9F">
        <w:rPr>
          <w:color w:val="010101"/>
          <w:spacing w:val="-1"/>
          <w:w w:val="104"/>
          <w:sz w:val="21"/>
          <w:lang w:val="tr-TR"/>
        </w:rPr>
        <w:t>sı</w:t>
      </w:r>
      <w:r w:rsidR="00863D9F" w:rsidRPr="001D47B8">
        <w:rPr>
          <w:color w:val="010101"/>
          <w:spacing w:val="-1"/>
          <w:w w:val="104"/>
          <w:sz w:val="21"/>
          <w:lang w:val="tr-TR"/>
        </w:rPr>
        <w:t xml:space="preserve"> </w:t>
      </w:r>
      <w:r w:rsidR="00FD1989" w:rsidRPr="001D47B8">
        <w:rPr>
          <w:color w:val="010101"/>
          <w:spacing w:val="-1"/>
          <w:w w:val="104"/>
          <w:sz w:val="21"/>
          <w:lang w:val="tr-TR"/>
        </w:rPr>
        <w:t>vermektedir</w:t>
      </w:r>
      <w:r w:rsidR="003E2EC2" w:rsidRPr="001D47B8">
        <w:rPr>
          <w:color w:val="010101"/>
          <w:spacing w:val="-1"/>
          <w:w w:val="104"/>
          <w:sz w:val="21"/>
          <w:lang w:val="tr-TR"/>
        </w:rPr>
        <w:t xml:space="preserve">. </w:t>
      </w:r>
    </w:p>
    <w:p w14:paraId="359DD909" w14:textId="77777777" w:rsidR="0096637C" w:rsidRPr="001D47B8" w:rsidRDefault="0096637C" w:rsidP="0096637C">
      <w:pPr>
        <w:pStyle w:val="ListeParagraf"/>
        <w:tabs>
          <w:tab w:val="left" w:pos="728"/>
        </w:tabs>
        <w:spacing w:line="252" w:lineRule="auto"/>
        <w:ind w:left="124" w:right="323" w:firstLine="0"/>
        <w:rPr>
          <w:color w:val="010101"/>
          <w:sz w:val="21"/>
          <w:lang w:val="tr-TR"/>
        </w:rPr>
      </w:pPr>
    </w:p>
    <w:p w14:paraId="1F598D2D" w14:textId="03FDAB20" w:rsidR="00BA620F" w:rsidRPr="001D47B8" w:rsidRDefault="00BA620F" w:rsidP="00F51A36">
      <w:pPr>
        <w:pStyle w:val="ListeParagraf"/>
        <w:numPr>
          <w:ilvl w:val="0"/>
          <w:numId w:val="6"/>
        </w:numPr>
        <w:tabs>
          <w:tab w:val="left" w:pos="839"/>
        </w:tabs>
        <w:spacing w:line="214" w:lineRule="exact"/>
        <w:ind w:left="125" w:right="320" w:firstLine="0"/>
        <w:rPr>
          <w:lang w:val="tr-TR"/>
        </w:rPr>
      </w:pPr>
      <w:r w:rsidRPr="001D47B8">
        <w:rPr>
          <w:color w:val="010101"/>
          <w:sz w:val="21"/>
          <w:lang w:val="tr-TR"/>
        </w:rPr>
        <w:t>Yardım Toplama Kanununun 16. maddesi (7262 sayılı Kanunun 9. maddesine göre)</w:t>
      </w:r>
      <w:r w:rsidR="00CA248B" w:rsidRPr="001D47B8">
        <w:rPr>
          <w:color w:val="010101"/>
          <w:sz w:val="21"/>
          <w:lang w:val="tr-TR"/>
        </w:rPr>
        <w:t xml:space="preserve"> uyarınca, </w:t>
      </w:r>
      <w:r w:rsidR="00896776" w:rsidRPr="001D47B8">
        <w:rPr>
          <w:color w:val="010101"/>
          <w:sz w:val="21"/>
          <w:lang w:val="tr-TR"/>
        </w:rPr>
        <w:t>denetim ile görevlendirilenler mahkeme emri olmadan yardım toplama faaliyetiyle ilgili olan</w:t>
      </w:r>
      <w:r w:rsidR="00362C01" w:rsidRPr="001D47B8">
        <w:rPr>
          <w:color w:val="010101"/>
          <w:sz w:val="21"/>
          <w:lang w:val="tr-TR"/>
        </w:rPr>
        <w:t>lardan bilgi ve belge isteme yetkisine sahiptir.</w:t>
      </w:r>
      <w:r w:rsidR="00C3662D" w:rsidRPr="001D47B8">
        <w:rPr>
          <w:color w:val="010101"/>
          <w:sz w:val="21"/>
          <w:lang w:val="tr-TR"/>
        </w:rPr>
        <w:t xml:space="preserve"> Tük makamlarına göre, denetçilerin yardım toplama faaliyetiyle ilgili olan</w:t>
      </w:r>
      <w:r w:rsidR="00612C99" w:rsidRPr="001D47B8">
        <w:rPr>
          <w:color w:val="010101"/>
          <w:sz w:val="21"/>
          <w:lang w:val="tr-TR"/>
        </w:rPr>
        <w:t>lardan bilg</w:t>
      </w:r>
      <w:r w:rsidR="00E16A4B" w:rsidRPr="001D47B8">
        <w:rPr>
          <w:color w:val="010101"/>
          <w:sz w:val="21"/>
          <w:lang w:val="tr-TR"/>
        </w:rPr>
        <w:t>i</w:t>
      </w:r>
      <w:r w:rsidR="00612C99" w:rsidRPr="001D47B8">
        <w:rPr>
          <w:color w:val="010101"/>
          <w:sz w:val="21"/>
          <w:lang w:val="tr-TR"/>
        </w:rPr>
        <w:t xml:space="preserve"> ve belge isteme yetkisinin sınırları kanunda çok kesin olarak belirlenmiştir: </w:t>
      </w:r>
      <w:r w:rsidR="005333DC" w:rsidRPr="001D47B8">
        <w:rPr>
          <w:color w:val="010101"/>
          <w:sz w:val="21"/>
          <w:lang w:val="tr-TR"/>
        </w:rPr>
        <w:t xml:space="preserve">bu yetki, sadece belli </w:t>
      </w:r>
      <w:r w:rsidR="003A0E7C" w:rsidRPr="001D47B8">
        <w:rPr>
          <w:color w:val="010101"/>
          <w:sz w:val="21"/>
          <w:lang w:val="tr-TR"/>
        </w:rPr>
        <w:t xml:space="preserve">bir </w:t>
      </w:r>
      <w:r w:rsidR="005333DC" w:rsidRPr="001D47B8">
        <w:rPr>
          <w:color w:val="010101"/>
          <w:sz w:val="21"/>
          <w:lang w:val="tr-TR"/>
        </w:rPr>
        <w:t xml:space="preserve">denetim faaliyeti çerçevesinde ve </w:t>
      </w:r>
      <w:r w:rsidR="003A0E7C" w:rsidRPr="001D47B8">
        <w:rPr>
          <w:color w:val="010101"/>
          <w:sz w:val="21"/>
          <w:lang w:val="tr-TR"/>
        </w:rPr>
        <w:t xml:space="preserve">ancak </w:t>
      </w:r>
      <w:r w:rsidR="00480E60" w:rsidRPr="001D47B8">
        <w:rPr>
          <w:color w:val="010101"/>
          <w:sz w:val="21"/>
          <w:lang w:val="tr-TR"/>
        </w:rPr>
        <w:t>denetim görevi kapsamına giren hususla sınırlı olarak</w:t>
      </w:r>
      <w:r w:rsidR="003A0E7C" w:rsidRPr="001D47B8">
        <w:rPr>
          <w:color w:val="010101"/>
          <w:sz w:val="21"/>
          <w:lang w:val="tr-TR"/>
        </w:rPr>
        <w:t xml:space="preserve"> kullanılabilir. Yine de, bu yetkinin meşruiyeti ve gerekliliği sorgulanabilir</w:t>
      </w:r>
      <w:r w:rsidR="00E449E8" w:rsidRPr="001D47B8">
        <w:rPr>
          <w:color w:val="010101"/>
          <w:sz w:val="21"/>
          <w:lang w:val="tr-TR"/>
        </w:rPr>
        <w:t>;</w:t>
      </w:r>
      <w:r w:rsidR="003A0E7C" w:rsidRPr="001D47B8">
        <w:rPr>
          <w:color w:val="010101"/>
          <w:sz w:val="21"/>
          <w:lang w:val="tr-TR"/>
        </w:rPr>
        <w:t xml:space="preserve"> zira </w:t>
      </w:r>
      <w:r w:rsidR="00E23189" w:rsidRPr="001D47B8">
        <w:rPr>
          <w:color w:val="010101"/>
          <w:sz w:val="21"/>
          <w:lang w:val="tr-TR"/>
        </w:rPr>
        <w:t xml:space="preserve">bu yetkinin kullanımı, </w:t>
      </w:r>
      <w:r w:rsidR="0099046F" w:rsidRPr="001D47B8">
        <w:rPr>
          <w:color w:val="010101"/>
          <w:sz w:val="21"/>
          <w:lang w:val="tr-TR"/>
        </w:rPr>
        <w:t xml:space="preserve">müvekkillerin, sivil toplum örgütlerinin üyelerinin ve kurucularının </w:t>
      </w:r>
      <w:r w:rsidR="000A088A" w:rsidRPr="001D47B8">
        <w:rPr>
          <w:color w:val="010101"/>
          <w:sz w:val="21"/>
          <w:lang w:val="tr-TR"/>
        </w:rPr>
        <w:t xml:space="preserve">özel hayatın gizliliği hakkına potansiyel olarak geniş ve kontrolsüz bir müdahale anlamına gelmektedir. </w:t>
      </w:r>
      <w:r w:rsidR="000A088A" w:rsidRPr="001D47B8">
        <w:rPr>
          <w:rStyle w:val="DipnotBavurusu"/>
          <w:color w:val="010101"/>
          <w:sz w:val="21"/>
          <w:lang w:val="tr-TR"/>
        </w:rPr>
        <w:footnoteReference w:id="54"/>
      </w:r>
    </w:p>
    <w:p w14:paraId="429904BF" w14:textId="77777777" w:rsidR="00BA620F" w:rsidRPr="001D47B8" w:rsidRDefault="00BA620F" w:rsidP="00BA620F">
      <w:pPr>
        <w:pStyle w:val="ListeParagraf"/>
        <w:tabs>
          <w:tab w:val="left" w:pos="839"/>
        </w:tabs>
        <w:spacing w:line="214" w:lineRule="exact"/>
        <w:ind w:left="125" w:right="320" w:firstLine="0"/>
        <w:rPr>
          <w:color w:val="010101"/>
          <w:sz w:val="21"/>
          <w:lang w:val="tr-TR"/>
        </w:rPr>
      </w:pPr>
    </w:p>
    <w:p w14:paraId="1A0924F2" w14:textId="310F6088" w:rsidR="005314BE" w:rsidRPr="001D47B8" w:rsidRDefault="005314BE" w:rsidP="001C4B9F">
      <w:pPr>
        <w:pStyle w:val="ListeParagraf"/>
        <w:numPr>
          <w:ilvl w:val="0"/>
          <w:numId w:val="6"/>
        </w:numPr>
        <w:tabs>
          <w:tab w:val="left" w:pos="671"/>
        </w:tabs>
        <w:spacing w:line="252" w:lineRule="auto"/>
        <w:ind w:left="124" w:right="323" w:firstLine="3"/>
        <w:rPr>
          <w:color w:val="010101"/>
          <w:sz w:val="21"/>
          <w:lang w:val="tr-TR"/>
        </w:rPr>
      </w:pPr>
      <w:r w:rsidRPr="001D47B8">
        <w:rPr>
          <w:color w:val="010101"/>
          <w:sz w:val="21"/>
          <w:lang w:val="tr-TR"/>
        </w:rPr>
        <w:t>Venedik Komisyonu</w:t>
      </w:r>
      <w:r w:rsidR="000D1153" w:rsidRPr="001D47B8">
        <w:rPr>
          <w:color w:val="010101"/>
          <w:sz w:val="21"/>
          <w:lang w:val="tr-TR"/>
        </w:rPr>
        <w:t xml:space="preserve">, </w:t>
      </w:r>
      <w:r w:rsidR="00AA07C1" w:rsidRPr="001D47B8">
        <w:rPr>
          <w:color w:val="010101"/>
          <w:sz w:val="21"/>
          <w:lang w:val="tr-TR"/>
        </w:rPr>
        <w:t xml:space="preserve">derneklerin yardım toplama faaliyetleri ile ilgili hükümlerin </w:t>
      </w:r>
      <w:r w:rsidR="00D07C60" w:rsidRPr="001D47B8">
        <w:rPr>
          <w:color w:val="010101"/>
          <w:sz w:val="21"/>
          <w:lang w:val="tr-TR"/>
        </w:rPr>
        <w:t>örgütlenme özgürlüğün</w:t>
      </w:r>
      <w:r w:rsidR="0087486A" w:rsidRPr="001D47B8">
        <w:rPr>
          <w:color w:val="010101"/>
          <w:sz w:val="21"/>
          <w:lang w:val="tr-TR"/>
        </w:rPr>
        <w:t>e yönelik</w:t>
      </w:r>
      <w:r w:rsidR="00D07C60" w:rsidRPr="001D47B8">
        <w:rPr>
          <w:color w:val="010101"/>
          <w:sz w:val="21"/>
          <w:lang w:val="tr-TR"/>
        </w:rPr>
        <w:t xml:space="preserve"> çok ciddi </w:t>
      </w:r>
      <w:r w:rsidR="0087486A" w:rsidRPr="001D47B8">
        <w:rPr>
          <w:color w:val="010101"/>
          <w:sz w:val="21"/>
          <w:lang w:val="tr-TR"/>
        </w:rPr>
        <w:t xml:space="preserve">bir kısıtlama </w:t>
      </w:r>
      <w:r w:rsidR="00C828D4" w:rsidRPr="001D47B8">
        <w:rPr>
          <w:color w:val="010101"/>
          <w:sz w:val="21"/>
          <w:lang w:val="tr-TR"/>
        </w:rPr>
        <w:t xml:space="preserve">anlamına geldiği kanaatindedir. </w:t>
      </w:r>
      <w:r w:rsidR="00397164" w:rsidRPr="001D47B8">
        <w:rPr>
          <w:color w:val="010101"/>
          <w:sz w:val="21"/>
          <w:lang w:val="tr-TR"/>
        </w:rPr>
        <w:t>Üstelik</w:t>
      </w:r>
      <w:r w:rsidR="00C828D4" w:rsidRPr="001D47B8">
        <w:rPr>
          <w:color w:val="010101"/>
          <w:sz w:val="21"/>
          <w:lang w:val="tr-TR"/>
        </w:rPr>
        <w:t xml:space="preserve">, </w:t>
      </w:r>
      <w:r w:rsidR="00B00561" w:rsidRPr="001D47B8">
        <w:rPr>
          <w:color w:val="010101"/>
          <w:sz w:val="21"/>
          <w:lang w:val="tr-TR"/>
        </w:rPr>
        <w:t>kanun değişiklikleri keyfi uygulamaya ve ayrımcı tedbirlere yol açmaktadır. Komisyon</w:t>
      </w:r>
      <w:r w:rsidR="00392AB3" w:rsidRPr="001D47B8">
        <w:rPr>
          <w:color w:val="010101"/>
          <w:sz w:val="21"/>
          <w:lang w:val="tr-TR"/>
        </w:rPr>
        <w:t xml:space="preserve">, fonların prensipte terörist faaliyetlerin finansmanı için kullanılabileceğini kabul etmektedir. Bununla birlikte, </w:t>
      </w:r>
      <w:r w:rsidR="004B7DF4" w:rsidRPr="001D47B8">
        <w:rPr>
          <w:color w:val="010101"/>
          <w:sz w:val="21"/>
          <w:lang w:val="tr-TR"/>
        </w:rPr>
        <w:t>ayrım gözetmeyen bir</w:t>
      </w:r>
      <w:r w:rsidR="00F624EB" w:rsidRPr="001D47B8">
        <w:rPr>
          <w:color w:val="010101"/>
          <w:sz w:val="21"/>
          <w:lang w:val="tr-TR"/>
        </w:rPr>
        <w:t xml:space="preserve"> kapsam</w:t>
      </w:r>
      <w:r w:rsidR="004B7DF4" w:rsidRPr="001D47B8">
        <w:rPr>
          <w:color w:val="010101"/>
          <w:sz w:val="21"/>
          <w:lang w:val="tr-TR"/>
        </w:rPr>
        <w:t>a sahip kanun hükümleri</w:t>
      </w:r>
      <w:r w:rsidR="00712AF9" w:rsidRPr="001D47B8">
        <w:rPr>
          <w:color w:val="010101"/>
          <w:sz w:val="21"/>
          <w:lang w:val="tr-TR"/>
        </w:rPr>
        <w:t>nin</w:t>
      </w:r>
      <w:r w:rsidR="00386D2A" w:rsidRPr="001D47B8">
        <w:rPr>
          <w:color w:val="010101"/>
          <w:sz w:val="21"/>
          <w:lang w:val="tr-TR"/>
        </w:rPr>
        <w:t xml:space="preserve"> gereklilik ve ölçülülük ilkelerine uyma</w:t>
      </w:r>
      <w:r w:rsidR="004D501A" w:rsidRPr="001D47B8">
        <w:rPr>
          <w:color w:val="010101"/>
          <w:sz w:val="21"/>
          <w:lang w:val="tr-TR"/>
        </w:rPr>
        <w:t>dı</w:t>
      </w:r>
      <w:r w:rsidR="00712AF9" w:rsidRPr="001D47B8">
        <w:rPr>
          <w:color w:val="010101"/>
          <w:sz w:val="21"/>
          <w:lang w:val="tr-TR"/>
        </w:rPr>
        <w:t xml:space="preserve">ğı görülmektedir. Dahası, </w:t>
      </w:r>
      <w:r w:rsidR="001836F2" w:rsidRPr="001D47B8">
        <w:rPr>
          <w:color w:val="010101"/>
          <w:sz w:val="21"/>
          <w:lang w:val="tr-TR"/>
        </w:rPr>
        <w:t xml:space="preserve">kısıtlamaların tümünün kanun ile öngörülmüş olma şartına uygun olup olmadığı da şüphelidir. </w:t>
      </w:r>
      <w:r w:rsidR="00824768" w:rsidRPr="001D47B8">
        <w:rPr>
          <w:color w:val="010101"/>
          <w:sz w:val="21"/>
          <w:lang w:val="tr-TR"/>
        </w:rPr>
        <w:t xml:space="preserve">Yargı denetimi sistemi kısıtlıdır ve idari para cezaları ile ilgili olarak yargı denetiminde eksiklikler bulunmaktadır. </w:t>
      </w:r>
    </w:p>
    <w:p w14:paraId="35F7061E" w14:textId="60B27607" w:rsidR="00824768" w:rsidRPr="001D47B8" w:rsidRDefault="00824768" w:rsidP="00824768">
      <w:pPr>
        <w:pStyle w:val="ListeParagraf"/>
        <w:tabs>
          <w:tab w:val="left" w:pos="671"/>
        </w:tabs>
        <w:spacing w:line="252" w:lineRule="auto"/>
        <w:ind w:left="127" w:right="323" w:firstLine="0"/>
        <w:rPr>
          <w:color w:val="010101"/>
          <w:sz w:val="21"/>
          <w:lang w:val="tr-TR"/>
        </w:rPr>
      </w:pPr>
    </w:p>
    <w:p w14:paraId="3C4B48E9" w14:textId="3D55AC2D" w:rsidR="001B3C12" w:rsidRPr="001D47B8" w:rsidRDefault="00C77180" w:rsidP="00780E38">
      <w:pPr>
        <w:pStyle w:val="Balk2"/>
        <w:spacing w:line="247" w:lineRule="auto"/>
        <w:ind w:left="695" w:right="332" w:hanging="3"/>
        <w:jc w:val="both"/>
        <w:rPr>
          <w:lang w:val="tr-TR"/>
        </w:rPr>
      </w:pPr>
      <w:bookmarkStart w:id="7" w:name="_TOC_250004"/>
      <w:r w:rsidRPr="001D47B8">
        <w:rPr>
          <w:color w:val="010101"/>
          <w:w w:val="105"/>
          <w:lang w:val="tr-TR"/>
        </w:rPr>
        <w:t>2.</w:t>
      </w:r>
      <w:r w:rsidRPr="001D47B8">
        <w:rPr>
          <w:color w:val="010101"/>
          <w:spacing w:val="37"/>
          <w:w w:val="105"/>
          <w:lang w:val="tr-TR"/>
        </w:rPr>
        <w:t xml:space="preserve"> </w:t>
      </w:r>
      <w:r w:rsidR="00780E38" w:rsidRPr="001D47B8">
        <w:rPr>
          <w:color w:val="010101"/>
          <w:w w:val="105"/>
          <w:lang w:val="tr-TR"/>
        </w:rPr>
        <w:t>Terör ile ilgili suçlardan mahkûm olan kişilerin idari görevlerinin sona erdirilmesi (Dernekler Kanununun değiştirilen 3. Maddesi)</w:t>
      </w:r>
      <w:r w:rsidR="00780E38" w:rsidRPr="001D47B8">
        <w:rPr>
          <w:color w:val="010101"/>
          <w:spacing w:val="53"/>
          <w:w w:val="105"/>
          <w:lang w:val="tr-TR"/>
        </w:rPr>
        <w:tab/>
      </w:r>
      <w:bookmarkEnd w:id="7"/>
    </w:p>
    <w:p w14:paraId="2F38F135" w14:textId="77777777" w:rsidR="001B3C12" w:rsidRPr="001D47B8" w:rsidRDefault="001B3C12" w:rsidP="001C4B9F">
      <w:pPr>
        <w:pStyle w:val="GvdeMetni"/>
        <w:spacing w:before="9"/>
        <w:jc w:val="both"/>
        <w:rPr>
          <w:b/>
          <w:sz w:val="22"/>
          <w:lang w:val="tr-TR"/>
        </w:rPr>
      </w:pPr>
    </w:p>
    <w:p w14:paraId="62D32267" w14:textId="3B71271A" w:rsidR="00FB31DE" w:rsidRPr="001D47B8" w:rsidRDefault="00824768" w:rsidP="00201E7F">
      <w:pPr>
        <w:pStyle w:val="ListeParagraf"/>
        <w:numPr>
          <w:ilvl w:val="0"/>
          <w:numId w:val="6"/>
        </w:numPr>
        <w:tabs>
          <w:tab w:val="left" w:pos="671"/>
        </w:tabs>
        <w:spacing w:line="252" w:lineRule="auto"/>
        <w:ind w:left="127" w:right="322" w:firstLine="0"/>
        <w:rPr>
          <w:color w:val="010101"/>
          <w:sz w:val="21"/>
          <w:lang w:val="tr-TR"/>
        </w:rPr>
      </w:pPr>
      <w:r w:rsidRPr="001D47B8">
        <w:rPr>
          <w:color w:val="010101"/>
          <w:sz w:val="21"/>
          <w:lang w:val="tr-TR"/>
        </w:rPr>
        <w:t>7262 sayılı Kanunun 12. maddesi</w:t>
      </w:r>
      <w:r w:rsidR="00670052" w:rsidRPr="001D47B8">
        <w:rPr>
          <w:color w:val="010101"/>
          <w:sz w:val="21"/>
          <w:lang w:val="tr-TR"/>
        </w:rPr>
        <w:t xml:space="preserve"> ile 5253 sayılı Dernekler Kanununun 3. maddesine yeni bir fıkra</w:t>
      </w:r>
      <w:r w:rsidR="00DA1AD5" w:rsidRPr="001D47B8">
        <w:rPr>
          <w:color w:val="010101"/>
          <w:sz w:val="21"/>
          <w:lang w:val="tr-TR"/>
        </w:rPr>
        <w:t>ya göre</w:t>
      </w:r>
      <w:r w:rsidR="00704099" w:rsidRPr="001D47B8">
        <w:rPr>
          <w:color w:val="010101"/>
          <w:sz w:val="21"/>
          <w:lang w:val="tr-TR"/>
        </w:rPr>
        <w:t xml:space="preserve">, </w:t>
      </w:r>
      <w:r w:rsidR="000F7B3A" w:rsidRPr="001D47B8">
        <w:rPr>
          <w:color w:val="010101"/>
          <w:sz w:val="21"/>
          <w:lang w:val="tr-TR"/>
        </w:rPr>
        <w:t>“</w:t>
      </w:r>
      <w:r w:rsidR="00FB31DE" w:rsidRPr="001D47B8">
        <w:rPr>
          <w:color w:val="010101"/>
          <w:sz w:val="21"/>
          <w:lang w:val="tr-TR"/>
        </w:rPr>
        <w:t xml:space="preserve">5237 sayılı Türk Ceza Kanununun </w:t>
      </w:r>
      <w:r w:rsidR="00231ABD" w:rsidRPr="001D47B8">
        <w:rPr>
          <w:color w:val="010101"/>
          <w:sz w:val="21"/>
          <w:lang w:val="tr-TR"/>
        </w:rPr>
        <w:t xml:space="preserve">(TCK) </w:t>
      </w:r>
      <w:r w:rsidR="00FB31DE" w:rsidRPr="001D47B8">
        <w:rPr>
          <w:color w:val="010101"/>
          <w:sz w:val="21"/>
          <w:lang w:val="tr-TR"/>
        </w:rPr>
        <w:t>53</w:t>
      </w:r>
      <w:r w:rsidR="00231ABD" w:rsidRPr="001D47B8">
        <w:rPr>
          <w:color w:val="010101"/>
          <w:sz w:val="21"/>
          <w:lang w:val="tr-TR"/>
        </w:rPr>
        <w:t xml:space="preserve">. </w:t>
      </w:r>
      <w:r w:rsidR="00FB31DE" w:rsidRPr="001D47B8">
        <w:rPr>
          <w:color w:val="010101"/>
          <w:sz w:val="21"/>
          <w:lang w:val="tr-TR"/>
        </w:rPr>
        <w:t xml:space="preserve">maddesinde belirtilen süreler geçmiş veya affa uğramış olsa bile; 6415 sayılı Terörizmin Finansmanının Önlenmesi Hakkında Kanun kapsamında yer alan suçlar ile Türk Ceza Kanununda yer alan uyuşturucu veya uyarıcı madde imal ve ticareti </w:t>
      </w:r>
      <w:r w:rsidR="0016766C" w:rsidRPr="001D47B8">
        <w:rPr>
          <w:color w:val="010101"/>
          <w:sz w:val="21"/>
          <w:lang w:val="tr-TR"/>
        </w:rPr>
        <w:t xml:space="preserve">(5237 </w:t>
      </w:r>
      <w:r w:rsidR="00231ABD" w:rsidRPr="001D47B8">
        <w:rPr>
          <w:color w:val="010101"/>
          <w:sz w:val="21"/>
          <w:lang w:val="tr-TR"/>
        </w:rPr>
        <w:t>sayılı</w:t>
      </w:r>
      <w:r w:rsidR="0016766C" w:rsidRPr="001D47B8">
        <w:rPr>
          <w:color w:val="010101"/>
          <w:sz w:val="21"/>
          <w:lang w:val="tr-TR"/>
        </w:rPr>
        <w:t xml:space="preserve"> TCK, 188. Madde) </w:t>
      </w:r>
      <w:r w:rsidR="00FB31DE" w:rsidRPr="001D47B8">
        <w:rPr>
          <w:color w:val="010101"/>
          <w:sz w:val="21"/>
          <w:lang w:val="tr-TR"/>
        </w:rPr>
        <w:t xml:space="preserve">veya suçtan kaynaklanan malvarlığı değerlerini aklama suçlarından </w:t>
      </w:r>
      <w:r w:rsidR="000D4484" w:rsidRPr="001D47B8">
        <w:rPr>
          <w:color w:val="010101"/>
          <w:sz w:val="21"/>
          <w:lang w:val="tr-TR"/>
        </w:rPr>
        <w:t xml:space="preserve">(TCK, 282. Madde) </w:t>
      </w:r>
      <w:r w:rsidR="00FB31DE" w:rsidRPr="001D47B8">
        <w:rPr>
          <w:color w:val="010101"/>
          <w:sz w:val="21"/>
          <w:lang w:val="tr-TR"/>
        </w:rPr>
        <w:t>mahkûm olanlar</w:t>
      </w:r>
      <w:r w:rsidR="00866890">
        <w:rPr>
          <w:color w:val="010101"/>
          <w:sz w:val="21"/>
          <w:lang w:val="tr-TR"/>
        </w:rPr>
        <w:t>,</w:t>
      </w:r>
      <w:r w:rsidR="00FB31DE" w:rsidRPr="001D47B8">
        <w:rPr>
          <w:color w:val="010101"/>
          <w:sz w:val="21"/>
          <w:lang w:val="tr-TR"/>
        </w:rPr>
        <w:t xml:space="preserve"> derneklerin genel kurul dışındaki organlarında görev alamazlar.</w:t>
      </w:r>
      <w:r w:rsidR="00704099" w:rsidRPr="001D47B8">
        <w:rPr>
          <w:color w:val="010101"/>
          <w:sz w:val="21"/>
          <w:lang w:val="tr-TR"/>
        </w:rPr>
        <w:t xml:space="preserve"> </w:t>
      </w:r>
      <w:r w:rsidR="00FB31DE" w:rsidRPr="001D47B8">
        <w:rPr>
          <w:color w:val="010101"/>
          <w:sz w:val="21"/>
          <w:lang w:val="tr-TR"/>
        </w:rPr>
        <w:t>Yasaklanmış hakların geri verilmesi kararı verildiği takdirde bu fıkra hükümleri uygulanmaz.”</w:t>
      </w:r>
    </w:p>
    <w:p w14:paraId="4DFEE844" w14:textId="77777777" w:rsidR="00FB31DE" w:rsidRPr="001D47B8" w:rsidRDefault="00FB31DE" w:rsidP="00824768">
      <w:pPr>
        <w:pStyle w:val="ListeParagraf"/>
        <w:tabs>
          <w:tab w:val="left" w:pos="671"/>
        </w:tabs>
        <w:spacing w:line="252" w:lineRule="auto"/>
        <w:ind w:left="127" w:right="322" w:firstLine="0"/>
        <w:rPr>
          <w:color w:val="010101"/>
          <w:sz w:val="21"/>
          <w:lang w:val="tr-TR"/>
        </w:rPr>
      </w:pPr>
    </w:p>
    <w:p w14:paraId="767AC278" w14:textId="1BCB6438" w:rsidR="00DC5C36" w:rsidRPr="001D47B8" w:rsidRDefault="00DC5C36" w:rsidP="001C4B9F">
      <w:pPr>
        <w:pStyle w:val="ListeParagraf"/>
        <w:numPr>
          <w:ilvl w:val="0"/>
          <w:numId w:val="6"/>
        </w:numPr>
        <w:tabs>
          <w:tab w:val="left" w:pos="671"/>
        </w:tabs>
        <w:spacing w:line="252" w:lineRule="auto"/>
        <w:ind w:right="320" w:firstLine="4"/>
        <w:rPr>
          <w:color w:val="010101"/>
          <w:sz w:val="21"/>
          <w:lang w:val="tr-TR"/>
        </w:rPr>
      </w:pPr>
      <w:r w:rsidRPr="001D47B8">
        <w:rPr>
          <w:color w:val="010101"/>
          <w:sz w:val="21"/>
          <w:lang w:val="tr-TR"/>
        </w:rPr>
        <w:t xml:space="preserve">Türk </w:t>
      </w:r>
      <w:r w:rsidR="000633FB" w:rsidRPr="001D47B8">
        <w:rPr>
          <w:color w:val="010101"/>
          <w:sz w:val="21"/>
          <w:lang w:val="tr-TR"/>
        </w:rPr>
        <w:t xml:space="preserve">makamlarının verdiği bilgiye göre, </w:t>
      </w:r>
      <w:r w:rsidR="00EC7D57" w:rsidRPr="001D47B8">
        <w:rPr>
          <w:color w:val="010101"/>
          <w:sz w:val="21"/>
          <w:lang w:val="tr-TR"/>
        </w:rPr>
        <w:t>Adli Sicil Kanunun</w:t>
      </w:r>
      <w:r w:rsidR="004E595A" w:rsidRPr="001D47B8">
        <w:rPr>
          <w:color w:val="010101"/>
          <w:sz w:val="21"/>
          <w:lang w:val="tr-TR"/>
        </w:rPr>
        <w:t>un</w:t>
      </w:r>
      <w:r w:rsidR="00EC7D57" w:rsidRPr="001D47B8">
        <w:rPr>
          <w:color w:val="010101"/>
          <w:sz w:val="21"/>
          <w:lang w:val="tr-TR"/>
        </w:rPr>
        <w:t xml:space="preserve"> </w:t>
      </w:r>
      <w:r w:rsidR="0019556D" w:rsidRPr="001D47B8">
        <w:rPr>
          <w:color w:val="010101"/>
          <w:sz w:val="21"/>
          <w:lang w:val="tr-TR"/>
        </w:rPr>
        <w:t>13/A</w:t>
      </w:r>
      <w:r w:rsidR="00EC7D57" w:rsidRPr="001D47B8">
        <w:rPr>
          <w:color w:val="010101"/>
          <w:sz w:val="21"/>
          <w:lang w:val="tr-TR"/>
        </w:rPr>
        <w:t xml:space="preserve"> </w:t>
      </w:r>
      <w:r w:rsidR="004E595A" w:rsidRPr="001D47B8">
        <w:rPr>
          <w:color w:val="010101"/>
          <w:sz w:val="21"/>
          <w:lang w:val="tr-TR"/>
        </w:rPr>
        <w:t xml:space="preserve">sayılı Maddesi </w:t>
      </w:r>
      <w:r w:rsidR="00194FAE" w:rsidRPr="001D47B8">
        <w:rPr>
          <w:color w:val="010101"/>
          <w:sz w:val="21"/>
          <w:lang w:val="tr-TR"/>
        </w:rPr>
        <w:t xml:space="preserve">ile </w:t>
      </w:r>
      <w:r w:rsidR="00AF0A01" w:rsidRPr="001D47B8">
        <w:rPr>
          <w:color w:val="010101"/>
          <w:sz w:val="21"/>
          <w:lang w:val="tr-TR"/>
        </w:rPr>
        <w:t>yasaklanmış hakların geri verilmesi</w:t>
      </w:r>
      <w:r w:rsidR="00194FAE" w:rsidRPr="001D47B8">
        <w:rPr>
          <w:color w:val="010101"/>
          <w:sz w:val="21"/>
          <w:lang w:val="tr-TR"/>
        </w:rPr>
        <w:t xml:space="preserve"> düzenlenmektedir. Bunun anlamı, </w:t>
      </w:r>
      <w:r w:rsidR="004E595A" w:rsidRPr="001D47B8">
        <w:rPr>
          <w:color w:val="010101"/>
          <w:sz w:val="21"/>
          <w:lang w:val="tr-TR"/>
        </w:rPr>
        <w:t xml:space="preserve">13/A sayılı Madde </w:t>
      </w:r>
      <w:r w:rsidR="0019556D" w:rsidRPr="001D47B8">
        <w:rPr>
          <w:color w:val="010101"/>
          <w:sz w:val="21"/>
          <w:lang w:val="tr-TR"/>
        </w:rPr>
        <w:t xml:space="preserve">ile belirlenen koşullar karşılanırsa, </w:t>
      </w:r>
      <w:r w:rsidR="002C40C7" w:rsidRPr="001D47B8">
        <w:rPr>
          <w:color w:val="010101"/>
          <w:sz w:val="21"/>
          <w:lang w:val="tr-TR"/>
        </w:rPr>
        <w:t xml:space="preserve">yasaklanmış hakların geri iade edildiğine dair alınan bir mahkeme emrini takiben, </w:t>
      </w:r>
      <w:r w:rsidR="00C12B75" w:rsidRPr="001D47B8">
        <w:rPr>
          <w:color w:val="010101"/>
          <w:sz w:val="21"/>
          <w:lang w:val="tr-TR"/>
        </w:rPr>
        <w:t xml:space="preserve">5253 sayılı Kanunun 3. maddesine göre </w:t>
      </w:r>
      <w:r w:rsidR="00BA3C66" w:rsidRPr="001D47B8">
        <w:rPr>
          <w:color w:val="010101"/>
          <w:sz w:val="21"/>
          <w:lang w:val="tr-TR"/>
        </w:rPr>
        <w:t>derneklerde görev alması yasaklanmış olan kişiler</w:t>
      </w:r>
      <w:r w:rsidR="002C40C7" w:rsidRPr="001D47B8">
        <w:rPr>
          <w:color w:val="010101"/>
          <w:sz w:val="21"/>
          <w:lang w:val="tr-TR"/>
        </w:rPr>
        <w:t xml:space="preserve"> görevlerin</w:t>
      </w:r>
      <w:r w:rsidR="00E53520">
        <w:rPr>
          <w:color w:val="010101"/>
          <w:sz w:val="21"/>
          <w:lang w:val="tr-TR"/>
        </w:rPr>
        <w:t>e</w:t>
      </w:r>
      <w:r w:rsidR="002C40C7" w:rsidRPr="001D47B8">
        <w:rPr>
          <w:color w:val="010101"/>
          <w:sz w:val="21"/>
          <w:lang w:val="tr-TR"/>
        </w:rPr>
        <w:t xml:space="preserve"> geri </w:t>
      </w:r>
      <w:r w:rsidR="00E53520">
        <w:rPr>
          <w:color w:val="010101"/>
          <w:sz w:val="21"/>
          <w:lang w:val="tr-TR"/>
        </w:rPr>
        <w:t>dönebilir</w:t>
      </w:r>
      <w:r w:rsidR="002C40C7" w:rsidRPr="001D47B8">
        <w:rPr>
          <w:color w:val="010101"/>
          <w:sz w:val="21"/>
          <w:lang w:val="tr-TR"/>
        </w:rPr>
        <w:t xml:space="preserve">. </w:t>
      </w:r>
      <w:r w:rsidR="004C454F" w:rsidRPr="001D47B8">
        <w:rPr>
          <w:color w:val="010101"/>
          <w:sz w:val="21"/>
          <w:lang w:val="tr-TR"/>
        </w:rPr>
        <w:t xml:space="preserve">Türk makamları ayrıca, </w:t>
      </w:r>
      <w:r w:rsidR="00B10D43" w:rsidRPr="001D47B8">
        <w:rPr>
          <w:color w:val="010101"/>
          <w:sz w:val="21"/>
          <w:lang w:val="tr-TR"/>
        </w:rPr>
        <w:t xml:space="preserve">mahkûm olunan cezanın infazının tamamlandığı tarihten itibaren üç </w:t>
      </w:r>
      <w:r w:rsidR="003707B6" w:rsidRPr="001D47B8">
        <w:rPr>
          <w:color w:val="010101"/>
          <w:sz w:val="21"/>
          <w:lang w:val="tr-TR"/>
        </w:rPr>
        <w:t xml:space="preserve">yıl geçtikten sonra ilgili kişilerin </w:t>
      </w:r>
      <w:r w:rsidR="0099748F" w:rsidRPr="001D47B8">
        <w:rPr>
          <w:color w:val="010101"/>
          <w:sz w:val="21"/>
          <w:lang w:val="tr-TR"/>
        </w:rPr>
        <w:t xml:space="preserve">yasaklanmış hakların geri verilmesi için mahkemeye başvurabileceğini açıklamıştır. </w:t>
      </w:r>
      <w:r w:rsidR="00450372" w:rsidRPr="001D47B8">
        <w:rPr>
          <w:color w:val="010101"/>
          <w:sz w:val="21"/>
          <w:lang w:val="tr-TR"/>
        </w:rPr>
        <w:t>Ancak, Türkiye’de terörle mücadele kanunlarını</w:t>
      </w:r>
      <w:r w:rsidR="006017D7" w:rsidRPr="001D47B8">
        <w:rPr>
          <w:color w:val="010101"/>
          <w:sz w:val="21"/>
          <w:lang w:val="tr-TR"/>
        </w:rPr>
        <w:t>n</w:t>
      </w:r>
      <w:r w:rsidR="00450372" w:rsidRPr="001D47B8">
        <w:rPr>
          <w:color w:val="010101"/>
          <w:sz w:val="21"/>
          <w:lang w:val="tr-TR"/>
        </w:rPr>
        <w:t xml:space="preserve"> geniş </w:t>
      </w:r>
      <w:r w:rsidR="002D48AA" w:rsidRPr="001D47B8">
        <w:rPr>
          <w:color w:val="010101"/>
          <w:sz w:val="21"/>
          <w:lang w:val="tr-TR"/>
        </w:rPr>
        <w:t xml:space="preserve">olarak </w:t>
      </w:r>
      <w:r w:rsidR="00450372" w:rsidRPr="001D47B8">
        <w:rPr>
          <w:color w:val="010101"/>
          <w:sz w:val="21"/>
          <w:lang w:val="tr-TR"/>
        </w:rPr>
        <w:t>yorumlan</w:t>
      </w:r>
      <w:r w:rsidR="002D48AA" w:rsidRPr="001D47B8">
        <w:rPr>
          <w:color w:val="010101"/>
          <w:sz w:val="21"/>
          <w:lang w:val="tr-TR"/>
        </w:rPr>
        <w:t>dığı</w:t>
      </w:r>
      <w:r w:rsidR="00450372" w:rsidRPr="001D47B8">
        <w:rPr>
          <w:color w:val="010101"/>
          <w:sz w:val="21"/>
          <w:lang w:val="tr-TR"/>
        </w:rPr>
        <w:t xml:space="preserve"> ve uygulan</w:t>
      </w:r>
      <w:r w:rsidR="002D48AA" w:rsidRPr="001D47B8">
        <w:rPr>
          <w:color w:val="010101"/>
          <w:sz w:val="21"/>
          <w:lang w:val="tr-TR"/>
        </w:rPr>
        <w:t>dığı</w:t>
      </w:r>
      <w:r w:rsidR="006017D7" w:rsidRPr="001D47B8">
        <w:rPr>
          <w:color w:val="010101"/>
          <w:sz w:val="21"/>
          <w:lang w:val="tr-TR"/>
        </w:rPr>
        <w:t xml:space="preserve"> dikkate alındığında ve </w:t>
      </w:r>
      <w:r w:rsidR="00AA2B9E" w:rsidRPr="001D47B8">
        <w:rPr>
          <w:color w:val="010101"/>
          <w:sz w:val="21"/>
          <w:lang w:val="tr-TR"/>
        </w:rPr>
        <w:t xml:space="preserve">yargının işleyişine yönelik endişeler </w:t>
      </w:r>
      <w:r w:rsidR="00E9291B" w:rsidRPr="001D47B8">
        <w:rPr>
          <w:color w:val="010101"/>
          <w:sz w:val="21"/>
          <w:lang w:val="tr-TR"/>
        </w:rPr>
        <w:t>ışığında</w:t>
      </w:r>
      <w:r w:rsidR="00640260" w:rsidRPr="001D47B8">
        <w:rPr>
          <w:rStyle w:val="DipnotBavurusu"/>
          <w:color w:val="010101"/>
          <w:sz w:val="21"/>
          <w:lang w:val="tr-TR"/>
        </w:rPr>
        <w:footnoteReference w:id="55"/>
      </w:r>
      <w:r w:rsidR="00640260" w:rsidRPr="001D47B8">
        <w:rPr>
          <w:color w:val="010101"/>
          <w:sz w:val="21"/>
          <w:lang w:val="tr-TR"/>
        </w:rPr>
        <w:t>Komisyon</w:t>
      </w:r>
      <w:r w:rsidR="002C4657" w:rsidRPr="001D47B8">
        <w:rPr>
          <w:color w:val="010101"/>
          <w:sz w:val="21"/>
          <w:lang w:val="tr-TR"/>
        </w:rPr>
        <w:t>, geçici bir yasaklamanın yıllarca sürebileceğ</w:t>
      </w:r>
      <w:r w:rsidR="00722DB7" w:rsidRPr="001D47B8">
        <w:rPr>
          <w:color w:val="010101"/>
          <w:sz w:val="21"/>
          <w:lang w:val="tr-TR"/>
        </w:rPr>
        <w:t xml:space="preserve">i ihtimalini </w:t>
      </w:r>
      <w:r w:rsidR="003F6686" w:rsidRPr="001D47B8">
        <w:rPr>
          <w:color w:val="010101"/>
          <w:sz w:val="21"/>
          <w:lang w:val="tr-TR"/>
        </w:rPr>
        <w:t xml:space="preserve">yok sayamaz. </w:t>
      </w:r>
      <w:r w:rsidR="00B476D0" w:rsidRPr="001D47B8">
        <w:rPr>
          <w:color w:val="010101"/>
          <w:sz w:val="21"/>
          <w:lang w:val="tr-TR"/>
        </w:rPr>
        <w:t xml:space="preserve">Dahası, </w:t>
      </w:r>
      <w:r w:rsidR="004E595A" w:rsidRPr="001D47B8">
        <w:rPr>
          <w:color w:val="010101"/>
          <w:sz w:val="21"/>
          <w:lang w:val="tr-TR"/>
        </w:rPr>
        <w:t>Adli Sicil Kanununun 13/A sayılı Madde</w:t>
      </w:r>
      <w:r w:rsidR="0060112B" w:rsidRPr="001D47B8">
        <w:rPr>
          <w:color w:val="010101"/>
          <w:sz w:val="21"/>
          <w:lang w:val="tr-TR"/>
        </w:rPr>
        <w:t xml:space="preserve">si uyarınca yapılan başvuru sonucunda geçici bir yasaklama daimi bir yasaklamaya </w:t>
      </w:r>
      <w:r w:rsidR="008A09EE" w:rsidRPr="001D47B8">
        <w:rPr>
          <w:color w:val="010101"/>
          <w:sz w:val="21"/>
          <w:lang w:val="tr-TR"/>
        </w:rPr>
        <w:t>dönüşebilmektedir. Komisyon, Türk makamlarına haklardan yoksun bırakılma süre</w:t>
      </w:r>
      <w:r w:rsidR="0008050F" w:rsidRPr="001D47B8">
        <w:rPr>
          <w:color w:val="010101"/>
          <w:sz w:val="21"/>
          <w:lang w:val="tr-TR"/>
        </w:rPr>
        <w:t>leri</w:t>
      </w:r>
      <w:r w:rsidR="008A09EE" w:rsidRPr="001D47B8">
        <w:rPr>
          <w:color w:val="010101"/>
          <w:sz w:val="21"/>
          <w:lang w:val="tr-TR"/>
        </w:rPr>
        <w:t xml:space="preserve">nin ölçülülük ilkesine uyması gerektiğini hatırlatır. </w:t>
      </w:r>
    </w:p>
    <w:p w14:paraId="24084442" w14:textId="77777777" w:rsidR="001B3C12" w:rsidRPr="001D47B8" w:rsidRDefault="001B3C12" w:rsidP="001C4B9F">
      <w:pPr>
        <w:pStyle w:val="GvdeMetni"/>
        <w:spacing w:before="8"/>
        <w:jc w:val="both"/>
        <w:rPr>
          <w:lang w:val="tr-TR"/>
        </w:rPr>
      </w:pPr>
    </w:p>
    <w:p w14:paraId="6C2F4AC7" w14:textId="69DA479B" w:rsidR="001B3C12" w:rsidRPr="001D47B8" w:rsidRDefault="00C77180" w:rsidP="001C4B9F">
      <w:pPr>
        <w:pStyle w:val="Balk2"/>
        <w:spacing w:line="247" w:lineRule="auto"/>
        <w:ind w:left="692" w:right="776" w:firstLine="2"/>
        <w:jc w:val="both"/>
        <w:rPr>
          <w:lang w:val="tr-TR"/>
        </w:rPr>
      </w:pPr>
      <w:bookmarkStart w:id="8" w:name="_TOC_250003"/>
      <w:r w:rsidRPr="001D47B8">
        <w:rPr>
          <w:color w:val="010101"/>
          <w:w w:val="105"/>
          <w:lang w:val="tr-TR"/>
        </w:rPr>
        <w:t>3.</w:t>
      </w:r>
      <w:bookmarkEnd w:id="8"/>
      <w:r w:rsidR="00D933B3" w:rsidRPr="001D47B8">
        <w:rPr>
          <w:color w:val="010101"/>
          <w:w w:val="105"/>
          <w:lang w:val="tr-TR"/>
        </w:rPr>
        <w:tab/>
      </w:r>
      <w:r w:rsidR="00EC2C2E" w:rsidRPr="00EC2C2E">
        <w:rPr>
          <w:color w:val="010101"/>
          <w:w w:val="105"/>
          <w:lang w:val="tr-TR"/>
        </w:rPr>
        <w:t xml:space="preserve">STÖ’lerin terörist unsurlar tarafından istismarını tespite yönelik denetimlerin ve risk değerlendirmesinin kapsamı </w:t>
      </w:r>
      <w:r w:rsidR="00D933B3" w:rsidRPr="001D47B8">
        <w:rPr>
          <w:color w:val="010101"/>
          <w:w w:val="105"/>
          <w:lang w:val="tr-TR"/>
        </w:rPr>
        <w:t>(Dernekler Kanununun değiştirilen 19(2). Maddesi )</w:t>
      </w:r>
    </w:p>
    <w:p w14:paraId="6D5493F9" w14:textId="77777777" w:rsidR="001B3C12" w:rsidRPr="001D47B8" w:rsidRDefault="001B3C12" w:rsidP="001C4B9F">
      <w:pPr>
        <w:pStyle w:val="GvdeMetni"/>
        <w:spacing w:before="9"/>
        <w:jc w:val="both"/>
        <w:rPr>
          <w:b/>
          <w:sz w:val="22"/>
          <w:lang w:val="tr-TR"/>
        </w:rPr>
      </w:pPr>
    </w:p>
    <w:p w14:paraId="323BE153" w14:textId="686C3027" w:rsidR="00B76A8B" w:rsidRPr="001D47B8" w:rsidRDefault="00D933B3" w:rsidP="00055373">
      <w:pPr>
        <w:pStyle w:val="ListeParagraf"/>
        <w:numPr>
          <w:ilvl w:val="0"/>
          <w:numId w:val="6"/>
        </w:numPr>
        <w:tabs>
          <w:tab w:val="left" w:pos="671"/>
        </w:tabs>
        <w:spacing w:before="92" w:line="252" w:lineRule="auto"/>
        <w:ind w:left="126" w:right="327" w:firstLine="0"/>
        <w:rPr>
          <w:lang w:val="tr-TR"/>
        </w:rPr>
      </w:pPr>
      <w:r w:rsidRPr="001D47B8">
        <w:rPr>
          <w:color w:val="010101"/>
          <w:sz w:val="21"/>
          <w:lang w:val="tr-TR"/>
        </w:rPr>
        <w:t xml:space="preserve">7262 sayılı Kanunun </w:t>
      </w:r>
      <w:r w:rsidR="00C77180" w:rsidRPr="001D47B8">
        <w:rPr>
          <w:color w:val="010101"/>
          <w:sz w:val="21"/>
          <w:lang w:val="tr-TR"/>
        </w:rPr>
        <w:t>3 (1)</w:t>
      </w:r>
      <w:r w:rsidR="00B76A8B" w:rsidRPr="001D47B8">
        <w:rPr>
          <w:color w:val="010101"/>
          <w:sz w:val="21"/>
          <w:lang w:val="tr-TR"/>
        </w:rPr>
        <w:t>. Maddesi ile Dernekler Kanununun 19 (2). maddesi</w:t>
      </w:r>
      <w:r w:rsidR="00BC3002" w:rsidRPr="001D47B8">
        <w:rPr>
          <w:color w:val="010101"/>
          <w:sz w:val="21"/>
          <w:lang w:val="tr-TR"/>
        </w:rPr>
        <w:t xml:space="preserve">nde yapılan değişiklik </w:t>
      </w:r>
      <w:r w:rsidR="00241D83" w:rsidRPr="001D47B8">
        <w:rPr>
          <w:color w:val="010101"/>
          <w:sz w:val="21"/>
          <w:lang w:val="tr-TR"/>
        </w:rPr>
        <w:t>uyarınca</w:t>
      </w:r>
      <w:r w:rsidR="00BC3002" w:rsidRPr="001D47B8">
        <w:rPr>
          <w:color w:val="010101"/>
          <w:sz w:val="21"/>
          <w:lang w:val="tr-TR"/>
        </w:rPr>
        <w:t xml:space="preserve">, </w:t>
      </w:r>
      <w:r w:rsidR="00C35C6E" w:rsidRPr="001D47B8">
        <w:rPr>
          <w:color w:val="010101"/>
          <w:sz w:val="21"/>
          <w:lang w:val="tr-TR"/>
        </w:rPr>
        <w:t xml:space="preserve">STÖ’lerin </w:t>
      </w:r>
      <w:r w:rsidR="001A6D7E" w:rsidRPr="001D47B8">
        <w:rPr>
          <w:color w:val="010101"/>
          <w:sz w:val="21"/>
          <w:lang w:val="tr-TR"/>
        </w:rPr>
        <w:t xml:space="preserve">tüzüklerinde belirtilen amaçlar doğrultusunda </w:t>
      </w:r>
      <w:r w:rsidR="00C35C6E" w:rsidRPr="001D47B8">
        <w:rPr>
          <w:color w:val="010101"/>
          <w:sz w:val="21"/>
          <w:lang w:val="tr-TR"/>
        </w:rPr>
        <w:t>faaliyet</w:t>
      </w:r>
      <w:r w:rsidR="001A6D7E" w:rsidRPr="001D47B8">
        <w:rPr>
          <w:color w:val="010101"/>
          <w:sz w:val="21"/>
          <w:lang w:val="tr-TR"/>
        </w:rPr>
        <w:t xml:space="preserve"> gösterip göstermediğini ve defter</w:t>
      </w:r>
      <w:r w:rsidR="00C35C6E" w:rsidRPr="001D47B8">
        <w:rPr>
          <w:color w:val="010101"/>
          <w:sz w:val="21"/>
          <w:lang w:val="tr-TR"/>
        </w:rPr>
        <w:t xml:space="preserve"> ve kayıtlarını mevzuata uygun tutup tutmadıklarını tespit etmek üzere, </w:t>
      </w:r>
      <w:r w:rsidR="00A942B3" w:rsidRPr="001D47B8">
        <w:rPr>
          <w:color w:val="010101"/>
          <w:sz w:val="21"/>
          <w:lang w:val="tr-TR"/>
        </w:rPr>
        <w:t>İçişleri Bakanlığı</w:t>
      </w:r>
      <w:r w:rsidR="009D1A7E" w:rsidRPr="001D47B8">
        <w:rPr>
          <w:color w:val="010101"/>
          <w:sz w:val="21"/>
          <w:lang w:val="tr-TR"/>
        </w:rPr>
        <w:t>na</w:t>
      </w:r>
      <w:r w:rsidR="00B41E63" w:rsidRPr="001D47B8">
        <w:rPr>
          <w:color w:val="010101"/>
          <w:sz w:val="21"/>
          <w:lang w:val="tr-TR"/>
        </w:rPr>
        <w:t xml:space="preserve"> derneklere yönelik her yıl denetim yapmak üzere bir kamu görevlisi (herhangi bir devlet memuru</w:t>
      </w:r>
      <w:r w:rsidR="00724676" w:rsidRPr="001D47B8">
        <w:rPr>
          <w:color w:val="010101"/>
          <w:sz w:val="21"/>
          <w:lang w:val="tr-TR"/>
        </w:rPr>
        <w:t xml:space="preserve">) atama yetkisi verilmiştir; bu denetimler, </w:t>
      </w:r>
      <w:r w:rsidR="00A942B3" w:rsidRPr="001D47B8">
        <w:rPr>
          <w:color w:val="010101"/>
          <w:sz w:val="21"/>
          <w:lang w:val="tr-TR"/>
        </w:rPr>
        <w:t xml:space="preserve">yapılacak risk değerlendirmelerine göre üç yılı geçmeyecek şekilde her yıl </w:t>
      </w:r>
      <w:r w:rsidR="00724676" w:rsidRPr="001D47B8">
        <w:rPr>
          <w:color w:val="010101"/>
          <w:sz w:val="21"/>
          <w:lang w:val="tr-TR"/>
        </w:rPr>
        <w:t xml:space="preserve">yapılacaktır. </w:t>
      </w:r>
    </w:p>
    <w:p w14:paraId="37D22189" w14:textId="77777777" w:rsidR="00B76A8B" w:rsidRPr="001D47B8" w:rsidRDefault="00B76A8B" w:rsidP="00B76A8B">
      <w:pPr>
        <w:pStyle w:val="ListeParagraf"/>
        <w:tabs>
          <w:tab w:val="left" w:pos="671"/>
        </w:tabs>
        <w:spacing w:before="92" w:line="252" w:lineRule="auto"/>
        <w:ind w:left="126" w:right="327" w:firstLine="0"/>
        <w:rPr>
          <w:color w:val="010101"/>
          <w:sz w:val="21"/>
          <w:lang w:val="tr-TR"/>
        </w:rPr>
      </w:pPr>
    </w:p>
    <w:p w14:paraId="2BFBB433" w14:textId="1C272F1A" w:rsidR="0014722C" w:rsidRPr="001D47B8" w:rsidRDefault="00646D8E" w:rsidP="001C4B9F">
      <w:pPr>
        <w:pStyle w:val="ListeParagraf"/>
        <w:numPr>
          <w:ilvl w:val="0"/>
          <w:numId w:val="6"/>
        </w:numPr>
        <w:tabs>
          <w:tab w:val="left" w:pos="728"/>
        </w:tabs>
        <w:spacing w:before="1" w:line="249" w:lineRule="auto"/>
        <w:ind w:left="127" w:right="324" w:firstLine="0"/>
        <w:rPr>
          <w:color w:val="010101"/>
          <w:sz w:val="21"/>
          <w:lang w:val="tr-TR"/>
        </w:rPr>
      </w:pPr>
      <w:r w:rsidRPr="001D47B8">
        <w:rPr>
          <w:color w:val="010101"/>
          <w:sz w:val="21"/>
          <w:lang w:val="tr-TR"/>
        </w:rPr>
        <w:t xml:space="preserve">Bunun yanı sıra, 7262 sayılı Kanunun 9. maddesi </w:t>
      </w:r>
      <w:r w:rsidR="0014722C" w:rsidRPr="001D47B8">
        <w:rPr>
          <w:color w:val="010101"/>
          <w:sz w:val="21"/>
          <w:lang w:val="tr-TR"/>
        </w:rPr>
        <w:t>uyarınca denetçiler</w:t>
      </w:r>
      <w:r w:rsidR="008C0F1F" w:rsidRPr="001D47B8">
        <w:rPr>
          <w:color w:val="010101"/>
          <w:sz w:val="21"/>
          <w:lang w:val="tr-TR"/>
        </w:rPr>
        <w:t>,</w:t>
      </w:r>
      <w:r w:rsidR="0014722C" w:rsidRPr="001D47B8">
        <w:rPr>
          <w:color w:val="010101"/>
          <w:sz w:val="21"/>
          <w:lang w:val="tr-TR"/>
        </w:rPr>
        <w:t xml:space="preserve"> </w:t>
      </w:r>
      <w:r w:rsidR="008C0F1F" w:rsidRPr="001D47B8">
        <w:rPr>
          <w:color w:val="010101"/>
          <w:sz w:val="21"/>
          <w:lang w:val="tr-TR"/>
        </w:rPr>
        <w:t>kamu kurum ve kuruluşlarından, bankalar dâhil gerçek ve tüzel kişilerden denetim görevi kapsamına giren hususla sınırlı olarak ilgili bilgi ve belgeyi isteme yetkisine sahiptir</w:t>
      </w:r>
      <w:r w:rsidR="00382567" w:rsidRPr="001D47B8">
        <w:rPr>
          <w:color w:val="010101"/>
          <w:sz w:val="21"/>
          <w:lang w:val="tr-TR"/>
        </w:rPr>
        <w:t>.</w:t>
      </w:r>
    </w:p>
    <w:p w14:paraId="73A7AB30" w14:textId="025F5823" w:rsidR="008C0F1F" w:rsidRPr="001D47B8" w:rsidRDefault="008C0F1F" w:rsidP="008C0F1F">
      <w:pPr>
        <w:pStyle w:val="ListeParagraf"/>
        <w:tabs>
          <w:tab w:val="left" w:pos="728"/>
        </w:tabs>
        <w:spacing w:before="1" w:line="249" w:lineRule="auto"/>
        <w:ind w:left="127" w:right="324" w:firstLine="0"/>
        <w:rPr>
          <w:color w:val="010101"/>
          <w:sz w:val="21"/>
          <w:lang w:val="tr-TR"/>
        </w:rPr>
      </w:pPr>
    </w:p>
    <w:p w14:paraId="15BAA9F8" w14:textId="0C10683A" w:rsidR="001B3C12" w:rsidRPr="001D47B8" w:rsidRDefault="00746EE2" w:rsidP="001C4B9F">
      <w:pPr>
        <w:pStyle w:val="ListeParagraf"/>
        <w:numPr>
          <w:ilvl w:val="0"/>
          <w:numId w:val="4"/>
        </w:numPr>
        <w:tabs>
          <w:tab w:val="left" w:pos="1338"/>
        </w:tabs>
        <w:jc w:val="both"/>
        <w:rPr>
          <w:color w:val="010101"/>
          <w:sz w:val="24"/>
          <w:lang w:val="tr-TR"/>
        </w:rPr>
      </w:pPr>
      <w:r w:rsidRPr="001D47B8">
        <w:rPr>
          <w:i/>
          <w:color w:val="010101"/>
          <w:w w:val="105"/>
          <w:sz w:val="21"/>
          <w:lang w:val="tr-TR"/>
        </w:rPr>
        <w:t xml:space="preserve">Derneklere uygulanan denetimin amaçları </w:t>
      </w:r>
    </w:p>
    <w:p w14:paraId="35175EBE" w14:textId="77777777" w:rsidR="001B3C12" w:rsidRPr="001D47B8" w:rsidRDefault="001B3C12" w:rsidP="001C4B9F">
      <w:pPr>
        <w:pStyle w:val="GvdeMetni"/>
        <w:spacing w:before="3"/>
        <w:jc w:val="both"/>
        <w:rPr>
          <w:i/>
          <w:sz w:val="22"/>
          <w:lang w:val="tr-TR"/>
        </w:rPr>
      </w:pPr>
    </w:p>
    <w:p w14:paraId="4BA55153" w14:textId="649B52B9" w:rsidR="00746EE2" w:rsidRPr="001D47B8" w:rsidRDefault="0005522A" w:rsidP="001C4B9F">
      <w:pPr>
        <w:pStyle w:val="ListeParagraf"/>
        <w:numPr>
          <w:ilvl w:val="0"/>
          <w:numId w:val="6"/>
        </w:numPr>
        <w:tabs>
          <w:tab w:val="left" w:pos="668"/>
        </w:tabs>
        <w:spacing w:line="252" w:lineRule="auto"/>
        <w:ind w:right="317" w:firstLine="4"/>
        <w:rPr>
          <w:color w:val="010101"/>
          <w:sz w:val="21"/>
          <w:lang w:val="tr-TR"/>
        </w:rPr>
      </w:pPr>
      <w:r w:rsidRPr="001D47B8">
        <w:rPr>
          <w:color w:val="010101"/>
          <w:sz w:val="21"/>
          <w:lang w:val="tr-TR"/>
        </w:rPr>
        <w:t xml:space="preserve">Dernekler Kanununun değiştirilmiş 19(2). maddesinde risk değerlendirmesine açık bir vurgu yapılmasına rağmen, </w:t>
      </w:r>
      <w:r w:rsidR="00732AB8" w:rsidRPr="001D47B8">
        <w:rPr>
          <w:color w:val="010101"/>
          <w:sz w:val="21"/>
          <w:lang w:val="tr-TR"/>
        </w:rPr>
        <w:t xml:space="preserve">değerlendirilecek risklerin yapısı ve değerlendirme yolları tanımlanmamıştır. Türk makamlarının verdiği bilgiye göre, </w:t>
      </w:r>
      <w:r w:rsidR="006E175D" w:rsidRPr="001D47B8">
        <w:rPr>
          <w:color w:val="010101"/>
          <w:sz w:val="21"/>
          <w:lang w:val="tr-TR"/>
        </w:rPr>
        <w:t>bu hususlar</w:t>
      </w:r>
      <w:r w:rsidR="00F24813" w:rsidRPr="001D47B8">
        <w:rPr>
          <w:color w:val="010101"/>
          <w:sz w:val="21"/>
          <w:lang w:val="tr-TR"/>
        </w:rPr>
        <w:t>a</w:t>
      </w:r>
      <w:r w:rsidR="006E175D" w:rsidRPr="001D47B8">
        <w:rPr>
          <w:color w:val="010101"/>
          <w:sz w:val="21"/>
          <w:lang w:val="tr-TR"/>
        </w:rPr>
        <w:t xml:space="preserve"> ikincil mevzuat ile </w:t>
      </w:r>
      <w:r w:rsidR="00F24813" w:rsidRPr="001D47B8">
        <w:rPr>
          <w:color w:val="010101"/>
          <w:sz w:val="21"/>
          <w:lang w:val="tr-TR"/>
        </w:rPr>
        <w:t xml:space="preserve">açıklık getirilmektedir. Bununla birlikte, Dernekler Kanununun 19(2). maddesinde ikincil mevzuata </w:t>
      </w:r>
      <w:r w:rsidR="00A27F7D">
        <w:rPr>
          <w:color w:val="010101"/>
          <w:sz w:val="21"/>
          <w:lang w:val="tr-TR"/>
        </w:rPr>
        <w:t xml:space="preserve">dair </w:t>
      </w:r>
      <w:r w:rsidR="00F24813" w:rsidRPr="001D47B8">
        <w:rPr>
          <w:color w:val="010101"/>
          <w:sz w:val="21"/>
          <w:lang w:val="tr-TR"/>
        </w:rPr>
        <w:t xml:space="preserve">herhangi bir atıfta bulunulmamıştır. </w:t>
      </w:r>
      <w:r w:rsidR="006537B0" w:rsidRPr="001D47B8">
        <w:rPr>
          <w:color w:val="010101"/>
          <w:sz w:val="21"/>
          <w:lang w:val="tr-TR"/>
        </w:rPr>
        <w:t xml:space="preserve">Değiştirilmiş 19(2). maddede, </w:t>
      </w:r>
      <w:r w:rsidR="00CE7825" w:rsidRPr="001D47B8">
        <w:rPr>
          <w:color w:val="010101"/>
          <w:sz w:val="21"/>
          <w:lang w:val="tr-TR"/>
        </w:rPr>
        <w:t>denetim</w:t>
      </w:r>
      <w:r w:rsidR="0065682E" w:rsidRPr="001D47B8">
        <w:rPr>
          <w:color w:val="010101"/>
          <w:sz w:val="21"/>
          <w:lang w:val="tr-TR"/>
        </w:rPr>
        <w:t xml:space="preserve"> sürecinde</w:t>
      </w:r>
      <w:r w:rsidR="00CE7825" w:rsidRPr="001D47B8">
        <w:rPr>
          <w:color w:val="010101"/>
          <w:sz w:val="21"/>
          <w:lang w:val="tr-TR"/>
        </w:rPr>
        <w:t xml:space="preserve"> </w:t>
      </w:r>
      <w:r w:rsidR="000F1E76" w:rsidRPr="001D47B8">
        <w:rPr>
          <w:color w:val="010101"/>
          <w:sz w:val="21"/>
          <w:lang w:val="tr-TR"/>
        </w:rPr>
        <w:t>terörizmin finansmanı, kara para aklama ya da terörist faaliyetler</w:t>
      </w:r>
      <w:r w:rsidR="0065682E" w:rsidRPr="001D47B8">
        <w:rPr>
          <w:color w:val="010101"/>
          <w:sz w:val="21"/>
          <w:lang w:val="tr-TR"/>
        </w:rPr>
        <w:t>in</w:t>
      </w:r>
      <w:r w:rsidR="000F1E76" w:rsidRPr="001D47B8">
        <w:rPr>
          <w:color w:val="010101"/>
          <w:sz w:val="21"/>
          <w:lang w:val="tr-TR"/>
        </w:rPr>
        <w:t xml:space="preserve"> </w:t>
      </w:r>
      <w:r w:rsidR="00CE7825" w:rsidRPr="001D47B8">
        <w:rPr>
          <w:color w:val="010101"/>
          <w:sz w:val="21"/>
          <w:lang w:val="tr-TR"/>
        </w:rPr>
        <w:t>kontrol edilmesi</w:t>
      </w:r>
      <w:r w:rsidR="0065682E" w:rsidRPr="001D47B8">
        <w:rPr>
          <w:color w:val="010101"/>
          <w:sz w:val="21"/>
          <w:lang w:val="tr-TR"/>
        </w:rPr>
        <w:t>ne yönelik bir</w:t>
      </w:r>
      <w:r w:rsidR="00CE7825" w:rsidRPr="001D47B8">
        <w:rPr>
          <w:color w:val="010101"/>
          <w:sz w:val="21"/>
          <w:lang w:val="tr-TR"/>
        </w:rPr>
        <w:t xml:space="preserve"> ihtiya</w:t>
      </w:r>
      <w:r w:rsidR="0065682E" w:rsidRPr="001D47B8">
        <w:rPr>
          <w:color w:val="010101"/>
          <w:sz w:val="21"/>
          <w:lang w:val="tr-TR"/>
        </w:rPr>
        <w:t>çtan</w:t>
      </w:r>
      <w:r w:rsidR="00CE7825" w:rsidRPr="001D47B8">
        <w:rPr>
          <w:color w:val="010101"/>
          <w:sz w:val="21"/>
          <w:lang w:val="tr-TR"/>
        </w:rPr>
        <w:t xml:space="preserve"> bahsedilmemektedir. </w:t>
      </w:r>
      <w:r w:rsidR="00181DC1" w:rsidRPr="001D47B8">
        <w:rPr>
          <w:color w:val="010101"/>
          <w:sz w:val="21"/>
          <w:lang w:val="tr-TR"/>
        </w:rPr>
        <w:t xml:space="preserve">1 ve 8 sayılı FATF Tavsiyelerinde terörizmin finansmanı ile mücadelede risk temelli </w:t>
      </w:r>
      <w:r w:rsidR="00D81E82" w:rsidRPr="001D47B8">
        <w:rPr>
          <w:color w:val="010101"/>
          <w:sz w:val="21"/>
          <w:lang w:val="tr-TR"/>
        </w:rPr>
        <w:t xml:space="preserve">bir çalışma yapılması gerektiği vurgulanmaktadır. Risk temelli yaklaşıma göre </w:t>
      </w:r>
      <w:r w:rsidR="00C94652" w:rsidRPr="001D47B8">
        <w:rPr>
          <w:color w:val="010101"/>
          <w:sz w:val="21"/>
          <w:lang w:val="tr-TR"/>
        </w:rPr>
        <w:t xml:space="preserve">riski önlemek için alınan tedbirlerin tanımlanan risklere karşılık gelmesi gerekir. Böylece STÖ’ler ve </w:t>
      </w:r>
      <w:r w:rsidR="004E5954" w:rsidRPr="001D47B8">
        <w:rPr>
          <w:color w:val="010101"/>
          <w:sz w:val="21"/>
          <w:lang w:val="tr-TR"/>
        </w:rPr>
        <w:t>sivil toplum, terörizmin finansmanına karşı bir zafiyet</w:t>
      </w:r>
      <w:r w:rsidR="009A5A67" w:rsidRPr="001D47B8">
        <w:rPr>
          <w:color w:val="010101"/>
          <w:sz w:val="21"/>
          <w:lang w:val="tr-TR"/>
        </w:rPr>
        <w:t xml:space="preserve">leri olup </w:t>
      </w:r>
      <w:r w:rsidR="00190BCB" w:rsidRPr="001D47B8">
        <w:rPr>
          <w:color w:val="010101"/>
          <w:sz w:val="21"/>
          <w:lang w:val="tr-TR"/>
        </w:rPr>
        <w:t>olma</w:t>
      </w:r>
      <w:r w:rsidR="009A5A67" w:rsidRPr="001D47B8">
        <w:rPr>
          <w:color w:val="010101"/>
          <w:sz w:val="21"/>
          <w:lang w:val="tr-TR"/>
        </w:rPr>
        <w:t>ma</w:t>
      </w:r>
      <w:r w:rsidR="00190BCB" w:rsidRPr="001D47B8">
        <w:rPr>
          <w:color w:val="010101"/>
          <w:sz w:val="21"/>
          <w:lang w:val="tr-TR"/>
        </w:rPr>
        <w:t xml:space="preserve">sından bağımsız olarak, yetkililerin </w:t>
      </w:r>
      <w:r w:rsidR="00AC509C" w:rsidRPr="001D47B8">
        <w:rPr>
          <w:color w:val="010101"/>
          <w:sz w:val="21"/>
          <w:lang w:val="tr-TR"/>
        </w:rPr>
        <w:t xml:space="preserve">her şeyi kapsayan </w:t>
      </w:r>
      <w:r w:rsidR="009A5A67" w:rsidRPr="001D47B8">
        <w:rPr>
          <w:color w:val="010101"/>
          <w:sz w:val="21"/>
          <w:lang w:val="tr-TR"/>
        </w:rPr>
        <w:t xml:space="preserve">bir şekilde </w:t>
      </w:r>
      <w:r w:rsidR="008104D0" w:rsidRPr="001D47B8">
        <w:rPr>
          <w:color w:val="010101"/>
          <w:sz w:val="21"/>
          <w:lang w:val="tr-TR"/>
        </w:rPr>
        <w:t xml:space="preserve">üzerlerinde </w:t>
      </w:r>
      <w:r w:rsidR="009A5A67" w:rsidRPr="001D47B8">
        <w:rPr>
          <w:color w:val="010101"/>
          <w:sz w:val="21"/>
          <w:lang w:val="tr-TR"/>
        </w:rPr>
        <w:t>kontrol kurmasın</w:t>
      </w:r>
      <w:r w:rsidR="008104D0">
        <w:rPr>
          <w:color w:val="010101"/>
          <w:sz w:val="21"/>
          <w:lang w:val="tr-TR"/>
        </w:rPr>
        <w:t>a karşı</w:t>
      </w:r>
      <w:r w:rsidR="00AC509C" w:rsidRPr="001D47B8">
        <w:rPr>
          <w:color w:val="010101"/>
          <w:sz w:val="21"/>
          <w:lang w:val="tr-TR"/>
        </w:rPr>
        <w:t xml:space="preserve"> korunmuş olacaktır. </w:t>
      </w:r>
      <w:r w:rsidR="00190BCB" w:rsidRPr="001D47B8">
        <w:rPr>
          <w:color w:val="010101"/>
          <w:sz w:val="21"/>
          <w:lang w:val="tr-TR"/>
        </w:rPr>
        <w:t xml:space="preserve"> </w:t>
      </w:r>
    </w:p>
    <w:p w14:paraId="5041D189" w14:textId="77777777" w:rsidR="00120C89" w:rsidRPr="001D47B8" w:rsidRDefault="00120C89" w:rsidP="001C4B9F">
      <w:pPr>
        <w:pStyle w:val="GvdeMetni"/>
        <w:spacing w:before="11"/>
        <w:jc w:val="both"/>
        <w:rPr>
          <w:lang w:val="tr-TR"/>
        </w:rPr>
      </w:pPr>
    </w:p>
    <w:p w14:paraId="0D6F91EE" w14:textId="0C6BDFB6" w:rsidR="00120C89" w:rsidRPr="001D47B8" w:rsidRDefault="00120C89" w:rsidP="001C4B9F">
      <w:pPr>
        <w:pStyle w:val="ListeParagraf"/>
        <w:numPr>
          <w:ilvl w:val="0"/>
          <w:numId w:val="6"/>
        </w:numPr>
        <w:tabs>
          <w:tab w:val="left" w:pos="671"/>
        </w:tabs>
        <w:spacing w:line="252" w:lineRule="auto"/>
        <w:ind w:right="331" w:firstLine="4"/>
        <w:rPr>
          <w:color w:val="010101"/>
          <w:sz w:val="21"/>
          <w:lang w:val="tr-TR"/>
        </w:rPr>
      </w:pPr>
      <w:r w:rsidRPr="001D47B8">
        <w:rPr>
          <w:color w:val="010101"/>
          <w:w w:val="105"/>
          <w:sz w:val="21"/>
          <w:lang w:val="tr-TR"/>
        </w:rPr>
        <w:t>19 (2)</w:t>
      </w:r>
      <w:r w:rsidR="005B7E2B" w:rsidRPr="001D47B8">
        <w:rPr>
          <w:color w:val="010101"/>
          <w:w w:val="105"/>
          <w:sz w:val="21"/>
          <w:lang w:val="tr-TR"/>
        </w:rPr>
        <w:t xml:space="preserve"> sayılı </w:t>
      </w:r>
      <w:r w:rsidRPr="001D47B8">
        <w:rPr>
          <w:color w:val="010101"/>
          <w:w w:val="105"/>
          <w:sz w:val="21"/>
          <w:lang w:val="tr-TR"/>
        </w:rPr>
        <w:t>madde</w:t>
      </w:r>
      <w:r w:rsidR="000B00E8" w:rsidRPr="001D47B8">
        <w:rPr>
          <w:color w:val="010101"/>
          <w:w w:val="105"/>
          <w:sz w:val="21"/>
          <w:lang w:val="tr-TR"/>
        </w:rPr>
        <w:t>de</w:t>
      </w:r>
      <w:r w:rsidR="00CA1C83" w:rsidRPr="001D47B8">
        <w:rPr>
          <w:color w:val="010101"/>
          <w:w w:val="105"/>
          <w:sz w:val="21"/>
          <w:lang w:val="tr-TR"/>
        </w:rPr>
        <w:t>,</w:t>
      </w:r>
      <w:r w:rsidR="00EF04E8" w:rsidRPr="001D47B8">
        <w:rPr>
          <w:color w:val="010101"/>
          <w:w w:val="105"/>
          <w:sz w:val="21"/>
          <w:lang w:val="tr-TR"/>
        </w:rPr>
        <w:t xml:space="preserve"> STÖ’lerin </w:t>
      </w:r>
      <w:r w:rsidR="00EF04E8" w:rsidRPr="001D47B8">
        <w:rPr>
          <w:color w:val="010101"/>
          <w:sz w:val="21"/>
          <w:lang w:val="tr-TR"/>
        </w:rPr>
        <w:t>tüzüklerinde belirtilen amaçlar doğrultusunda faaliyet gösterip göstermediği</w:t>
      </w:r>
      <w:r w:rsidR="000B00E8" w:rsidRPr="001D47B8">
        <w:rPr>
          <w:color w:val="010101"/>
          <w:sz w:val="21"/>
          <w:lang w:val="tr-TR"/>
        </w:rPr>
        <w:t>ni</w:t>
      </w:r>
      <w:r w:rsidR="00EF04E8" w:rsidRPr="001D47B8">
        <w:rPr>
          <w:color w:val="010101"/>
          <w:sz w:val="21"/>
          <w:lang w:val="tr-TR"/>
        </w:rPr>
        <w:t xml:space="preserve"> ve defter ve kayıtlarını mevzuata uygun tutup tutmadıklarını tespit etmek üzere</w:t>
      </w:r>
      <w:r w:rsidR="001C7DF6" w:rsidRPr="001D47B8">
        <w:rPr>
          <w:color w:val="010101"/>
          <w:sz w:val="21"/>
          <w:lang w:val="tr-TR"/>
        </w:rPr>
        <w:t xml:space="preserve"> uygulanan zorunlu denetim üzerinde durulmaktadır</w:t>
      </w:r>
      <w:r w:rsidR="00B61DD0">
        <w:rPr>
          <w:color w:val="010101"/>
          <w:sz w:val="21"/>
          <w:lang w:val="tr-TR"/>
        </w:rPr>
        <w:t>. N</w:t>
      </w:r>
      <w:r w:rsidR="00A87B72" w:rsidRPr="001D47B8">
        <w:rPr>
          <w:color w:val="010101"/>
          <w:sz w:val="21"/>
          <w:lang w:val="tr-TR"/>
        </w:rPr>
        <w:t>itekim</w:t>
      </w:r>
      <w:r w:rsidR="00797CAC" w:rsidRPr="001D47B8">
        <w:rPr>
          <w:color w:val="010101"/>
          <w:sz w:val="21"/>
          <w:lang w:val="tr-TR"/>
        </w:rPr>
        <w:t xml:space="preserve"> </w:t>
      </w:r>
      <w:r w:rsidR="001C7DF6" w:rsidRPr="001D47B8">
        <w:rPr>
          <w:color w:val="010101"/>
          <w:sz w:val="21"/>
          <w:lang w:val="tr-TR"/>
        </w:rPr>
        <w:t>terörizmin finansmanı ve kara para aklama</w:t>
      </w:r>
      <w:r w:rsidR="00031567" w:rsidRPr="001D47B8">
        <w:rPr>
          <w:color w:val="010101"/>
          <w:sz w:val="21"/>
          <w:lang w:val="tr-TR"/>
        </w:rPr>
        <w:t>ya karşı zafiyet ve riskler</w:t>
      </w:r>
      <w:r w:rsidR="00797CAC" w:rsidRPr="001D47B8">
        <w:rPr>
          <w:color w:val="010101"/>
          <w:sz w:val="21"/>
          <w:lang w:val="tr-TR"/>
        </w:rPr>
        <w:t>den bahsedilmemekte ve bu hususlara</w:t>
      </w:r>
      <w:r w:rsidR="00CA1C83" w:rsidRPr="001D47B8">
        <w:rPr>
          <w:color w:val="010101"/>
          <w:sz w:val="21"/>
          <w:lang w:val="tr-TR"/>
        </w:rPr>
        <w:t xml:space="preserve"> atıfta bulunulmadığı </w:t>
      </w:r>
      <w:r w:rsidR="00A87B72" w:rsidRPr="001D47B8">
        <w:rPr>
          <w:color w:val="010101"/>
          <w:sz w:val="21"/>
          <w:lang w:val="tr-TR"/>
        </w:rPr>
        <w:t>görülmektedir</w:t>
      </w:r>
      <w:r w:rsidR="00CA1C83" w:rsidRPr="001D47B8">
        <w:rPr>
          <w:color w:val="010101"/>
          <w:sz w:val="21"/>
          <w:lang w:val="tr-TR"/>
        </w:rPr>
        <w:t xml:space="preserve">. </w:t>
      </w:r>
    </w:p>
    <w:p w14:paraId="41F19979" w14:textId="44E16A3F" w:rsidR="00120C89" w:rsidRPr="001D47B8" w:rsidRDefault="00120C89" w:rsidP="00120C89">
      <w:pPr>
        <w:pStyle w:val="ListeParagraf"/>
        <w:tabs>
          <w:tab w:val="left" w:pos="671"/>
        </w:tabs>
        <w:spacing w:line="252" w:lineRule="auto"/>
        <w:ind w:left="127" w:right="331" w:firstLine="0"/>
        <w:rPr>
          <w:color w:val="010101"/>
          <w:w w:val="105"/>
          <w:sz w:val="21"/>
          <w:lang w:val="tr-TR"/>
        </w:rPr>
      </w:pPr>
    </w:p>
    <w:p w14:paraId="559F6617" w14:textId="3EEF0672" w:rsidR="00C17535" w:rsidRPr="001D47B8" w:rsidRDefault="00C17535" w:rsidP="001C4B9F">
      <w:pPr>
        <w:pStyle w:val="ListeParagraf"/>
        <w:numPr>
          <w:ilvl w:val="0"/>
          <w:numId w:val="6"/>
        </w:numPr>
        <w:tabs>
          <w:tab w:val="left" w:pos="670"/>
        </w:tabs>
        <w:spacing w:line="252" w:lineRule="auto"/>
        <w:ind w:right="320" w:firstLine="4"/>
        <w:rPr>
          <w:color w:val="010101"/>
          <w:sz w:val="21"/>
          <w:lang w:val="tr-TR"/>
        </w:rPr>
      </w:pPr>
      <w:r w:rsidRPr="001D47B8">
        <w:rPr>
          <w:color w:val="010101"/>
          <w:sz w:val="21"/>
          <w:lang w:val="tr-TR"/>
        </w:rPr>
        <w:t>Venedik Komisyonunun İçişleri Bakanlığı temsilcileri ile yaptığı sanal toplantıda</w:t>
      </w:r>
      <w:r w:rsidR="00FA05A4" w:rsidRPr="001D47B8">
        <w:rPr>
          <w:color w:val="010101"/>
          <w:sz w:val="21"/>
          <w:lang w:val="tr-TR"/>
        </w:rPr>
        <w:t xml:space="preserve">, </w:t>
      </w:r>
      <w:r w:rsidR="00A121AD" w:rsidRPr="001D47B8">
        <w:rPr>
          <w:color w:val="010101"/>
          <w:sz w:val="21"/>
          <w:lang w:val="tr-TR"/>
        </w:rPr>
        <w:t xml:space="preserve">değiştirilmiş </w:t>
      </w:r>
      <w:r w:rsidR="00FA05A4" w:rsidRPr="001D47B8">
        <w:rPr>
          <w:color w:val="010101"/>
          <w:sz w:val="21"/>
          <w:lang w:val="tr-TR"/>
        </w:rPr>
        <w:t>19. maddede</w:t>
      </w:r>
      <w:r w:rsidR="00A121AD" w:rsidRPr="001D47B8">
        <w:rPr>
          <w:color w:val="010101"/>
          <w:sz w:val="21"/>
          <w:lang w:val="tr-TR"/>
        </w:rPr>
        <w:t xml:space="preserve"> bahsedilen risk değerlendirmesinin derneklerin denetiminden önce yapıldığı ve </w:t>
      </w:r>
      <w:r w:rsidR="0018044B" w:rsidRPr="001D47B8">
        <w:rPr>
          <w:color w:val="010101"/>
          <w:sz w:val="21"/>
          <w:lang w:val="tr-TR"/>
        </w:rPr>
        <w:t xml:space="preserve">derneğin hangi risk kategorisinde (düşük, orta, yüksek) olduğu belirlendikten sonra bu kategoriye </w:t>
      </w:r>
      <w:r w:rsidR="006E32C4" w:rsidRPr="001D47B8">
        <w:rPr>
          <w:color w:val="010101"/>
          <w:sz w:val="21"/>
          <w:lang w:val="tr-TR"/>
        </w:rPr>
        <w:t xml:space="preserve">uygun </w:t>
      </w:r>
      <w:r w:rsidR="00702DC1">
        <w:rPr>
          <w:color w:val="010101"/>
          <w:sz w:val="21"/>
          <w:lang w:val="tr-TR"/>
        </w:rPr>
        <w:t xml:space="preserve">düşen </w:t>
      </w:r>
      <w:r w:rsidR="006E32C4" w:rsidRPr="001D47B8">
        <w:rPr>
          <w:color w:val="010101"/>
          <w:sz w:val="21"/>
          <w:lang w:val="tr-TR"/>
        </w:rPr>
        <w:t>denetim</w:t>
      </w:r>
      <w:r w:rsidR="00A81003" w:rsidRPr="001D47B8">
        <w:rPr>
          <w:color w:val="010101"/>
          <w:sz w:val="21"/>
          <w:lang w:val="tr-TR"/>
        </w:rPr>
        <w:t>in</w:t>
      </w:r>
      <w:r w:rsidR="006E32C4" w:rsidRPr="001D47B8">
        <w:rPr>
          <w:color w:val="010101"/>
          <w:sz w:val="21"/>
          <w:lang w:val="tr-TR"/>
        </w:rPr>
        <w:t xml:space="preserve"> yapıldığı, denetimin </w:t>
      </w:r>
      <w:r w:rsidR="00A81003" w:rsidRPr="001D47B8">
        <w:rPr>
          <w:color w:val="010101"/>
          <w:sz w:val="21"/>
          <w:lang w:val="tr-TR"/>
        </w:rPr>
        <w:t>y</w:t>
      </w:r>
      <w:r w:rsidR="006E32C4" w:rsidRPr="001D47B8">
        <w:rPr>
          <w:color w:val="010101"/>
          <w:sz w:val="21"/>
          <w:lang w:val="tr-TR"/>
        </w:rPr>
        <w:t xml:space="preserve">oğunluğunun risk kategorisi ile ölçülü olduğu teyit edilmiştir. </w:t>
      </w:r>
      <w:r w:rsidR="00BB66DC" w:rsidRPr="001D47B8">
        <w:rPr>
          <w:color w:val="010101"/>
          <w:sz w:val="21"/>
          <w:lang w:val="tr-TR"/>
        </w:rPr>
        <w:t>İçişleri Bakanlığı temsilcileri raportörlere</w:t>
      </w:r>
      <w:r w:rsidR="00B6042A" w:rsidRPr="001D47B8">
        <w:rPr>
          <w:color w:val="010101"/>
          <w:sz w:val="21"/>
          <w:lang w:val="tr-TR"/>
        </w:rPr>
        <w:t xml:space="preserve"> ayrıca</w:t>
      </w:r>
      <w:r w:rsidR="00782003" w:rsidRPr="001D47B8">
        <w:rPr>
          <w:color w:val="010101"/>
          <w:sz w:val="21"/>
          <w:lang w:val="tr-TR"/>
        </w:rPr>
        <w:t>, söz konusu</w:t>
      </w:r>
      <w:r w:rsidR="00BB66DC" w:rsidRPr="001D47B8">
        <w:rPr>
          <w:color w:val="010101"/>
          <w:sz w:val="21"/>
          <w:lang w:val="tr-TR"/>
        </w:rPr>
        <w:t xml:space="preserve"> </w:t>
      </w:r>
      <w:r w:rsidR="001D6467" w:rsidRPr="001D47B8">
        <w:rPr>
          <w:color w:val="010101"/>
          <w:sz w:val="21"/>
          <w:lang w:val="tr-TR"/>
        </w:rPr>
        <w:t>hükmün ve denetimin tüm STÖ’ler</w:t>
      </w:r>
      <w:r w:rsidR="00B6042A" w:rsidRPr="001D47B8">
        <w:rPr>
          <w:color w:val="010101"/>
          <w:sz w:val="21"/>
          <w:lang w:val="tr-TR"/>
        </w:rPr>
        <w:t xml:space="preserve">i kapsadığını </w:t>
      </w:r>
      <w:r w:rsidR="001D6467" w:rsidRPr="001D47B8">
        <w:rPr>
          <w:color w:val="010101"/>
          <w:sz w:val="21"/>
          <w:lang w:val="tr-TR"/>
        </w:rPr>
        <w:t xml:space="preserve">bildirmiştir. Bununla birlikte, </w:t>
      </w:r>
      <w:r w:rsidR="00782003" w:rsidRPr="001D47B8">
        <w:rPr>
          <w:color w:val="010101"/>
          <w:sz w:val="21"/>
          <w:lang w:val="tr-TR"/>
        </w:rPr>
        <w:t xml:space="preserve">denetim öncesi yapılan risk değerlendirmesine göre </w:t>
      </w:r>
      <w:r w:rsidR="005D7736" w:rsidRPr="001D47B8">
        <w:rPr>
          <w:color w:val="010101"/>
          <w:sz w:val="21"/>
          <w:lang w:val="tr-TR"/>
        </w:rPr>
        <w:t>bir dernek yüksek risk kategorisine girerse, denetim sırasında faaliyetlerinin amaç</w:t>
      </w:r>
      <w:r w:rsidR="00D81776" w:rsidRPr="001D47B8">
        <w:rPr>
          <w:color w:val="010101"/>
          <w:sz w:val="21"/>
          <w:lang w:val="tr-TR"/>
        </w:rPr>
        <w:t>larına uygun olup olmadığının yanı sıra, terörizmin finansmanına yönelik risk</w:t>
      </w:r>
      <w:r w:rsidR="006E2B26" w:rsidRPr="001D47B8">
        <w:rPr>
          <w:color w:val="010101"/>
          <w:sz w:val="21"/>
          <w:lang w:val="tr-TR"/>
        </w:rPr>
        <w:t xml:space="preserve"> bakımından da</w:t>
      </w:r>
      <w:r w:rsidR="00D81776" w:rsidRPr="001D47B8">
        <w:rPr>
          <w:color w:val="010101"/>
          <w:sz w:val="21"/>
          <w:lang w:val="tr-TR"/>
        </w:rPr>
        <w:t xml:space="preserve"> incelenecektir. </w:t>
      </w:r>
      <w:r w:rsidR="006E2B26" w:rsidRPr="001D47B8">
        <w:rPr>
          <w:color w:val="010101"/>
          <w:sz w:val="21"/>
          <w:lang w:val="tr-TR"/>
        </w:rPr>
        <w:t xml:space="preserve">Bu durum, risk değerlendirmesinin </w:t>
      </w:r>
      <w:r w:rsidR="006035CA" w:rsidRPr="001D47B8">
        <w:rPr>
          <w:color w:val="010101"/>
          <w:sz w:val="21"/>
          <w:lang w:val="tr-TR"/>
        </w:rPr>
        <w:t xml:space="preserve">STÖ’ler üzerindeki hükümet kontrolünü artırmak </w:t>
      </w:r>
      <w:r w:rsidR="00B61874" w:rsidRPr="001D47B8">
        <w:rPr>
          <w:color w:val="010101"/>
          <w:sz w:val="21"/>
          <w:lang w:val="tr-TR"/>
        </w:rPr>
        <w:t xml:space="preserve">için bir bahane </w:t>
      </w:r>
      <w:r w:rsidR="00F84824" w:rsidRPr="001D47B8">
        <w:rPr>
          <w:color w:val="010101"/>
          <w:sz w:val="21"/>
          <w:lang w:val="tr-TR"/>
        </w:rPr>
        <w:t xml:space="preserve">olduğunu ve esas önceliğin suç sayılan </w:t>
      </w:r>
      <w:r w:rsidR="00516B64" w:rsidRPr="001D47B8">
        <w:rPr>
          <w:color w:val="010101"/>
          <w:sz w:val="21"/>
          <w:lang w:val="tr-TR"/>
        </w:rPr>
        <w:t>usulsüzlüklerin</w:t>
      </w:r>
      <w:r w:rsidR="00F84824" w:rsidRPr="001D47B8">
        <w:rPr>
          <w:color w:val="010101"/>
          <w:sz w:val="21"/>
          <w:lang w:val="tr-TR"/>
        </w:rPr>
        <w:t xml:space="preserve"> tespit edilmesi olmadığını doğrulamaktadır. </w:t>
      </w:r>
    </w:p>
    <w:p w14:paraId="613AF99D" w14:textId="77777777" w:rsidR="00C17535" w:rsidRPr="001D47B8" w:rsidRDefault="00C17535" w:rsidP="00C17535">
      <w:pPr>
        <w:pStyle w:val="ListeParagraf"/>
        <w:tabs>
          <w:tab w:val="left" w:pos="670"/>
        </w:tabs>
        <w:spacing w:line="252" w:lineRule="auto"/>
        <w:ind w:left="127" w:right="320" w:firstLine="0"/>
        <w:rPr>
          <w:color w:val="010101"/>
          <w:sz w:val="21"/>
          <w:lang w:val="tr-TR"/>
        </w:rPr>
      </w:pPr>
    </w:p>
    <w:p w14:paraId="55698FD3" w14:textId="651E9BC2" w:rsidR="00F63B11" w:rsidRPr="001D47B8" w:rsidRDefault="00B21CDB" w:rsidP="00DA08F8">
      <w:pPr>
        <w:pStyle w:val="ListeParagraf"/>
        <w:numPr>
          <w:ilvl w:val="0"/>
          <w:numId w:val="6"/>
        </w:numPr>
        <w:tabs>
          <w:tab w:val="left" w:pos="669"/>
        </w:tabs>
        <w:spacing w:line="252" w:lineRule="auto"/>
        <w:ind w:left="127" w:right="327" w:firstLine="0"/>
        <w:rPr>
          <w:color w:val="010101"/>
          <w:sz w:val="21"/>
          <w:lang w:val="tr-TR"/>
        </w:rPr>
      </w:pPr>
      <w:r w:rsidRPr="001D47B8">
        <w:rPr>
          <w:color w:val="010101"/>
          <w:sz w:val="21"/>
          <w:lang w:val="tr-TR"/>
        </w:rPr>
        <w:t>Türkiye’de çok sayıda STÖ’nün bulunduğu dikkate alınırsa</w:t>
      </w:r>
      <w:r>
        <w:rPr>
          <w:color w:val="010101"/>
          <w:sz w:val="21"/>
          <w:lang w:val="tr-TR"/>
        </w:rPr>
        <w:t>, d</w:t>
      </w:r>
      <w:r w:rsidR="000F6DD3" w:rsidRPr="001D47B8">
        <w:rPr>
          <w:color w:val="010101"/>
          <w:sz w:val="21"/>
          <w:lang w:val="tr-TR"/>
        </w:rPr>
        <w:t xml:space="preserve">erneklere yönelik denetimlerin düzenli ve zorunlu </w:t>
      </w:r>
      <w:r w:rsidR="00FC0F3F" w:rsidRPr="001D47B8">
        <w:rPr>
          <w:color w:val="010101"/>
          <w:sz w:val="21"/>
          <w:lang w:val="tr-TR"/>
        </w:rPr>
        <w:t>hale getirilmesi</w:t>
      </w:r>
      <w:r w:rsidR="000F6DD3" w:rsidRPr="001D47B8">
        <w:rPr>
          <w:color w:val="010101"/>
          <w:sz w:val="21"/>
          <w:lang w:val="tr-TR"/>
        </w:rPr>
        <w:t xml:space="preserve">, </w:t>
      </w:r>
      <w:r w:rsidR="008802B0" w:rsidRPr="001D47B8">
        <w:rPr>
          <w:color w:val="010101"/>
          <w:sz w:val="21"/>
          <w:lang w:val="tr-TR"/>
        </w:rPr>
        <w:t>denetim süreçleri</w:t>
      </w:r>
      <w:r w:rsidR="00FC0F3F" w:rsidRPr="001D47B8">
        <w:rPr>
          <w:color w:val="010101"/>
          <w:sz w:val="21"/>
          <w:lang w:val="tr-TR"/>
        </w:rPr>
        <w:t>nin oldukça</w:t>
      </w:r>
      <w:r w:rsidR="008802B0" w:rsidRPr="001D47B8">
        <w:rPr>
          <w:color w:val="010101"/>
          <w:sz w:val="21"/>
          <w:lang w:val="tr-TR"/>
        </w:rPr>
        <w:t xml:space="preserve"> </w:t>
      </w:r>
      <w:r w:rsidR="00FC0F3F" w:rsidRPr="001D47B8">
        <w:rPr>
          <w:color w:val="010101"/>
          <w:sz w:val="21"/>
          <w:lang w:val="tr-TR"/>
        </w:rPr>
        <w:t xml:space="preserve">zahmetli geçmesine neden olacaktır. </w:t>
      </w:r>
      <w:r w:rsidR="005E02C5" w:rsidRPr="001D47B8">
        <w:rPr>
          <w:color w:val="010101"/>
          <w:sz w:val="21"/>
          <w:lang w:val="tr-TR"/>
        </w:rPr>
        <w:t>19. maddede belirtilen tedbirler</w:t>
      </w:r>
      <w:r w:rsidR="00B13B3D" w:rsidRPr="001D47B8">
        <w:rPr>
          <w:color w:val="010101"/>
          <w:sz w:val="21"/>
          <w:lang w:val="tr-TR"/>
        </w:rPr>
        <w:t xml:space="preserve">, dernekleri terörist unsurların istismarına açık bırakan bir zafiyet </w:t>
      </w:r>
      <w:r w:rsidR="00DB3F5A" w:rsidRPr="001D47B8">
        <w:rPr>
          <w:color w:val="010101"/>
          <w:sz w:val="21"/>
          <w:lang w:val="tr-TR"/>
        </w:rPr>
        <w:t>olup olmadığına bakılmaksızın</w:t>
      </w:r>
      <w:r w:rsidR="005E02C5" w:rsidRPr="001D47B8">
        <w:rPr>
          <w:color w:val="010101"/>
          <w:sz w:val="21"/>
          <w:lang w:val="tr-TR"/>
        </w:rPr>
        <w:t xml:space="preserve"> tüm STÖ’leri kapsamaktadır</w:t>
      </w:r>
      <w:r w:rsidR="00DB3F5A" w:rsidRPr="001D47B8">
        <w:rPr>
          <w:color w:val="010101"/>
          <w:sz w:val="21"/>
          <w:lang w:val="tr-TR"/>
        </w:rPr>
        <w:t xml:space="preserve">. </w:t>
      </w:r>
      <w:r w:rsidR="00FD4FFE" w:rsidRPr="001D47B8">
        <w:rPr>
          <w:color w:val="010101"/>
          <w:sz w:val="21"/>
          <w:lang w:val="tr-TR"/>
        </w:rPr>
        <w:t>Ayrıca</w:t>
      </w:r>
      <w:r w:rsidR="00DB3F5A" w:rsidRPr="001D47B8">
        <w:rPr>
          <w:color w:val="010101"/>
          <w:sz w:val="21"/>
          <w:lang w:val="tr-TR"/>
        </w:rPr>
        <w:t xml:space="preserve">, </w:t>
      </w:r>
      <w:r w:rsidR="00B63FD8" w:rsidRPr="001D47B8">
        <w:rPr>
          <w:color w:val="010101"/>
          <w:sz w:val="21"/>
          <w:lang w:val="tr-TR"/>
        </w:rPr>
        <w:t>denetimlerin gerekli deneyime sahip</w:t>
      </w:r>
      <w:r w:rsidR="00304E2C" w:rsidRPr="001D47B8">
        <w:rPr>
          <w:color w:val="010101"/>
          <w:sz w:val="21"/>
          <w:lang w:val="tr-TR"/>
        </w:rPr>
        <w:t xml:space="preserve"> olmayabilen kamu görevlileri tarafından yapılacak olması, </w:t>
      </w:r>
      <w:r w:rsidR="00F76C16" w:rsidRPr="001D47B8">
        <w:rPr>
          <w:color w:val="010101"/>
          <w:sz w:val="21"/>
          <w:lang w:val="tr-TR"/>
        </w:rPr>
        <w:t xml:space="preserve">derneklere gereksiz yük bindirmekle kalmayıp, </w:t>
      </w:r>
      <w:r w:rsidR="004621CB" w:rsidRPr="001D47B8">
        <w:rPr>
          <w:color w:val="010101"/>
          <w:sz w:val="21"/>
          <w:lang w:val="tr-TR"/>
        </w:rPr>
        <w:t xml:space="preserve">-şüphe uyandıran denetim amacının yanı sıra- </w:t>
      </w:r>
      <w:r w:rsidR="00304E2C" w:rsidRPr="001D47B8">
        <w:rPr>
          <w:color w:val="010101"/>
          <w:sz w:val="21"/>
          <w:lang w:val="tr-TR"/>
        </w:rPr>
        <w:t>denetimlerin etkinliği bakımından da endişe yaratmaktadır</w:t>
      </w:r>
      <w:r w:rsidR="00F76C16" w:rsidRPr="001D47B8">
        <w:rPr>
          <w:color w:val="010101"/>
          <w:sz w:val="21"/>
          <w:lang w:val="tr-TR"/>
        </w:rPr>
        <w:t xml:space="preserve">. </w:t>
      </w:r>
      <w:r w:rsidR="009B3D0E" w:rsidRPr="001D47B8">
        <w:rPr>
          <w:rStyle w:val="DipnotBavurusu"/>
          <w:color w:val="010101"/>
          <w:sz w:val="21"/>
          <w:lang w:val="tr-TR"/>
        </w:rPr>
        <w:footnoteReference w:id="56"/>
      </w:r>
    </w:p>
    <w:p w14:paraId="475CE679" w14:textId="77777777" w:rsidR="00F63B11" w:rsidRPr="001D47B8" w:rsidRDefault="00F63B11" w:rsidP="00F63B11">
      <w:pPr>
        <w:pStyle w:val="ListeParagraf"/>
        <w:tabs>
          <w:tab w:val="left" w:pos="669"/>
        </w:tabs>
        <w:spacing w:line="252" w:lineRule="auto"/>
        <w:ind w:left="127" w:right="327" w:firstLine="0"/>
        <w:rPr>
          <w:color w:val="010101"/>
          <w:sz w:val="21"/>
          <w:lang w:val="tr-TR"/>
        </w:rPr>
      </w:pPr>
    </w:p>
    <w:p w14:paraId="5D555797" w14:textId="790C2DE0" w:rsidR="001B3C12" w:rsidRPr="001D47B8" w:rsidRDefault="006536BC" w:rsidP="001C4B9F">
      <w:pPr>
        <w:pStyle w:val="ListeParagraf"/>
        <w:numPr>
          <w:ilvl w:val="0"/>
          <w:numId w:val="4"/>
        </w:numPr>
        <w:tabs>
          <w:tab w:val="left" w:pos="1337"/>
          <w:tab w:val="left" w:pos="3939"/>
        </w:tabs>
        <w:spacing w:before="92"/>
        <w:ind w:left="1336" w:hanging="354"/>
        <w:jc w:val="both"/>
        <w:rPr>
          <w:color w:val="010101"/>
          <w:sz w:val="21"/>
          <w:lang w:val="tr-TR"/>
        </w:rPr>
      </w:pPr>
      <w:r w:rsidRPr="001D47B8">
        <w:rPr>
          <w:i/>
          <w:color w:val="010101"/>
          <w:w w:val="105"/>
          <w:sz w:val="21"/>
          <w:lang w:val="tr-TR"/>
        </w:rPr>
        <w:t>Risk değerlendirmesi</w:t>
      </w:r>
      <w:r w:rsidR="0003064F" w:rsidRPr="001D47B8">
        <w:rPr>
          <w:i/>
          <w:color w:val="010101"/>
          <w:w w:val="105"/>
          <w:sz w:val="21"/>
          <w:lang w:val="tr-TR"/>
        </w:rPr>
        <w:t xml:space="preserve">nde şeffaflığın olmaması </w:t>
      </w:r>
    </w:p>
    <w:p w14:paraId="2E0E164C" w14:textId="77777777" w:rsidR="001B3C12" w:rsidRPr="001D47B8" w:rsidRDefault="001B3C12" w:rsidP="001C4B9F">
      <w:pPr>
        <w:pStyle w:val="GvdeMetni"/>
        <w:spacing w:before="3"/>
        <w:jc w:val="both"/>
        <w:rPr>
          <w:i/>
          <w:sz w:val="23"/>
          <w:lang w:val="tr-TR"/>
        </w:rPr>
      </w:pPr>
    </w:p>
    <w:p w14:paraId="2DBFB293" w14:textId="32D8FADC" w:rsidR="006B4F22" w:rsidRPr="001D47B8" w:rsidRDefault="006B4F22" w:rsidP="001C4B9F">
      <w:pPr>
        <w:pStyle w:val="ListeParagraf"/>
        <w:numPr>
          <w:ilvl w:val="0"/>
          <w:numId w:val="6"/>
        </w:numPr>
        <w:tabs>
          <w:tab w:val="left" w:pos="671"/>
        </w:tabs>
        <w:spacing w:before="1" w:line="252" w:lineRule="auto"/>
        <w:ind w:left="126" w:right="328" w:firstLine="1"/>
        <w:rPr>
          <w:color w:val="2F2F2F"/>
          <w:sz w:val="21"/>
          <w:lang w:val="tr-TR"/>
        </w:rPr>
      </w:pPr>
      <w:r w:rsidRPr="001D47B8">
        <w:rPr>
          <w:color w:val="010101"/>
          <w:sz w:val="21"/>
          <w:lang w:val="tr-TR"/>
        </w:rPr>
        <w:t>Kanun hükümleri</w:t>
      </w:r>
      <w:r w:rsidR="00AC1B7E" w:rsidRPr="001D47B8">
        <w:rPr>
          <w:color w:val="010101"/>
          <w:sz w:val="21"/>
          <w:lang w:val="tr-TR"/>
        </w:rPr>
        <w:t>,</w:t>
      </w:r>
      <w:r w:rsidRPr="001D47B8">
        <w:rPr>
          <w:color w:val="010101"/>
          <w:sz w:val="21"/>
          <w:lang w:val="tr-TR"/>
        </w:rPr>
        <w:t xml:space="preserve"> </w:t>
      </w:r>
      <w:r w:rsidR="00AC1B7E" w:rsidRPr="001D47B8">
        <w:rPr>
          <w:color w:val="010101"/>
          <w:sz w:val="21"/>
          <w:lang w:val="tr-TR"/>
        </w:rPr>
        <w:t>terörist unsurların finansman amaçlı istismarına</w:t>
      </w:r>
      <w:r w:rsidR="001D61E9" w:rsidRPr="001D47B8">
        <w:rPr>
          <w:color w:val="010101"/>
          <w:sz w:val="21"/>
          <w:lang w:val="tr-TR"/>
        </w:rPr>
        <w:t xml:space="preserve"> karşı </w:t>
      </w:r>
      <w:r w:rsidR="00AC1B7E" w:rsidRPr="001D47B8">
        <w:rPr>
          <w:color w:val="010101"/>
          <w:sz w:val="21"/>
          <w:lang w:val="tr-TR"/>
        </w:rPr>
        <w:t xml:space="preserve">bir zafiyeti olan belli STÖ’ler yerine </w:t>
      </w:r>
      <w:r w:rsidRPr="001D47B8">
        <w:rPr>
          <w:color w:val="010101"/>
          <w:sz w:val="21"/>
          <w:lang w:val="tr-TR"/>
        </w:rPr>
        <w:t>tüm sivil toplum sektörüne ayrım gözetmeksizin uygulanmaktadır</w:t>
      </w:r>
      <w:r w:rsidR="00444D64" w:rsidRPr="001D47B8">
        <w:rPr>
          <w:color w:val="010101"/>
          <w:sz w:val="21"/>
          <w:lang w:val="tr-TR"/>
        </w:rPr>
        <w:t>. Başka bir deyişle FATF tarafından tavsiye edilen ve şart koşulan risk temelli yaklaşıma uygun</w:t>
      </w:r>
      <w:r w:rsidR="00933287">
        <w:rPr>
          <w:color w:val="010101"/>
          <w:sz w:val="21"/>
          <w:lang w:val="tr-TR"/>
        </w:rPr>
        <w:t>,</w:t>
      </w:r>
      <w:r w:rsidR="00444D64" w:rsidRPr="001D47B8">
        <w:rPr>
          <w:color w:val="010101"/>
          <w:sz w:val="21"/>
          <w:lang w:val="tr-TR"/>
        </w:rPr>
        <w:t xml:space="preserve"> odaklı ve ölçülü tedbirler</w:t>
      </w:r>
      <w:r w:rsidR="006440AB" w:rsidRPr="001D47B8">
        <w:rPr>
          <w:color w:val="010101"/>
          <w:sz w:val="21"/>
          <w:lang w:val="tr-TR"/>
        </w:rPr>
        <w:t xml:space="preserve"> alınmamaktadır.</w:t>
      </w:r>
      <w:r w:rsidR="006440AB" w:rsidRPr="001D47B8">
        <w:rPr>
          <w:rStyle w:val="DipnotBavurusu"/>
          <w:color w:val="010101"/>
          <w:sz w:val="21"/>
          <w:lang w:val="tr-TR"/>
        </w:rPr>
        <w:footnoteReference w:id="57"/>
      </w:r>
    </w:p>
    <w:p w14:paraId="5F18549D" w14:textId="77777777" w:rsidR="006B4F22" w:rsidRPr="001D47B8" w:rsidRDefault="006B4F22" w:rsidP="006B4F22">
      <w:pPr>
        <w:pStyle w:val="ListeParagraf"/>
        <w:tabs>
          <w:tab w:val="left" w:pos="671"/>
        </w:tabs>
        <w:spacing w:before="1" w:line="252" w:lineRule="auto"/>
        <w:ind w:left="127" w:right="328" w:firstLine="0"/>
        <w:rPr>
          <w:color w:val="010101"/>
          <w:sz w:val="21"/>
          <w:lang w:val="tr-TR"/>
        </w:rPr>
      </w:pPr>
    </w:p>
    <w:p w14:paraId="50214F8A" w14:textId="37291AC7" w:rsidR="002B04A2" w:rsidRPr="001D47B8" w:rsidRDefault="002B04A2" w:rsidP="001C4B9F">
      <w:pPr>
        <w:pStyle w:val="ListeParagraf"/>
        <w:numPr>
          <w:ilvl w:val="0"/>
          <w:numId w:val="6"/>
        </w:numPr>
        <w:tabs>
          <w:tab w:val="left" w:pos="669"/>
        </w:tabs>
        <w:spacing w:line="252" w:lineRule="auto"/>
        <w:ind w:right="327" w:firstLine="5"/>
        <w:rPr>
          <w:color w:val="010101"/>
          <w:sz w:val="21"/>
          <w:lang w:val="tr-TR"/>
        </w:rPr>
      </w:pPr>
      <w:r w:rsidRPr="001D47B8">
        <w:rPr>
          <w:color w:val="010101"/>
          <w:sz w:val="21"/>
          <w:lang w:val="tr-TR"/>
        </w:rPr>
        <w:t>T.C. İçişleri Bakanlığı ile yapılan sanal toplantıda raportörler</w:t>
      </w:r>
      <w:r w:rsidR="00EB4759" w:rsidRPr="001D47B8">
        <w:rPr>
          <w:color w:val="010101"/>
          <w:sz w:val="21"/>
          <w:lang w:val="tr-TR"/>
        </w:rPr>
        <w:t>e</w:t>
      </w:r>
      <w:r w:rsidR="006F75BB">
        <w:rPr>
          <w:color w:val="010101"/>
          <w:sz w:val="21"/>
          <w:lang w:val="tr-TR"/>
        </w:rPr>
        <w:t xml:space="preserve"> verilen bilgiye göre</w:t>
      </w:r>
      <w:r w:rsidR="00EB4759" w:rsidRPr="001D47B8">
        <w:rPr>
          <w:color w:val="010101"/>
          <w:sz w:val="21"/>
          <w:lang w:val="tr-TR"/>
        </w:rPr>
        <w:t xml:space="preserve">, </w:t>
      </w:r>
      <w:r w:rsidR="00CD1E67" w:rsidRPr="001D47B8">
        <w:rPr>
          <w:color w:val="010101"/>
          <w:sz w:val="21"/>
          <w:lang w:val="tr-TR"/>
        </w:rPr>
        <w:t xml:space="preserve">İçişleri Bakanlığı </w:t>
      </w:r>
      <w:r w:rsidR="00EB4759" w:rsidRPr="001D47B8">
        <w:rPr>
          <w:color w:val="010101"/>
          <w:sz w:val="21"/>
          <w:lang w:val="tr-TR"/>
        </w:rPr>
        <w:t xml:space="preserve">istismar riskine açık olduğu </w:t>
      </w:r>
      <w:r w:rsidR="001D61E9" w:rsidRPr="001D47B8">
        <w:rPr>
          <w:color w:val="010101"/>
          <w:sz w:val="21"/>
          <w:lang w:val="tr-TR"/>
        </w:rPr>
        <w:t>tespit edilen STÖ’lere</w:t>
      </w:r>
      <w:r w:rsidR="00CD1E67" w:rsidRPr="001D47B8">
        <w:rPr>
          <w:color w:val="010101"/>
          <w:sz w:val="21"/>
          <w:lang w:val="tr-TR"/>
        </w:rPr>
        <w:t xml:space="preserve"> bu </w:t>
      </w:r>
      <w:r w:rsidR="00CD39B7">
        <w:rPr>
          <w:color w:val="010101"/>
          <w:sz w:val="21"/>
          <w:lang w:val="tr-TR"/>
        </w:rPr>
        <w:t>tespitin</w:t>
      </w:r>
      <w:r w:rsidR="00CD1E67" w:rsidRPr="001D47B8">
        <w:rPr>
          <w:color w:val="010101"/>
          <w:sz w:val="21"/>
          <w:lang w:val="tr-TR"/>
        </w:rPr>
        <w:t xml:space="preserve"> nasıl </w:t>
      </w:r>
      <w:r w:rsidR="00CD39B7">
        <w:rPr>
          <w:color w:val="010101"/>
          <w:sz w:val="21"/>
          <w:lang w:val="tr-TR"/>
        </w:rPr>
        <w:t xml:space="preserve">yapıldığına </w:t>
      </w:r>
      <w:r w:rsidR="00CD1E67" w:rsidRPr="001D47B8">
        <w:rPr>
          <w:color w:val="010101"/>
          <w:sz w:val="21"/>
          <w:lang w:val="tr-TR"/>
        </w:rPr>
        <w:t>dair bir açıklama yapma</w:t>
      </w:r>
      <w:r w:rsidR="006F75BB">
        <w:rPr>
          <w:color w:val="010101"/>
          <w:sz w:val="21"/>
          <w:lang w:val="tr-TR"/>
        </w:rPr>
        <w:t xml:space="preserve">maktadır. </w:t>
      </w:r>
      <w:r w:rsidR="00CD1E67" w:rsidRPr="001D47B8">
        <w:rPr>
          <w:color w:val="010101"/>
          <w:sz w:val="21"/>
          <w:lang w:val="tr-TR"/>
        </w:rPr>
        <w:t xml:space="preserve">Bunun yanı sıra, </w:t>
      </w:r>
      <w:r w:rsidR="00131E87" w:rsidRPr="001D47B8">
        <w:rPr>
          <w:color w:val="010101"/>
          <w:sz w:val="21"/>
          <w:lang w:val="tr-TR"/>
        </w:rPr>
        <w:t>risk değerlendirme metodolojisine ilişkin detaylar</w:t>
      </w:r>
      <w:r w:rsidR="00540C99" w:rsidRPr="001D47B8">
        <w:rPr>
          <w:color w:val="010101"/>
          <w:sz w:val="21"/>
          <w:lang w:val="tr-TR"/>
        </w:rPr>
        <w:t xml:space="preserve"> hakkında</w:t>
      </w:r>
      <w:r w:rsidR="00131E87" w:rsidRPr="001D47B8">
        <w:rPr>
          <w:color w:val="010101"/>
          <w:sz w:val="21"/>
          <w:lang w:val="tr-TR"/>
        </w:rPr>
        <w:t xml:space="preserve"> sadece risk değerlendirmesini yapan kişilerin bi</w:t>
      </w:r>
      <w:r w:rsidR="00540C99" w:rsidRPr="001D47B8">
        <w:rPr>
          <w:color w:val="010101"/>
          <w:sz w:val="21"/>
          <w:lang w:val="tr-TR"/>
        </w:rPr>
        <w:t>lgisi olduğu, STÖ’ler ve sivil toplumun bu bilgiye erişimi olmadığı toplantıda teyit edilmiştir.</w:t>
      </w:r>
      <w:r w:rsidR="00BB0C25" w:rsidRPr="001D47B8">
        <w:rPr>
          <w:color w:val="010101"/>
          <w:sz w:val="21"/>
          <w:lang w:val="tr-TR"/>
        </w:rPr>
        <w:t xml:space="preserve"> Ancak,</w:t>
      </w:r>
      <w:r w:rsidR="00A30573" w:rsidRPr="001D47B8">
        <w:rPr>
          <w:color w:val="010101"/>
          <w:sz w:val="21"/>
          <w:lang w:val="tr-TR"/>
        </w:rPr>
        <w:t xml:space="preserve"> STÖ’ler ve sivil toplumun risk kategorilerine girme nedenlerini</w:t>
      </w:r>
      <w:r w:rsidR="004C00A3" w:rsidRPr="001D47B8">
        <w:rPr>
          <w:color w:val="010101"/>
          <w:sz w:val="21"/>
          <w:lang w:val="tr-TR"/>
        </w:rPr>
        <w:t xml:space="preserve"> öğrenmeleri ve isterlerse bu kararı temyiz </w:t>
      </w:r>
      <w:r w:rsidR="00233020" w:rsidRPr="001D47B8">
        <w:rPr>
          <w:color w:val="010101"/>
          <w:sz w:val="21"/>
          <w:lang w:val="tr-TR"/>
        </w:rPr>
        <w:t>etmek amacıyla</w:t>
      </w:r>
      <w:r w:rsidR="004C00A3" w:rsidRPr="001D47B8">
        <w:rPr>
          <w:color w:val="010101"/>
          <w:sz w:val="21"/>
          <w:lang w:val="tr-TR"/>
        </w:rPr>
        <w:t xml:space="preserve"> başvur</w:t>
      </w:r>
      <w:r w:rsidR="00233020" w:rsidRPr="001D47B8">
        <w:rPr>
          <w:color w:val="010101"/>
          <w:sz w:val="21"/>
          <w:lang w:val="tr-TR"/>
        </w:rPr>
        <w:t xml:space="preserve">u yapabilmeleri </w:t>
      </w:r>
      <w:r w:rsidR="00334964">
        <w:rPr>
          <w:color w:val="010101"/>
          <w:sz w:val="21"/>
          <w:lang w:val="tr-TR"/>
        </w:rPr>
        <w:t xml:space="preserve">için </w:t>
      </w:r>
      <w:r w:rsidR="004C00A3" w:rsidRPr="001D47B8">
        <w:rPr>
          <w:color w:val="010101"/>
          <w:sz w:val="21"/>
          <w:lang w:val="tr-TR"/>
        </w:rPr>
        <w:t>bu bilgiye ihtiyacı vardır</w:t>
      </w:r>
      <w:r w:rsidR="00233020" w:rsidRPr="001D47B8">
        <w:rPr>
          <w:color w:val="010101"/>
          <w:sz w:val="21"/>
          <w:lang w:val="tr-TR"/>
        </w:rPr>
        <w:t>. 8 sayılı FATF tavsiyesi</w:t>
      </w:r>
      <w:r w:rsidR="008D4075" w:rsidRPr="001D47B8">
        <w:rPr>
          <w:color w:val="010101"/>
          <w:sz w:val="21"/>
          <w:lang w:val="tr-TR"/>
        </w:rPr>
        <w:t>nde</w:t>
      </w:r>
      <w:r w:rsidR="005F4BAE" w:rsidRPr="001D47B8">
        <w:rPr>
          <w:color w:val="010101"/>
          <w:sz w:val="21"/>
          <w:lang w:val="tr-TR"/>
        </w:rPr>
        <w:t>,</w:t>
      </w:r>
      <w:r w:rsidR="008D4075" w:rsidRPr="001D47B8">
        <w:rPr>
          <w:color w:val="010101"/>
          <w:sz w:val="21"/>
          <w:lang w:val="tr-TR"/>
        </w:rPr>
        <w:t xml:space="preserve"> sivil toplumda STÖ’lerin terörizmin finansmanı amacıyla istismar edilmesi</w:t>
      </w:r>
      <w:r w:rsidR="005F4BAE" w:rsidRPr="001D47B8">
        <w:rPr>
          <w:color w:val="010101"/>
          <w:sz w:val="21"/>
          <w:lang w:val="tr-TR"/>
        </w:rPr>
        <w:t xml:space="preserve"> ile mücadele etmek için </w:t>
      </w:r>
      <w:r w:rsidR="009373B9" w:rsidRPr="001D47B8">
        <w:rPr>
          <w:color w:val="010101"/>
          <w:sz w:val="21"/>
          <w:lang w:val="tr-TR"/>
        </w:rPr>
        <w:t xml:space="preserve">STÖ’lerin </w:t>
      </w:r>
      <w:r w:rsidR="005F4BAE" w:rsidRPr="001D47B8">
        <w:rPr>
          <w:color w:val="010101"/>
          <w:sz w:val="21"/>
          <w:lang w:val="tr-TR"/>
        </w:rPr>
        <w:t xml:space="preserve">becerilerini geliştirmek, farkındalığı artırmak, strateji geliştirmek ve riskleri azaltmak için kamu sektörü ve sivil toplum arasındaki işbirliğinin önemi vurgulanmaktadır. </w:t>
      </w:r>
      <w:r w:rsidR="009373B9" w:rsidRPr="001D47B8">
        <w:rPr>
          <w:color w:val="010101"/>
          <w:sz w:val="21"/>
          <w:lang w:val="tr-TR"/>
        </w:rPr>
        <w:t>Bu tavsiyenin Türk makamları tarafından uygulanmadığı görülmektedir.</w:t>
      </w:r>
      <w:r w:rsidR="00031998" w:rsidRPr="001D47B8">
        <w:rPr>
          <w:rStyle w:val="DipnotBavurusu"/>
          <w:color w:val="010101"/>
          <w:sz w:val="21"/>
          <w:lang w:val="tr-TR"/>
        </w:rPr>
        <w:footnoteReference w:id="58"/>
      </w:r>
      <w:r w:rsidR="009373B9" w:rsidRPr="001D47B8">
        <w:rPr>
          <w:color w:val="010101"/>
          <w:sz w:val="21"/>
          <w:lang w:val="tr-TR"/>
        </w:rPr>
        <w:t xml:space="preserve"> </w:t>
      </w:r>
      <w:r w:rsidR="00031998" w:rsidRPr="001D47B8">
        <w:rPr>
          <w:color w:val="010101"/>
          <w:sz w:val="21"/>
          <w:lang w:val="tr-TR"/>
        </w:rPr>
        <w:t>Ayrıca, STÖ’ler</w:t>
      </w:r>
      <w:r w:rsidR="00765E68">
        <w:rPr>
          <w:color w:val="010101"/>
          <w:sz w:val="21"/>
          <w:lang w:val="tr-TR"/>
        </w:rPr>
        <w:t>e</w:t>
      </w:r>
      <w:r w:rsidR="00031998" w:rsidRPr="001D47B8">
        <w:rPr>
          <w:color w:val="010101"/>
          <w:sz w:val="21"/>
          <w:lang w:val="tr-TR"/>
        </w:rPr>
        <w:t xml:space="preserve"> endişelerini ve itirazlarını dile getirme</w:t>
      </w:r>
      <w:r w:rsidR="00765E68">
        <w:rPr>
          <w:color w:val="010101"/>
          <w:sz w:val="21"/>
          <w:lang w:val="tr-TR"/>
        </w:rPr>
        <w:t>leri</w:t>
      </w:r>
      <w:r w:rsidR="00031998" w:rsidRPr="001D47B8">
        <w:rPr>
          <w:color w:val="010101"/>
          <w:sz w:val="21"/>
          <w:lang w:val="tr-TR"/>
        </w:rPr>
        <w:t xml:space="preserve"> için bir alan tanınmadığı </w:t>
      </w:r>
      <w:r w:rsidR="00765E68">
        <w:rPr>
          <w:color w:val="010101"/>
          <w:sz w:val="21"/>
          <w:lang w:val="tr-TR"/>
        </w:rPr>
        <w:t xml:space="preserve">da </w:t>
      </w:r>
      <w:r w:rsidR="00031998" w:rsidRPr="001D47B8">
        <w:rPr>
          <w:color w:val="010101"/>
          <w:sz w:val="21"/>
          <w:lang w:val="tr-TR"/>
        </w:rPr>
        <w:t xml:space="preserve">anlaşılmaktadır. </w:t>
      </w:r>
    </w:p>
    <w:p w14:paraId="483381DD" w14:textId="77777777" w:rsidR="00FF1A03" w:rsidRPr="001D47B8" w:rsidRDefault="00FF1A03" w:rsidP="00FF1A03">
      <w:pPr>
        <w:pStyle w:val="ListeParagraf"/>
        <w:tabs>
          <w:tab w:val="left" w:pos="669"/>
        </w:tabs>
        <w:spacing w:line="252" w:lineRule="auto"/>
        <w:ind w:left="128" w:right="327" w:firstLine="0"/>
        <w:rPr>
          <w:color w:val="010101"/>
          <w:sz w:val="21"/>
          <w:lang w:val="tr-TR"/>
        </w:rPr>
      </w:pPr>
    </w:p>
    <w:p w14:paraId="217E94DA" w14:textId="211465D7" w:rsidR="00FD29C6" w:rsidRPr="001D47B8" w:rsidRDefault="00FF1A03" w:rsidP="00FF1A03">
      <w:pPr>
        <w:pStyle w:val="ListeParagraf"/>
        <w:numPr>
          <w:ilvl w:val="0"/>
          <w:numId w:val="6"/>
        </w:numPr>
        <w:tabs>
          <w:tab w:val="left" w:pos="669"/>
        </w:tabs>
        <w:spacing w:line="252" w:lineRule="auto"/>
        <w:ind w:right="327" w:firstLine="5"/>
        <w:rPr>
          <w:color w:val="010101"/>
          <w:sz w:val="21"/>
          <w:lang w:val="tr-TR"/>
        </w:rPr>
      </w:pPr>
      <w:r w:rsidRPr="001D47B8">
        <w:rPr>
          <w:color w:val="010101"/>
          <w:sz w:val="21"/>
          <w:lang w:val="tr-TR"/>
        </w:rPr>
        <w:t>Şeffaflığın olmadığı</w:t>
      </w:r>
      <w:r w:rsidR="00CB2637">
        <w:rPr>
          <w:color w:val="010101"/>
          <w:sz w:val="21"/>
          <w:lang w:val="tr-TR"/>
        </w:rPr>
        <w:t xml:space="preserve"> gerçeğini</w:t>
      </w:r>
      <w:r w:rsidRPr="001D47B8">
        <w:rPr>
          <w:color w:val="010101"/>
          <w:sz w:val="21"/>
          <w:lang w:val="tr-TR"/>
        </w:rPr>
        <w:t xml:space="preserve"> göz önüne alan Venedik Komisyonu, bu denetimlerin, “risk değerlendirmesi” yapma bahanesi ile yetkilileri eleştiren sivil toplum faaliyetlerini caydırmak amacıyla suiistimal edilmesi riski olduğundan endişe duymaktadır</w:t>
      </w:r>
      <w:r w:rsidR="00FD29C6" w:rsidRPr="001D47B8">
        <w:rPr>
          <w:color w:val="010101"/>
          <w:sz w:val="21"/>
          <w:lang w:val="tr-TR"/>
        </w:rPr>
        <w:t>. Açık bir meşru amacı olmayan denetimlerin sıklığı ve kapsamı nedeniyle, derneklerin işleyişi üzerinde neredeyse daimi ve oldukça keyfi bir kontrol oluşabilir; bunun sonucu olarak da, T.C. Anayasasının 33. ve 13. Maddelerinin ve AİHS 11. Maddesi ve ICCPR 22. Maddesinin özünde yer alan “kaynak arama, kabul etme ve kullanma özgürlüğü” (Ortak Rehber, 7. İlke) ve “operasyonlarının kapsamı dâhil, hedeflerini ve faaliyetlerini belirleme özgürlüğü” (Ortak Rehber, 4. İlke) gerekçe olmadan ihlal edilebilir. Ayrıca, Venedik Komisyonunun kanaatine göre, bu denetim sisteminin gereklilik ve ölçülülük sınırlarını da aşması oldukça muhtemeldir. Bun</w:t>
      </w:r>
      <w:r w:rsidR="009C1943">
        <w:rPr>
          <w:color w:val="010101"/>
          <w:sz w:val="21"/>
          <w:lang w:val="tr-TR"/>
        </w:rPr>
        <w:t>a</w:t>
      </w:r>
      <w:r w:rsidR="00FD29C6" w:rsidRPr="001D47B8">
        <w:rPr>
          <w:color w:val="010101"/>
          <w:sz w:val="21"/>
          <w:lang w:val="tr-TR"/>
        </w:rPr>
        <w:t xml:space="preserve"> ek olarak, değiştirilmiş 19. maddenin 2. fıkrasında yer alan hüküm tahmin edilebilirlik ve belirlilik ilkelerine uyumlu değildir, zira yüksek risk kategorisinde olduğu tespit edilen bir STÖ’nün (İçişleri Bakanlığına göre mevcut durumda 170 STÖ yüksek risk kategorisindedir) </w:t>
      </w:r>
      <w:r w:rsidR="000463CC" w:rsidRPr="001D47B8">
        <w:rPr>
          <w:color w:val="010101"/>
          <w:sz w:val="21"/>
          <w:lang w:val="tr-TR"/>
        </w:rPr>
        <w:t>profesyonel yardım alsa bile</w:t>
      </w:r>
      <w:r w:rsidR="000463CC">
        <w:rPr>
          <w:color w:val="010101"/>
          <w:sz w:val="21"/>
          <w:lang w:val="tr-TR"/>
        </w:rPr>
        <w:t>,</w:t>
      </w:r>
      <w:r w:rsidR="000463CC" w:rsidRPr="001D47B8">
        <w:rPr>
          <w:color w:val="010101"/>
          <w:sz w:val="21"/>
          <w:lang w:val="tr-TR"/>
        </w:rPr>
        <w:t xml:space="preserve"> </w:t>
      </w:r>
      <w:r w:rsidR="00FD29C6" w:rsidRPr="001D47B8">
        <w:rPr>
          <w:color w:val="010101"/>
          <w:sz w:val="21"/>
          <w:lang w:val="tr-TR"/>
        </w:rPr>
        <w:t>davranışını belirlemek üzere</w:t>
      </w:r>
      <w:r w:rsidR="000463CC">
        <w:rPr>
          <w:color w:val="010101"/>
          <w:sz w:val="21"/>
          <w:lang w:val="tr-TR"/>
        </w:rPr>
        <w:t xml:space="preserve"> </w:t>
      </w:r>
      <w:r w:rsidR="00FD29C6" w:rsidRPr="001D47B8">
        <w:rPr>
          <w:color w:val="010101"/>
          <w:sz w:val="21"/>
          <w:lang w:val="tr-TR"/>
        </w:rPr>
        <w:t>değerlendirme usulünün gerekli detaylarını bilme ve anlama imkânı bulunmamaktadır.</w:t>
      </w:r>
      <w:r w:rsidR="00FD29C6" w:rsidRPr="001D47B8">
        <w:rPr>
          <w:rStyle w:val="DipnotBavurusu"/>
          <w:color w:val="010101"/>
          <w:sz w:val="21"/>
          <w:lang w:val="tr-TR"/>
        </w:rPr>
        <w:footnoteReference w:id="59"/>
      </w:r>
      <w:r w:rsidR="00FD29C6" w:rsidRPr="001D47B8">
        <w:rPr>
          <w:color w:val="010101"/>
          <w:sz w:val="21"/>
          <w:lang w:val="tr-TR"/>
        </w:rPr>
        <w:t xml:space="preserve"> </w:t>
      </w:r>
    </w:p>
    <w:p w14:paraId="3B5416C4" w14:textId="23FA2390" w:rsidR="00FF1A03" w:rsidRPr="001D47B8" w:rsidRDefault="00FF1A03" w:rsidP="00FF1A03">
      <w:pPr>
        <w:pStyle w:val="ListeParagraf"/>
        <w:tabs>
          <w:tab w:val="left" w:pos="669"/>
        </w:tabs>
        <w:spacing w:line="252" w:lineRule="auto"/>
        <w:ind w:left="128" w:right="327" w:firstLine="0"/>
        <w:rPr>
          <w:color w:val="010101"/>
          <w:sz w:val="21"/>
          <w:lang w:val="tr-TR"/>
        </w:rPr>
      </w:pPr>
    </w:p>
    <w:p w14:paraId="4E33144B" w14:textId="77777777" w:rsidR="00FF1A03" w:rsidRPr="001D47B8" w:rsidRDefault="00FF1A03" w:rsidP="00FF1A03">
      <w:pPr>
        <w:pStyle w:val="ListeParagraf"/>
        <w:tabs>
          <w:tab w:val="left" w:pos="669"/>
        </w:tabs>
        <w:spacing w:line="252" w:lineRule="auto"/>
        <w:ind w:left="128" w:right="327" w:firstLine="0"/>
        <w:rPr>
          <w:color w:val="010101"/>
          <w:sz w:val="21"/>
          <w:lang w:val="tr-TR"/>
        </w:rPr>
      </w:pPr>
    </w:p>
    <w:p w14:paraId="53221010" w14:textId="79C4533C" w:rsidR="001B3C12" w:rsidRPr="001D47B8" w:rsidRDefault="00AA383E" w:rsidP="001C4B9F">
      <w:pPr>
        <w:pStyle w:val="ListeParagraf"/>
        <w:numPr>
          <w:ilvl w:val="0"/>
          <w:numId w:val="4"/>
        </w:numPr>
        <w:tabs>
          <w:tab w:val="left" w:pos="1339"/>
        </w:tabs>
        <w:ind w:left="1338" w:hanging="360"/>
        <w:jc w:val="both"/>
        <w:rPr>
          <w:color w:val="010101"/>
          <w:sz w:val="24"/>
          <w:lang w:val="tr-TR"/>
        </w:rPr>
      </w:pPr>
      <w:r w:rsidRPr="001D47B8">
        <w:rPr>
          <w:i/>
          <w:color w:val="010101"/>
          <w:w w:val="105"/>
          <w:sz w:val="21"/>
          <w:lang w:val="tr-TR"/>
        </w:rPr>
        <w:t>T</w:t>
      </w:r>
      <w:r w:rsidR="00144766" w:rsidRPr="001D47B8">
        <w:rPr>
          <w:i/>
          <w:color w:val="010101"/>
          <w:w w:val="105"/>
          <w:sz w:val="21"/>
          <w:lang w:val="tr-TR"/>
        </w:rPr>
        <w:t xml:space="preserve">erörle mücadelenin meşru amacı </w:t>
      </w:r>
    </w:p>
    <w:p w14:paraId="5CCF1678" w14:textId="77777777" w:rsidR="001B3C12" w:rsidRPr="001D47B8" w:rsidRDefault="001B3C12" w:rsidP="001C4B9F">
      <w:pPr>
        <w:pStyle w:val="GvdeMetni"/>
        <w:spacing w:before="2"/>
        <w:jc w:val="both"/>
        <w:rPr>
          <w:i/>
          <w:sz w:val="22"/>
          <w:lang w:val="tr-TR"/>
        </w:rPr>
      </w:pPr>
    </w:p>
    <w:p w14:paraId="01B579F2" w14:textId="545EC61E" w:rsidR="002404D4" w:rsidRPr="001D47B8" w:rsidRDefault="002404D4" w:rsidP="001C4B9F">
      <w:pPr>
        <w:pStyle w:val="ListeParagraf"/>
        <w:numPr>
          <w:ilvl w:val="0"/>
          <w:numId w:val="6"/>
        </w:numPr>
        <w:tabs>
          <w:tab w:val="left" w:pos="671"/>
        </w:tabs>
        <w:spacing w:before="1" w:line="252" w:lineRule="auto"/>
        <w:ind w:left="124" w:right="329" w:firstLine="4"/>
        <w:rPr>
          <w:color w:val="010101"/>
          <w:sz w:val="21"/>
          <w:lang w:val="tr-TR"/>
        </w:rPr>
      </w:pPr>
      <w:r w:rsidRPr="001D47B8">
        <w:rPr>
          <w:color w:val="010101"/>
          <w:w w:val="105"/>
          <w:sz w:val="21"/>
          <w:lang w:val="tr-TR"/>
        </w:rPr>
        <w:t>Hükümetin d</w:t>
      </w:r>
      <w:r w:rsidR="008E777B" w:rsidRPr="001D47B8">
        <w:rPr>
          <w:color w:val="010101"/>
          <w:w w:val="105"/>
          <w:sz w:val="21"/>
          <w:lang w:val="tr-TR"/>
        </w:rPr>
        <w:t xml:space="preserve">enetim ile ilgili </w:t>
      </w:r>
      <w:r w:rsidRPr="001D47B8">
        <w:rPr>
          <w:color w:val="010101"/>
          <w:w w:val="105"/>
          <w:sz w:val="21"/>
          <w:lang w:val="tr-TR"/>
        </w:rPr>
        <w:t>koyduğu</w:t>
      </w:r>
      <w:r w:rsidR="008E777B" w:rsidRPr="001D47B8">
        <w:rPr>
          <w:color w:val="010101"/>
          <w:w w:val="105"/>
          <w:sz w:val="21"/>
          <w:lang w:val="tr-TR"/>
        </w:rPr>
        <w:t xml:space="preserve"> şartların</w:t>
      </w:r>
      <w:r w:rsidR="00D74534" w:rsidRPr="001D47B8">
        <w:rPr>
          <w:color w:val="010101"/>
          <w:w w:val="105"/>
          <w:sz w:val="21"/>
          <w:lang w:val="tr-TR"/>
        </w:rPr>
        <w:t xml:space="preserve"> </w:t>
      </w:r>
      <w:r w:rsidR="00B240BC" w:rsidRPr="001D47B8">
        <w:rPr>
          <w:color w:val="010101"/>
          <w:w w:val="105"/>
          <w:sz w:val="21"/>
          <w:lang w:val="tr-TR"/>
        </w:rPr>
        <w:t>tüm STÖ’leri kapsadığı görülmektedir</w:t>
      </w:r>
      <w:r w:rsidRPr="001D47B8">
        <w:rPr>
          <w:color w:val="010101"/>
          <w:w w:val="105"/>
          <w:sz w:val="21"/>
          <w:lang w:val="tr-TR"/>
        </w:rPr>
        <w:t xml:space="preserve">: </w:t>
      </w:r>
      <w:r w:rsidR="00B0536B" w:rsidRPr="001D47B8">
        <w:rPr>
          <w:color w:val="010101"/>
          <w:w w:val="105"/>
          <w:sz w:val="21"/>
          <w:lang w:val="tr-TR"/>
        </w:rPr>
        <w:t>122 binden fazla STÖ’nün zorunlu denetim</w:t>
      </w:r>
      <w:r w:rsidR="002A53A1" w:rsidRPr="001D47B8">
        <w:rPr>
          <w:color w:val="010101"/>
          <w:w w:val="105"/>
          <w:sz w:val="21"/>
          <w:lang w:val="tr-TR"/>
        </w:rPr>
        <w:t xml:space="preserve">e tabi </w:t>
      </w:r>
      <w:r w:rsidR="00B40FBD">
        <w:rPr>
          <w:color w:val="010101"/>
          <w:w w:val="105"/>
          <w:sz w:val="21"/>
          <w:lang w:val="tr-TR"/>
        </w:rPr>
        <w:t>tutulması</w:t>
      </w:r>
      <w:r w:rsidR="002A53A1" w:rsidRPr="001D47B8">
        <w:rPr>
          <w:color w:val="010101"/>
          <w:w w:val="105"/>
          <w:sz w:val="21"/>
          <w:lang w:val="tr-TR"/>
        </w:rPr>
        <w:t>, kanun değişikliği</w:t>
      </w:r>
      <w:r w:rsidR="00390B5F" w:rsidRPr="001D47B8">
        <w:rPr>
          <w:color w:val="010101"/>
          <w:w w:val="105"/>
          <w:sz w:val="21"/>
          <w:lang w:val="tr-TR"/>
        </w:rPr>
        <w:t>nin</w:t>
      </w:r>
      <w:r w:rsidR="002A53A1" w:rsidRPr="001D47B8">
        <w:rPr>
          <w:color w:val="010101"/>
          <w:w w:val="105"/>
          <w:sz w:val="21"/>
          <w:lang w:val="tr-TR"/>
        </w:rPr>
        <w:t xml:space="preserve"> </w:t>
      </w:r>
      <w:r w:rsidR="00466704">
        <w:rPr>
          <w:color w:val="010101"/>
          <w:w w:val="105"/>
          <w:sz w:val="21"/>
          <w:lang w:val="tr-TR"/>
        </w:rPr>
        <w:t xml:space="preserve">yetkililer tarafından </w:t>
      </w:r>
      <w:r w:rsidR="00625D86" w:rsidRPr="001D47B8">
        <w:rPr>
          <w:color w:val="010101"/>
          <w:w w:val="105"/>
          <w:sz w:val="21"/>
          <w:lang w:val="tr-TR"/>
        </w:rPr>
        <w:t xml:space="preserve">belirtilen </w:t>
      </w:r>
      <w:r w:rsidR="00390B5F" w:rsidRPr="001D47B8">
        <w:rPr>
          <w:color w:val="010101"/>
          <w:w w:val="105"/>
          <w:sz w:val="21"/>
          <w:lang w:val="tr-TR"/>
        </w:rPr>
        <w:t>amacı</w:t>
      </w:r>
      <w:r w:rsidR="002A53A1" w:rsidRPr="001D47B8">
        <w:rPr>
          <w:color w:val="010101"/>
          <w:w w:val="105"/>
          <w:sz w:val="21"/>
          <w:lang w:val="tr-TR"/>
        </w:rPr>
        <w:t xml:space="preserve"> </w:t>
      </w:r>
      <w:r w:rsidR="00390B5F" w:rsidRPr="001D47B8">
        <w:rPr>
          <w:color w:val="010101"/>
          <w:w w:val="105"/>
          <w:sz w:val="21"/>
          <w:lang w:val="tr-TR"/>
        </w:rPr>
        <w:t>hakkında</w:t>
      </w:r>
      <w:r w:rsidR="002A53A1" w:rsidRPr="001D47B8">
        <w:rPr>
          <w:color w:val="010101"/>
          <w:w w:val="105"/>
          <w:sz w:val="21"/>
          <w:lang w:val="tr-TR"/>
        </w:rPr>
        <w:t xml:space="preserve"> ciddi şüphe uyandırmaktadır. </w:t>
      </w:r>
      <w:r w:rsidR="00625D86" w:rsidRPr="001D47B8">
        <w:rPr>
          <w:color w:val="010101"/>
          <w:w w:val="105"/>
          <w:sz w:val="21"/>
          <w:lang w:val="tr-TR"/>
        </w:rPr>
        <w:t>“Risk değerlendirmesi” yapma bahanesi ile getirilen tedbirler</w:t>
      </w:r>
      <w:r w:rsidR="009D1E76" w:rsidRPr="001D47B8">
        <w:rPr>
          <w:color w:val="010101"/>
          <w:w w:val="105"/>
          <w:sz w:val="21"/>
          <w:lang w:val="tr-TR"/>
        </w:rPr>
        <w:t xml:space="preserve"> aşırı derecede geniş kapsamlıdır ve </w:t>
      </w:r>
      <w:r w:rsidR="006766DB" w:rsidRPr="001D47B8">
        <w:rPr>
          <w:color w:val="010101"/>
          <w:w w:val="105"/>
          <w:sz w:val="21"/>
          <w:lang w:val="tr-TR"/>
        </w:rPr>
        <w:t>demokratik toplumda faal derneklerden beklenen en önemli rollerden biri olan</w:t>
      </w:r>
      <w:r w:rsidR="00466704">
        <w:rPr>
          <w:color w:val="010101"/>
          <w:w w:val="105"/>
          <w:sz w:val="21"/>
          <w:lang w:val="tr-TR"/>
        </w:rPr>
        <w:t>,</w:t>
      </w:r>
      <w:r w:rsidR="006766DB" w:rsidRPr="001D47B8">
        <w:rPr>
          <w:color w:val="010101"/>
          <w:w w:val="105"/>
          <w:sz w:val="21"/>
          <w:lang w:val="tr-TR"/>
        </w:rPr>
        <w:t xml:space="preserve"> </w:t>
      </w:r>
      <w:r w:rsidR="009D1E76" w:rsidRPr="001D47B8">
        <w:rPr>
          <w:color w:val="010101"/>
          <w:w w:val="105"/>
          <w:sz w:val="21"/>
          <w:lang w:val="tr-TR"/>
        </w:rPr>
        <w:t>yetkililere karşı eleştirel tutum</w:t>
      </w:r>
      <w:r w:rsidR="002F572F" w:rsidRPr="001D47B8">
        <w:rPr>
          <w:color w:val="010101"/>
          <w:w w:val="105"/>
          <w:sz w:val="21"/>
          <w:lang w:val="tr-TR"/>
        </w:rPr>
        <w:t xml:space="preserve"> </w:t>
      </w:r>
      <w:r w:rsidR="00DF3A0C" w:rsidRPr="001D47B8">
        <w:rPr>
          <w:color w:val="010101"/>
          <w:w w:val="105"/>
          <w:sz w:val="21"/>
          <w:lang w:val="tr-TR"/>
        </w:rPr>
        <w:t xml:space="preserve">sergilemek rolünü </w:t>
      </w:r>
      <w:r w:rsidR="002F572F" w:rsidRPr="001D47B8">
        <w:rPr>
          <w:color w:val="010101"/>
          <w:w w:val="105"/>
          <w:sz w:val="21"/>
          <w:lang w:val="tr-TR"/>
        </w:rPr>
        <w:t>benimseyen</w:t>
      </w:r>
      <w:r w:rsidR="00DF3A0C" w:rsidRPr="001D47B8">
        <w:rPr>
          <w:color w:val="010101"/>
          <w:w w:val="105"/>
          <w:sz w:val="21"/>
          <w:lang w:val="tr-TR"/>
        </w:rPr>
        <w:t xml:space="preserve"> STÖ’ler </w:t>
      </w:r>
      <w:r w:rsidR="002F572F" w:rsidRPr="001D47B8">
        <w:rPr>
          <w:color w:val="010101"/>
          <w:w w:val="105"/>
          <w:sz w:val="21"/>
          <w:lang w:val="tr-TR"/>
        </w:rPr>
        <w:t xml:space="preserve">başta olmak üzere tüm STÖ’ler üzerinde caydırıcı etkisi olacaktır. </w:t>
      </w:r>
    </w:p>
    <w:p w14:paraId="3696C60C" w14:textId="77777777" w:rsidR="001B3C12" w:rsidRPr="001D47B8" w:rsidRDefault="001B3C12" w:rsidP="001C4B9F">
      <w:pPr>
        <w:pStyle w:val="GvdeMetni"/>
        <w:spacing w:before="10"/>
        <w:jc w:val="both"/>
        <w:rPr>
          <w:lang w:val="tr-TR"/>
        </w:rPr>
      </w:pPr>
    </w:p>
    <w:p w14:paraId="026A1EA3" w14:textId="4B0D3F80" w:rsidR="00BE02C6" w:rsidRPr="001D47B8" w:rsidRDefault="00BE02C6" w:rsidP="009046A9">
      <w:pPr>
        <w:pStyle w:val="ListeParagraf"/>
        <w:numPr>
          <w:ilvl w:val="0"/>
          <w:numId w:val="6"/>
        </w:numPr>
        <w:tabs>
          <w:tab w:val="left" w:pos="671"/>
        </w:tabs>
        <w:spacing w:before="92" w:line="252" w:lineRule="auto"/>
        <w:ind w:left="129" w:right="329" w:firstLine="0"/>
        <w:rPr>
          <w:color w:val="010101"/>
          <w:sz w:val="21"/>
          <w:lang w:val="tr-TR"/>
        </w:rPr>
      </w:pPr>
      <w:r w:rsidRPr="001D47B8">
        <w:rPr>
          <w:color w:val="010101"/>
          <w:sz w:val="21"/>
          <w:lang w:val="tr-TR"/>
        </w:rPr>
        <w:t xml:space="preserve">Venedik Komisyonu, örgütlenme </w:t>
      </w:r>
      <w:r w:rsidR="009071B4" w:rsidRPr="001D47B8">
        <w:rPr>
          <w:color w:val="010101"/>
          <w:sz w:val="21"/>
          <w:lang w:val="tr-TR"/>
        </w:rPr>
        <w:t>özgürlüğüne getirilen kısıtlamalar</w:t>
      </w:r>
      <w:r w:rsidR="00EB01DA" w:rsidRPr="001D47B8">
        <w:rPr>
          <w:color w:val="010101"/>
          <w:sz w:val="21"/>
          <w:lang w:val="tr-TR"/>
        </w:rPr>
        <w:t>, sadece farazi bir tehdi</w:t>
      </w:r>
      <w:r w:rsidR="004A1883" w:rsidRPr="001D47B8">
        <w:rPr>
          <w:color w:val="010101"/>
          <w:sz w:val="21"/>
          <w:lang w:val="tr-TR"/>
        </w:rPr>
        <w:t>di</w:t>
      </w:r>
      <w:r w:rsidR="00EB01DA" w:rsidRPr="001D47B8">
        <w:rPr>
          <w:color w:val="010101"/>
          <w:sz w:val="21"/>
          <w:lang w:val="tr-TR"/>
        </w:rPr>
        <w:t xml:space="preserve"> değil, gerçek bir tehdidi önlemek amacında ise </w:t>
      </w:r>
      <w:r w:rsidR="00020F28">
        <w:rPr>
          <w:color w:val="010101"/>
          <w:sz w:val="21"/>
          <w:lang w:val="tr-TR"/>
        </w:rPr>
        <w:t xml:space="preserve">bu kısıtlamaların </w:t>
      </w:r>
      <w:r w:rsidR="00EB01DA" w:rsidRPr="001D47B8">
        <w:rPr>
          <w:color w:val="010101"/>
          <w:sz w:val="21"/>
          <w:lang w:val="tr-TR"/>
        </w:rPr>
        <w:t xml:space="preserve">meşru bir amaca yönelik </w:t>
      </w:r>
      <w:r w:rsidR="00020F28">
        <w:rPr>
          <w:color w:val="010101"/>
          <w:sz w:val="21"/>
          <w:lang w:val="tr-TR"/>
        </w:rPr>
        <w:t>olarak</w:t>
      </w:r>
      <w:r w:rsidR="004A1883" w:rsidRPr="001D47B8">
        <w:rPr>
          <w:color w:val="010101"/>
          <w:sz w:val="21"/>
          <w:lang w:val="tr-TR"/>
        </w:rPr>
        <w:t xml:space="preserve"> değerlendirilebileceğini yeniden belirtmektedir. </w:t>
      </w:r>
      <w:r w:rsidR="0019091A" w:rsidRPr="001D47B8">
        <w:rPr>
          <w:color w:val="010101"/>
          <w:sz w:val="21"/>
          <w:lang w:val="tr-TR"/>
        </w:rPr>
        <w:t>Dolayısıyla kısıtlamalar, Devlete ya da demokratik topluma yeterince yakın tehdi</w:t>
      </w:r>
      <w:r w:rsidR="00F46096" w:rsidRPr="001D47B8">
        <w:rPr>
          <w:color w:val="010101"/>
          <w:sz w:val="21"/>
          <w:lang w:val="tr-TR"/>
        </w:rPr>
        <w:t>t olduğuna dair “makul kanıt”</w:t>
      </w:r>
      <w:r w:rsidR="003E590E" w:rsidRPr="001D47B8">
        <w:rPr>
          <w:color w:val="010101"/>
          <w:sz w:val="21"/>
          <w:lang w:val="tr-TR"/>
        </w:rPr>
        <w:t xml:space="preserve"> olduğunu gösteren</w:t>
      </w:r>
      <w:r w:rsidR="00020F28">
        <w:rPr>
          <w:color w:val="010101"/>
          <w:sz w:val="21"/>
          <w:lang w:val="tr-TR"/>
        </w:rPr>
        <w:t>,</w:t>
      </w:r>
      <w:r w:rsidR="003E590E" w:rsidRPr="001D47B8">
        <w:rPr>
          <w:color w:val="010101"/>
          <w:sz w:val="21"/>
          <w:lang w:val="tr-TR"/>
        </w:rPr>
        <w:t xml:space="preserve"> </w:t>
      </w:r>
      <w:r w:rsidR="00B05D01" w:rsidRPr="001D47B8">
        <w:rPr>
          <w:color w:val="010101"/>
          <w:sz w:val="21"/>
          <w:lang w:val="tr-TR"/>
        </w:rPr>
        <w:t xml:space="preserve">önceden yapılan </w:t>
      </w:r>
      <w:r w:rsidR="00020F28">
        <w:rPr>
          <w:color w:val="010101"/>
          <w:sz w:val="21"/>
          <w:lang w:val="tr-TR"/>
        </w:rPr>
        <w:t xml:space="preserve">bir </w:t>
      </w:r>
      <w:r w:rsidR="003E590E" w:rsidRPr="001D47B8">
        <w:rPr>
          <w:color w:val="010101"/>
          <w:sz w:val="21"/>
          <w:lang w:val="tr-TR"/>
        </w:rPr>
        <w:t>risk değerlendirmesi</w:t>
      </w:r>
      <w:r w:rsidR="00B05D01" w:rsidRPr="001D47B8">
        <w:rPr>
          <w:color w:val="010101"/>
          <w:sz w:val="21"/>
          <w:lang w:val="tr-TR"/>
        </w:rPr>
        <w:t xml:space="preserve">ne dayalı olmalıdır. </w:t>
      </w:r>
      <w:r w:rsidR="0089784F" w:rsidRPr="001D47B8">
        <w:rPr>
          <w:color w:val="010101"/>
          <w:sz w:val="21"/>
          <w:lang w:val="tr-TR"/>
        </w:rPr>
        <w:t>STÖ sektörünün yols</w:t>
      </w:r>
      <w:r w:rsidR="006166B5" w:rsidRPr="001D47B8">
        <w:rPr>
          <w:color w:val="010101"/>
          <w:sz w:val="21"/>
          <w:lang w:val="tr-TR"/>
        </w:rPr>
        <w:t>u</w:t>
      </w:r>
      <w:r w:rsidR="0089784F" w:rsidRPr="001D47B8">
        <w:rPr>
          <w:color w:val="010101"/>
          <w:sz w:val="21"/>
          <w:lang w:val="tr-TR"/>
        </w:rPr>
        <w:t xml:space="preserve">zluk ya da kara para aklama </w:t>
      </w:r>
      <w:r w:rsidR="0089784F" w:rsidRPr="001D47B8">
        <w:rPr>
          <w:color w:val="010101"/>
          <w:sz w:val="21"/>
          <w:lang w:val="tr-TR"/>
        </w:rPr>
        <w:lastRenderedPageBreak/>
        <w:t>gibi suç</w:t>
      </w:r>
      <w:r w:rsidR="006461B3" w:rsidRPr="001D47B8">
        <w:rPr>
          <w:color w:val="010101"/>
          <w:sz w:val="21"/>
          <w:lang w:val="tr-TR"/>
        </w:rPr>
        <w:t xml:space="preserve">lara </w:t>
      </w:r>
      <w:r w:rsidR="006166B5" w:rsidRPr="001D47B8">
        <w:rPr>
          <w:color w:val="010101"/>
          <w:sz w:val="21"/>
          <w:lang w:val="tr-TR"/>
        </w:rPr>
        <w:t>dâhil</w:t>
      </w:r>
      <w:r w:rsidR="006461B3" w:rsidRPr="001D47B8">
        <w:rPr>
          <w:color w:val="010101"/>
          <w:sz w:val="21"/>
          <w:lang w:val="tr-TR"/>
        </w:rPr>
        <w:t xml:space="preserve"> olduğuna dair </w:t>
      </w:r>
      <w:r w:rsidR="0013616E" w:rsidRPr="001D47B8">
        <w:rPr>
          <w:color w:val="010101"/>
          <w:sz w:val="21"/>
          <w:lang w:val="tr-TR"/>
        </w:rPr>
        <w:t>doğrulanmış ve</w:t>
      </w:r>
      <w:r w:rsidR="00BA317A" w:rsidRPr="001D47B8">
        <w:rPr>
          <w:color w:val="010101"/>
          <w:sz w:val="21"/>
          <w:lang w:val="tr-TR"/>
        </w:rPr>
        <w:t xml:space="preserve"> somut </w:t>
      </w:r>
      <w:r w:rsidR="0013616E" w:rsidRPr="001D47B8">
        <w:rPr>
          <w:color w:val="010101"/>
          <w:sz w:val="21"/>
          <w:lang w:val="tr-TR"/>
        </w:rPr>
        <w:t xml:space="preserve">bir </w:t>
      </w:r>
      <w:r w:rsidR="00BA317A" w:rsidRPr="001D47B8">
        <w:rPr>
          <w:color w:val="010101"/>
          <w:sz w:val="21"/>
          <w:lang w:val="tr-TR"/>
        </w:rPr>
        <w:t>risk analiz</w:t>
      </w:r>
      <w:r w:rsidR="006166B5" w:rsidRPr="001D47B8">
        <w:rPr>
          <w:color w:val="010101"/>
          <w:sz w:val="21"/>
          <w:lang w:val="tr-TR"/>
        </w:rPr>
        <w:t>i</w:t>
      </w:r>
      <w:r w:rsidR="0013616E" w:rsidRPr="001D47B8">
        <w:rPr>
          <w:color w:val="010101"/>
          <w:sz w:val="21"/>
          <w:lang w:val="tr-TR"/>
        </w:rPr>
        <w:t xml:space="preserve"> olmadan</w:t>
      </w:r>
      <w:r w:rsidR="006166B5" w:rsidRPr="001D47B8">
        <w:rPr>
          <w:color w:val="010101"/>
          <w:sz w:val="21"/>
          <w:lang w:val="tr-TR"/>
        </w:rPr>
        <w:t xml:space="preserve">, STÖ sektörünün yasallığı ya da dürüstlüğü ile ilgili </w:t>
      </w:r>
      <w:r w:rsidR="00B8551E" w:rsidRPr="001D47B8">
        <w:rPr>
          <w:color w:val="010101"/>
          <w:sz w:val="21"/>
          <w:lang w:val="tr-TR"/>
        </w:rPr>
        <w:t xml:space="preserve">soyut </w:t>
      </w:r>
      <w:r w:rsidR="006166B5" w:rsidRPr="001D47B8">
        <w:rPr>
          <w:color w:val="010101"/>
          <w:sz w:val="21"/>
          <w:lang w:val="tr-TR"/>
        </w:rPr>
        <w:t>“kamu endişe</w:t>
      </w:r>
      <w:r w:rsidR="00954263" w:rsidRPr="001D47B8">
        <w:rPr>
          <w:color w:val="010101"/>
          <w:sz w:val="21"/>
          <w:lang w:val="tr-TR"/>
        </w:rPr>
        <w:t>leri</w:t>
      </w:r>
      <w:r w:rsidR="006166B5" w:rsidRPr="001D47B8">
        <w:rPr>
          <w:color w:val="010101"/>
          <w:sz w:val="21"/>
          <w:lang w:val="tr-TR"/>
        </w:rPr>
        <w:t>” ya da “şüphe</w:t>
      </w:r>
      <w:r w:rsidR="00B8551E" w:rsidRPr="001D47B8">
        <w:rPr>
          <w:color w:val="010101"/>
          <w:sz w:val="21"/>
          <w:lang w:val="tr-TR"/>
        </w:rPr>
        <w:t>ler</w:t>
      </w:r>
      <w:r w:rsidR="006166B5" w:rsidRPr="001D47B8">
        <w:rPr>
          <w:color w:val="010101"/>
          <w:sz w:val="21"/>
          <w:lang w:val="tr-TR"/>
        </w:rPr>
        <w:t>”</w:t>
      </w:r>
      <w:r w:rsidR="00B8551E" w:rsidRPr="001D47B8">
        <w:rPr>
          <w:color w:val="010101"/>
          <w:sz w:val="21"/>
          <w:lang w:val="tr-TR"/>
        </w:rPr>
        <w:t>, örgütlenme hakkının kısıtlanmasını haklı kılan meşru bir amaç teşkil edemez.</w:t>
      </w:r>
      <w:r w:rsidR="00954263" w:rsidRPr="001D47B8">
        <w:rPr>
          <w:rStyle w:val="DipnotBavurusu"/>
          <w:color w:val="010101"/>
          <w:sz w:val="21"/>
          <w:lang w:val="tr-TR"/>
        </w:rPr>
        <w:footnoteReference w:id="60"/>
      </w:r>
      <w:r w:rsidR="00B8551E" w:rsidRPr="001D47B8">
        <w:rPr>
          <w:color w:val="010101"/>
          <w:sz w:val="21"/>
          <w:lang w:val="tr-TR"/>
        </w:rPr>
        <w:t xml:space="preserve"> </w:t>
      </w:r>
      <w:r w:rsidR="00954263" w:rsidRPr="001D47B8">
        <w:rPr>
          <w:color w:val="010101"/>
          <w:sz w:val="21"/>
          <w:lang w:val="tr-TR"/>
        </w:rPr>
        <w:t xml:space="preserve">Dahası, </w:t>
      </w:r>
      <w:r w:rsidR="00200912" w:rsidRPr="001D47B8">
        <w:rPr>
          <w:color w:val="010101"/>
          <w:sz w:val="21"/>
          <w:lang w:val="tr-TR"/>
        </w:rPr>
        <w:t>yetkililer</w:t>
      </w:r>
      <w:r w:rsidR="00E0418F" w:rsidRPr="001D47B8">
        <w:rPr>
          <w:color w:val="010101"/>
          <w:sz w:val="21"/>
          <w:lang w:val="tr-TR"/>
        </w:rPr>
        <w:t>e göre</w:t>
      </w:r>
      <w:r w:rsidR="00200912" w:rsidRPr="001D47B8">
        <w:rPr>
          <w:color w:val="010101"/>
          <w:sz w:val="21"/>
          <w:lang w:val="tr-TR"/>
        </w:rPr>
        <w:t xml:space="preserve"> </w:t>
      </w:r>
      <w:r w:rsidR="006F44C9" w:rsidRPr="001D47B8">
        <w:rPr>
          <w:color w:val="010101"/>
          <w:sz w:val="21"/>
          <w:lang w:val="tr-TR"/>
        </w:rPr>
        <w:t>kısıtlama</w:t>
      </w:r>
      <w:r w:rsidR="00E0418F" w:rsidRPr="001D47B8">
        <w:rPr>
          <w:color w:val="010101"/>
          <w:sz w:val="21"/>
          <w:lang w:val="tr-TR"/>
        </w:rPr>
        <w:t>ya</w:t>
      </w:r>
      <w:r w:rsidR="00C376DE" w:rsidRPr="001D47B8">
        <w:rPr>
          <w:color w:val="010101"/>
          <w:sz w:val="21"/>
          <w:lang w:val="tr-TR"/>
        </w:rPr>
        <w:t xml:space="preserve"> temel oluşturan </w:t>
      </w:r>
      <w:r w:rsidR="00200912" w:rsidRPr="001D47B8">
        <w:rPr>
          <w:color w:val="010101"/>
          <w:sz w:val="21"/>
          <w:lang w:val="tr-TR"/>
        </w:rPr>
        <w:t>şüphey</w:t>
      </w:r>
      <w:r w:rsidR="006F44C9" w:rsidRPr="001D47B8">
        <w:rPr>
          <w:color w:val="010101"/>
          <w:sz w:val="21"/>
          <w:lang w:val="tr-TR"/>
        </w:rPr>
        <w:t>i</w:t>
      </w:r>
      <w:r w:rsidR="00200912" w:rsidRPr="001D47B8">
        <w:rPr>
          <w:color w:val="010101"/>
          <w:sz w:val="21"/>
          <w:lang w:val="tr-TR"/>
        </w:rPr>
        <w:t xml:space="preserve"> </w:t>
      </w:r>
      <w:r w:rsidR="0081576D" w:rsidRPr="001D47B8">
        <w:rPr>
          <w:color w:val="010101"/>
          <w:sz w:val="21"/>
          <w:lang w:val="tr-TR"/>
        </w:rPr>
        <w:t>ortadan kaldırması için ilgili derneğe yeter</w:t>
      </w:r>
      <w:r w:rsidR="006F44C9" w:rsidRPr="001D47B8">
        <w:rPr>
          <w:color w:val="010101"/>
          <w:sz w:val="21"/>
          <w:lang w:val="tr-TR"/>
        </w:rPr>
        <w:t xml:space="preserve">li fırsat tanınmalıdır. </w:t>
      </w:r>
    </w:p>
    <w:p w14:paraId="41658A7C" w14:textId="77777777" w:rsidR="001B3C12" w:rsidRPr="001D47B8" w:rsidRDefault="001B3C12" w:rsidP="001C4B9F">
      <w:pPr>
        <w:pStyle w:val="GvdeMetni"/>
        <w:spacing w:before="6"/>
        <w:jc w:val="both"/>
        <w:rPr>
          <w:lang w:val="tr-TR"/>
        </w:rPr>
      </w:pPr>
    </w:p>
    <w:p w14:paraId="6F7E8A24" w14:textId="205E6CF6" w:rsidR="001B3C12" w:rsidRPr="001D47B8" w:rsidRDefault="00144766" w:rsidP="001C4B9F">
      <w:pPr>
        <w:pStyle w:val="ListeParagraf"/>
        <w:numPr>
          <w:ilvl w:val="0"/>
          <w:numId w:val="4"/>
        </w:numPr>
        <w:tabs>
          <w:tab w:val="left" w:pos="942"/>
        </w:tabs>
        <w:ind w:left="941" w:hanging="246"/>
        <w:jc w:val="both"/>
        <w:rPr>
          <w:color w:val="010101"/>
          <w:lang w:val="tr-TR"/>
        </w:rPr>
      </w:pPr>
      <w:r w:rsidRPr="001D47B8">
        <w:rPr>
          <w:i/>
          <w:color w:val="010101"/>
          <w:w w:val="105"/>
          <w:sz w:val="21"/>
          <w:lang w:val="tr-TR"/>
        </w:rPr>
        <w:t>Denetim ile ilgili yükümlülüklerin ihlaline karşı artırılan yaptırımlar</w:t>
      </w:r>
    </w:p>
    <w:p w14:paraId="648671C6" w14:textId="77777777" w:rsidR="001B3C12" w:rsidRPr="001D47B8" w:rsidRDefault="001B3C12" w:rsidP="001C4B9F">
      <w:pPr>
        <w:pStyle w:val="GvdeMetni"/>
        <w:spacing w:before="7"/>
        <w:jc w:val="both"/>
        <w:rPr>
          <w:i/>
          <w:sz w:val="22"/>
          <w:lang w:val="tr-TR"/>
        </w:rPr>
      </w:pPr>
    </w:p>
    <w:p w14:paraId="26452383" w14:textId="1EAF91F9" w:rsidR="00370428" w:rsidRPr="001D47B8" w:rsidRDefault="00C41A1F" w:rsidP="007277DE">
      <w:pPr>
        <w:pStyle w:val="ListeParagraf"/>
        <w:numPr>
          <w:ilvl w:val="0"/>
          <w:numId w:val="6"/>
        </w:numPr>
        <w:tabs>
          <w:tab w:val="left" w:pos="671"/>
        </w:tabs>
        <w:spacing w:line="252" w:lineRule="auto"/>
        <w:ind w:left="128" w:right="324" w:firstLine="0"/>
        <w:rPr>
          <w:color w:val="010101"/>
          <w:sz w:val="21"/>
          <w:lang w:val="tr-TR"/>
        </w:rPr>
      </w:pPr>
      <w:r w:rsidRPr="001D47B8">
        <w:rPr>
          <w:color w:val="010101"/>
          <w:sz w:val="21"/>
          <w:lang w:val="tr-TR"/>
        </w:rPr>
        <w:t>7262 sayılı</w:t>
      </w:r>
      <w:r w:rsidR="00370428" w:rsidRPr="001D47B8">
        <w:rPr>
          <w:color w:val="010101"/>
          <w:sz w:val="21"/>
          <w:lang w:val="tr-TR"/>
        </w:rPr>
        <w:t xml:space="preserve"> Kanunun 16. maddesi ile </w:t>
      </w:r>
      <w:r w:rsidR="00975C07" w:rsidRPr="001D47B8">
        <w:rPr>
          <w:color w:val="010101"/>
          <w:sz w:val="21"/>
          <w:lang w:val="tr-TR"/>
        </w:rPr>
        <w:t>Dernekler Kanununun ceza</w:t>
      </w:r>
      <w:r w:rsidR="00CC7C90" w:rsidRPr="001D47B8">
        <w:rPr>
          <w:color w:val="010101"/>
          <w:sz w:val="21"/>
          <w:lang w:val="tr-TR"/>
        </w:rPr>
        <w:t xml:space="preserve"> hükümlerinin</w:t>
      </w:r>
      <w:r w:rsidR="00975C07" w:rsidRPr="001D47B8">
        <w:rPr>
          <w:color w:val="010101"/>
          <w:sz w:val="21"/>
          <w:lang w:val="tr-TR"/>
        </w:rPr>
        <w:t xml:space="preserve"> düzenlendiği </w:t>
      </w:r>
      <w:r w:rsidR="003F7F84" w:rsidRPr="001D47B8">
        <w:rPr>
          <w:color w:val="010101"/>
          <w:sz w:val="21"/>
          <w:lang w:val="tr-TR"/>
        </w:rPr>
        <w:t>32. maddesi</w:t>
      </w:r>
      <w:r w:rsidR="00975C07" w:rsidRPr="001D47B8">
        <w:rPr>
          <w:color w:val="010101"/>
          <w:sz w:val="21"/>
          <w:lang w:val="tr-TR"/>
        </w:rPr>
        <w:t>nde değişiklik yapılmıştır.</w:t>
      </w:r>
      <w:r w:rsidR="00B85274" w:rsidRPr="001D47B8">
        <w:rPr>
          <w:color w:val="010101"/>
          <w:sz w:val="21"/>
          <w:lang w:val="tr-TR"/>
        </w:rPr>
        <w:t xml:space="preserve"> </w:t>
      </w:r>
      <w:r w:rsidR="00E00CEF" w:rsidRPr="001D47B8">
        <w:rPr>
          <w:color w:val="010101"/>
          <w:sz w:val="21"/>
          <w:lang w:val="tr-TR"/>
        </w:rPr>
        <w:t xml:space="preserve">Yardım Toplama </w:t>
      </w:r>
      <w:r w:rsidR="00F92C10" w:rsidRPr="001D47B8">
        <w:rPr>
          <w:color w:val="010101"/>
          <w:sz w:val="21"/>
          <w:lang w:val="tr-TR"/>
        </w:rPr>
        <w:t>Kanunun</w:t>
      </w:r>
      <w:r w:rsidR="00E00CEF" w:rsidRPr="001D47B8">
        <w:rPr>
          <w:color w:val="010101"/>
          <w:sz w:val="21"/>
          <w:lang w:val="tr-TR"/>
        </w:rPr>
        <w:t>un iç denetim ile ilgili</w:t>
      </w:r>
      <w:r w:rsidR="00F92C10" w:rsidRPr="001D47B8">
        <w:rPr>
          <w:color w:val="010101"/>
          <w:sz w:val="21"/>
          <w:lang w:val="tr-TR"/>
        </w:rPr>
        <w:t xml:space="preserve"> 9. maddesi</w:t>
      </w:r>
      <w:r w:rsidR="00517B01">
        <w:rPr>
          <w:color w:val="010101"/>
          <w:sz w:val="21"/>
          <w:lang w:val="tr-TR"/>
        </w:rPr>
        <w:t>nde</w:t>
      </w:r>
      <w:r w:rsidR="0029531A" w:rsidRPr="001D47B8">
        <w:rPr>
          <w:color w:val="010101"/>
          <w:sz w:val="21"/>
          <w:lang w:val="tr-TR"/>
        </w:rPr>
        <w:t xml:space="preserve">, </w:t>
      </w:r>
      <w:r w:rsidR="00E00CEF" w:rsidRPr="001D47B8">
        <w:rPr>
          <w:color w:val="010101"/>
          <w:sz w:val="21"/>
          <w:lang w:val="tr-TR"/>
        </w:rPr>
        <w:t>b</w:t>
      </w:r>
      <w:r w:rsidR="0029531A" w:rsidRPr="001D47B8">
        <w:rPr>
          <w:color w:val="010101"/>
          <w:sz w:val="21"/>
          <w:lang w:val="tr-TR"/>
        </w:rPr>
        <w:t>eyanname verme zorunluluğu ve denetim</w:t>
      </w:r>
      <w:r w:rsidR="00E00CEF" w:rsidRPr="001D47B8">
        <w:rPr>
          <w:color w:val="010101"/>
          <w:sz w:val="21"/>
          <w:lang w:val="tr-TR"/>
        </w:rPr>
        <w:t xml:space="preserve"> ile ilgili 19. maddesinde</w:t>
      </w:r>
      <w:r w:rsidR="00D21A91" w:rsidRPr="001D47B8">
        <w:rPr>
          <w:color w:val="010101"/>
          <w:sz w:val="21"/>
          <w:lang w:val="tr-TR"/>
        </w:rPr>
        <w:t xml:space="preserve"> ve </w:t>
      </w:r>
      <w:r w:rsidR="002A1425" w:rsidRPr="001D47B8">
        <w:rPr>
          <w:color w:val="010101"/>
          <w:sz w:val="21"/>
          <w:lang w:val="tr-TR"/>
        </w:rPr>
        <w:t xml:space="preserve">yurtdışından alınan ve verilen yardımlar hakkında yetkililere bildirimde bulunma </w:t>
      </w:r>
      <w:r w:rsidR="00B85274" w:rsidRPr="001D47B8">
        <w:rPr>
          <w:color w:val="010101"/>
          <w:sz w:val="21"/>
          <w:lang w:val="tr-TR"/>
        </w:rPr>
        <w:t>zorunluluğuna ilişkin</w:t>
      </w:r>
      <w:r w:rsidR="008F00DF" w:rsidRPr="001D47B8">
        <w:rPr>
          <w:color w:val="010101"/>
          <w:sz w:val="21"/>
          <w:lang w:val="tr-TR"/>
        </w:rPr>
        <w:t xml:space="preserve"> (7262 sayılı Kanunun 14. maddesi ile değiştirilen)</w:t>
      </w:r>
      <w:r w:rsidR="00B85274" w:rsidRPr="001D47B8">
        <w:rPr>
          <w:color w:val="010101"/>
          <w:sz w:val="21"/>
          <w:lang w:val="tr-TR"/>
        </w:rPr>
        <w:t xml:space="preserve"> </w:t>
      </w:r>
      <w:r w:rsidR="00D21A91" w:rsidRPr="001D47B8">
        <w:rPr>
          <w:color w:val="010101"/>
          <w:sz w:val="21"/>
          <w:lang w:val="tr-TR"/>
        </w:rPr>
        <w:t xml:space="preserve">21. maddesinde </w:t>
      </w:r>
      <w:r w:rsidR="00F92C10" w:rsidRPr="001D47B8">
        <w:rPr>
          <w:color w:val="010101"/>
          <w:sz w:val="21"/>
          <w:lang w:val="tr-TR"/>
        </w:rPr>
        <w:t>belirtilen yükümlülüklerin</w:t>
      </w:r>
      <w:r w:rsidR="00734971" w:rsidRPr="001D47B8">
        <w:rPr>
          <w:color w:val="010101"/>
          <w:sz w:val="21"/>
          <w:lang w:val="tr-TR"/>
        </w:rPr>
        <w:t xml:space="preserve"> yerine getirilmemesi halinde</w:t>
      </w:r>
      <w:r w:rsidR="00D21A91" w:rsidRPr="001D47B8">
        <w:rPr>
          <w:color w:val="010101"/>
          <w:sz w:val="21"/>
          <w:lang w:val="tr-TR"/>
        </w:rPr>
        <w:t xml:space="preserve"> ek idari para cezaları öngörülmektedir. </w:t>
      </w:r>
    </w:p>
    <w:p w14:paraId="5A5C7382" w14:textId="77777777" w:rsidR="001E555E" w:rsidRPr="001D47B8" w:rsidRDefault="001E555E" w:rsidP="001E555E">
      <w:pPr>
        <w:pStyle w:val="ListeParagraf"/>
        <w:tabs>
          <w:tab w:val="left" w:pos="671"/>
        </w:tabs>
        <w:spacing w:line="252" w:lineRule="auto"/>
        <w:ind w:left="128" w:right="324" w:firstLine="0"/>
        <w:rPr>
          <w:color w:val="010101"/>
          <w:sz w:val="21"/>
          <w:lang w:val="tr-TR"/>
        </w:rPr>
      </w:pPr>
    </w:p>
    <w:p w14:paraId="5AF780EF" w14:textId="143535A2" w:rsidR="001E555E" w:rsidRPr="001D47B8" w:rsidRDefault="00CB332A" w:rsidP="007277DE">
      <w:pPr>
        <w:pStyle w:val="ListeParagraf"/>
        <w:numPr>
          <w:ilvl w:val="0"/>
          <w:numId w:val="6"/>
        </w:numPr>
        <w:tabs>
          <w:tab w:val="left" w:pos="671"/>
        </w:tabs>
        <w:spacing w:line="252" w:lineRule="auto"/>
        <w:ind w:left="128" w:right="324" w:firstLine="0"/>
        <w:rPr>
          <w:color w:val="010101"/>
          <w:sz w:val="21"/>
          <w:lang w:val="tr-TR"/>
        </w:rPr>
      </w:pPr>
      <w:r w:rsidRPr="001D47B8">
        <w:rPr>
          <w:color w:val="010101"/>
          <w:sz w:val="21"/>
          <w:lang w:val="tr-TR"/>
        </w:rPr>
        <w:t xml:space="preserve">  9. ve 19. maddelerinin üçüncü fıkralarında belirtilen zorunluluğa uymayanlar ile tutulması zorunlu olan defter ve belgelerin, elde olmayan bir nedenle okunamayacak hâle gelmesi veya kaybolması hâlinde, </w:t>
      </w:r>
      <w:r w:rsidR="001C5BBB" w:rsidRPr="001D47B8">
        <w:rPr>
          <w:color w:val="010101"/>
          <w:sz w:val="21"/>
          <w:lang w:val="tr-TR"/>
        </w:rPr>
        <w:t xml:space="preserve">bunu </w:t>
      </w:r>
      <w:r w:rsidRPr="001D47B8">
        <w:rPr>
          <w:color w:val="010101"/>
          <w:sz w:val="21"/>
          <w:lang w:val="tr-TR"/>
        </w:rPr>
        <w:t>öğrenme tarihinden itibaren on beş gün içinde yetkili mahkeme</w:t>
      </w:r>
      <w:r w:rsidR="00EB483C" w:rsidRPr="001D47B8">
        <w:rPr>
          <w:color w:val="010101"/>
          <w:sz w:val="21"/>
          <w:lang w:val="tr-TR"/>
        </w:rPr>
        <w:t>den</w:t>
      </w:r>
      <w:r w:rsidRPr="001D47B8">
        <w:rPr>
          <w:color w:val="010101"/>
          <w:sz w:val="21"/>
          <w:lang w:val="tr-TR"/>
        </w:rPr>
        <w:t xml:space="preserve"> zayi belgesi </w:t>
      </w:r>
      <w:r w:rsidR="00B628FE" w:rsidRPr="001D47B8">
        <w:rPr>
          <w:color w:val="010101"/>
          <w:sz w:val="21"/>
          <w:lang w:val="tr-TR"/>
        </w:rPr>
        <w:t>almayan</w:t>
      </w:r>
      <w:r w:rsidRPr="001D47B8">
        <w:rPr>
          <w:color w:val="010101"/>
          <w:sz w:val="21"/>
          <w:lang w:val="tr-TR"/>
        </w:rPr>
        <w:t xml:space="preserve"> veya bu belgeyi denetim sırasında ibraz edemeyenler </w:t>
      </w:r>
      <w:r w:rsidR="00370FA8" w:rsidRPr="001D47B8">
        <w:rPr>
          <w:color w:val="010101"/>
          <w:sz w:val="21"/>
          <w:lang w:val="tr-TR"/>
        </w:rPr>
        <w:t xml:space="preserve">için </w:t>
      </w:r>
      <w:r w:rsidR="002802D2" w:rsidRPr="001D47B8">
        <w:rPr>
          <w:color w:val="010101"/>
          <w:sz w:val="21"/>
          <w:lang w:val="tr-TR"/>
        </w:rPr>
        <w:t xml:space="preserve">32. Maddenin fıkrasında </w:t>
      </w:r>
      <w:r w:rsidR="00370FA8" w:rsidRPr="001D47B8">
        <w:rPr>
          <w:color w:val="010101"/>
          <w:sz w:val="21"/>
          <w:lang w:val="tr-TR"/>
        </w:rPr>
        <w:t xml:space="preserve">öngörülen </w:t>
      </w:r>
      <w:r w:rsidRPr="001D47B8">
        <w:rPr>
          <w:color w:val="010101"/>
          <w:sz w:val="21"/>
          <w:lang w:val="tr-TR"/>
        </w:rPr>
        <w:t>üç ay</w:t>
      </w:r>
      <w:r w:rsidR="00370FA8" w:rsidRPr="001D47B8">
        <w:rPr>
          <w:color w:val="010101"/>
          <w:sz w:val="21"/>
          <w:lang w:val="tr-TR"/>
        </w:rPr>
        <w:t xml:space="preserve">lık hapis cezası </w:t>
      </w:r>
      <w:r w:rsidRPr="001D47B8">
        <w:rPr>
          <w:color w:val="010101"/>
          <w:sz w:val="21"/>
          <w:lang w:val="tr-TR"/>
        </w:rPr>
        <w:t xml:space="preserve">bir yıla kadar </w:t>
      </w:r>
      <w:r w:rsidR="00E06246" w:rsidRPr="001D47B8">
        <w:rPr>
          <w:color w:val="010101"/>
          <w:sz w:val="21"/>
          <w:lang w:val="tr-TR"/>
        </w:rPr>
        <w:t>uzatılm</w:t>
      </w:r>
      <w:r w:rsidR="00FD7D6F">
        <w:rPr>
          <w:color w:val="010101"/>
          <w:sz w:val="21"/>
          <w:lang w:val="tr-TR"/>
        </w:rPr>
        <w:t xml:space="preserve">akla beraber bunun yerine </w:t>
      </w:r>
      <w:r w:rsidR="00B15836" w:rsidRPr="001D47B8">
        <w:rPr>
          <w:color w:val="010101"/>
          <w:sz w:val="21"/>
          <w:lang w:val="tr-TR"/>
        </w:rPr>
        <w:t>idari p</w:t>
      </w:r>
      <w:r w:rsidRPr="001D47B8">
        <w:rPr>
          <w:color w:val="010101"/>
          <w:sz w:val="21"/>
          <w:lang w:val="tr-TR"/>
        </w:rPr>
        <w:t xml:space="preserve">ara cezası </w:t>
      </w:r>
      <w:r w:rsidR="00C02C40" w:rsidRPr="001D47B8">
        <w:rPr>
          <w:color w:val="010101"/>
          <w:sz w:val="21"/>
          <w:lang w:val="tr-TR"/>
        </w:rPr>
        <w:t>uygulana</w:t>
      </w:r>
      <w:r w:rsidR="00FD7D6F">
        <w:rPr>
          <w:color w:val="010101"/>
          <w:sz w:val="21"/>
          <w:lang w:val="tr-TR"/>
        </w:rPr>
        <w:t>bilecektir</w:t>
      </w:r>
      <w:r w:rsidR="004E32B6" w:rsidRPr="001D47B8">
        <w:rPr>
          <w:color w:val="010101"/>
          <w:sz w:val="21"/>
          <w:lang w:val="tr-TR"/>
        </w:rPr>
        <w:t>.</w:t>
      </w:r>
      <w:r w:rsidRPr="001D47B8">
        <w:rPr>
          <w:color w:val="010101"/>
          <w:sz w:val="21"/>
          <w:lang w:val="tr-TR"/>
        </w:rPr>
        <w:t xml:space="preserve"> </w:t>
      </w:r>
    </w:p>
    <w:p w14:paraId="092714E0" w14:textId="3B588AE0" w:rsidR="00ED370D" w:rsidRPr="001D47B8" w:rsidRDefault="00ED370D" w:rsidP="00ED370D">
      <w:pPr>
        <w:pStyle w:val="ListeParagraf"/>
        <w:tabs>
          <w:tab w:val="left" w:pos="671"/>
        </w:tabs>
        <w:spacing w:line="252" w:lineRule="auto"/>
        <w:ind w:left="128" w:right="324" w:firstLine="0"/>
        <w:rPr>
          <w:color w:val="010101"/>
          <w:sz w:val="21"/>
          <w:lang w:val="tr-TR"/>
        </w:rPr>
      </w:pPr>
    </w:p>
    <w:p w14:paraId="6677B8C9" w14:textId="4D0B6B0B" w:rsidR="00B12091" w:rsidRPr="001D47B8" w:rsidRDefault="007F0CEE" w:rsidP="003E1989">
      <w:pPr>
        <w:pStyle w:val="ListeParagraf"/>
        <w:numPr>
          <w:ilvl w:val="0"/>
          <w:numId w:val="6"/>
        </w:numPr>
        <w:tabs>
          <w:tab w:val="left" w:pos="671"/>
        </w:tabs>
        <w:spacing w:line="252" w:lineRule="auto"/>
        <w:ind w:left="128" w:right="324" w:firstLine="0"/>
        <w:rPr>
          <w:color w:val="010101"/>
          <w:sz w:val="21"/>
          <w:lang w:val="tr-TR"/>
        </w:rPr>
      </w:pPr>
      <w:r w:rsidRPr="001D47B8">
        <w:rPr>
          <w:color w:val="010101"/>
          <w:sz w:val="21"/>
          <w:lang w:val="tr-TR"/>
        </w:rPr>
        <w:t>32</w:t>
      </w:r>
      <w:r w:rsidR="00B12091" w:rsidRPr="001D47B8">
        <w:rPr>
          <w:color w:val="010101"/>
          <w:sz w:val="21"/>
          <w:lang w:val="tr-TR"/>
        </w:rPr>
        <w:t>. Maddede ayrıca</w:t>
      </w:r>
      <w:r w:rsidR="007B7D88" w:rsidRPr="001D47B8">
        <w:rPr>
          <w:color w:val="010101"/>
          <w:sz w:val="21"/>
          <w:lang w:val="tr-TR"/>
        </w:rPr>
        <w:t>,</w:t>
      </w:r>
      <w:r w:rsidR="00B12091" w:rsidRPr="001D47B8">
        <w:rPr>
          <w:color w:val="010101"/>
          <w:sz w:val="21"/>
          <w:lang w:val="tr-TR"/>
        </w:rPr>
        <w:t xml:space="preserve"> </w:t>
      </w:r>
      <w:r w:rsidR="003C40C8" w:rsidRPr="001D47B8">
        <w:rPr>
          <w:color w:val="010101"/>
          <w:sz w:val="21"/>
          <w:lang w:val="tr-TR"/>
        </w:rPr>
        <w:t>yurtdışından alınan ya da yurtdışına yollanan yardımlar ile ilgi bildirimde bulunma ve</w:t>
      </w:r>
      <w:r w:rsidR="00E53B93" w:rsidRPr="001D47B8">
        <w:rPr>
          <w:color w:val="010101"/>
          <w:sz w:val="21"/>
          <w:lang w:val="tr-TR"/>
        </w:rPr>
        <w:t xml:space="preserve"> </w:t>
      </w:r>
      <w:r w:rsidR="003C40C8" w:rsidRPr="001D47B8">
        <w:rPr>
          <w:color w:val="010101"/>
          <w:sz w:val="21"/>
          <w:lang w:val="tr-TR"/>
        </w:rPr>
        <w:t xml:space="preserve">yardımı banka aracılığıyla yollama yükümlülüklere aykırı hareket edenlere </w:t>
      </w:r>
      <w:r w:rsidR="00B12091" w:rsidRPr="001D47B8">
        <w:rPr>
          <w:color w:val="010101"/>
          <w:sz w:val="21"/>
          <w:lang w:val="tr-TR"/>
        </w:rPr>
        <w:t>5</w:t>
      </w:r>
      <w:r w:rsidR="00291FB8" w:rsidRPr="001D47B8">
        <w:rPr>
          <w:color w:val="010101"/>
          <w:sz w:val="21"/>
          <w:lang w:val="tr-TR"/>
        </w:rPr>
        <w:t>,</w:t>
      </w:r>
      <w:r w:rsidR="00B12091" w:rsidRPr="001D47B8">
        <w:rPr>
          <w:color w:val="010101"/>
          <w:sz w:val="21"/>
          <w:lang w:val="tr-TR"/>
        </w:rPr>
        <w:t xml:space="preserve">000 </w:t>
      </w:r>
      <w:r w:rsidR="00291FB8" w:rsidRPr="001D47B8">
        <w:rPr>
          <w:color w:val="010101"/>
          <w:sz w:val="21"/>
          <w:lang w:val="tr-TR"/>
        </w:rPr>
        <w:t>ile</w:t>
      </w:r>
      <w:r w:rsidR="00B12091" w:rsidRPr="001D47B8">
        <w:rPr>
          <w:color w:val="010101"/>
          <w:sz w:val="21"/>
          <w:lang w:val="tr-TR"/>
        </w:rPr>
        <w:t xml:space="preserve"> 100,000</w:t>
      </w:r>
      <w:r w:rsidR="00291FB8" w:rsidRPr="001D47B8">
        <w:rPr>
          <w:color w:val="010101"/>
          <w:sz w:val="21"/>
          <w:lang w:val="tr-TR"/>
        </w:rPr>
        <w:t xml:space="preserve"> Türk lirası arasında</w:t>
      </w:r>
      <w:r w:rsidR="003C40C8" w:rsidRPr="001D47B8">
        <w:rPr>
          <w:color w:val="010101"/>
          <w:sz w:val="21"/>
          <w:lang w:val="tr-TR"/>
        </w:rPr>
        <w:t xml:space="preserve"> idari para cezası</w:t>
      </w:r>
      <w:r w:rsidR="00E53B93" w:rsidRPr="001D47B8">
        <w:rPr>
          <w:color w:val="010101"/>
          <w:sz w:val="21"/>
          <w:lang w:val="tr-TR"/>
        </w:rPr>
        <w:t xml:space="preserve"> öngörülmektedir. </w:t>
      </w:r>
      <w:r w:rsidR="006656BE" w:rsidRPr="001D47B8">
        <w:rPr>
          <w:color w:val="010101"/>
          <w:sz w:val="21"/>
          <w:lang w:val="tr-TR"/>
        </w:rPr>
        <w:t>Bu yaptırım, kanun</w:t>
      </w:r>
      <w:r w:rsidR="001E62FA" w:rsidRPr="001D47B8">
        <w:rPr>
          <w:color w:val="010101"/>
          <w:sz w:val="21"/>
          <w:lang w:val="tr-TR"/>
        </w:rPr>
        <w:t xml:space="preserve">da benimsenen </w:t>
      </w:r>
      <w:r w:rsidR="006656BE" w:rsidRPr="001D47B8">
        <w:rPr>
          <w:color w:val="010101"/>
          <w:sz w:val="21"/>
          <w:lang w:val="tr-TR"/>
        </w:rPr>
        <w:t>genel mantı</w:t>
      </w:r>
      <w:r w:rsidR="001E62FA" w:rsidRPr="001D47B8">
        <w:rPr>
          <w:color w:val="010101"/>
          <w:sz w:val="21"/>
          <w:lang w:val="tr-TR"/>
        </w:rPr>
        <w:t>k çerçeves</w:t>
      </w:r>
      <w:r w:rsidR="00B672CE">
        <w:rPr>
          <w:color w:val="010101"/>
          <w:sz w:val="21"/>
          <w:lang w:val="tr-TR"/>
        </w:rPr>
        <w:t>inde</w:t>
      </w:r>
      <w:r w:rsidR="001E62FA" w:rsidRPr="001D47B8">
        <w:rPr>
          <w:color w:val="010101"/>
          <w:sz w:val="21"/>
          <w:lang w:val="tr-TR"/>
        </w:rPr>
        <w:t xml:space="preserve">, suçtan kaynaklanan </w:t>
      </w:r>
      <w:r w:rsidR="00A463E6" w:rsidRPr="001D47B8">
        <w:rPr>
          <w:color w:val="010101"/>
          <w:sz w:val="21"/>
          <w:lang w:val="tr-TR"/>
        </w:rPr>
        <w:t>gelirlerin</w:t>
      </w:r>
      <w:r w:rsidR="001E62FA" w:rsidRPr="001D47B8">
        <w:rPr>
          <w:color w:val="010101"/>
          <w:sz w:val="21"/>
          <w:lang w:val="tr-TR"/>
        </w:rPr>
        <w:t xml:space="preserve"> aklanması ve </w:t>
      </w:r>
      <w:r w:rsidR="00026F52" w:rsidRPr="001D47B8">
        <w:rPr>
          <w:color w:val="010101"/>
          <w:sz w:val="21"/>
          <w:lang w:val="tr-TR"/>
        </w:rPr>
        <w:t xml:space="preserve">terörizmin finansmanı suçlarının ötesinde tüm vakalar için geçerlidir. </w:t>
      </w:r>
    </w:p>
    <w:p w14:paraId="375DC349" w14:textId="23198975" w:rsidR="00591D34" w:rsidRPr="001D47B8" w:rsidRDefault="00591D34" w:rsidP="00591D34">
      <w:pPr>
        <w:pStyle w:val="ListeParagraf"/>
        <w:tabs>
          <w:tab w:val="left" w:pos="671"/>
        </w:tabs>
        <w:spacing w:line="252" w:lineRule="auto"/>
        <w:ind w:left="128" w:right="324" w:firstLine="0"/>
        <w:rPr>
          <w:color w:val="010101"/>
          <w:sz w:val="21"/>
          <w:lang w:val="tr-TR"/>
        </w:rPr>
      </w:pPr>
    </w:p>
    <w:p w14:paraId="0E538A07" w14:textId="7E889F14" w:rsidR="00591D34" w:rsidRPr="001D47B8" w:rsidRDefault="00591D34" w:rsidP="001C4B9F">
      <w:pPr>
        <w:pStyle w:val="ListeParagraf"/>
        <w:numPr>
          <w:ilvl w:val="0"/>
          <w:numId w:val="6"/>
        </w:numPr>
        <w:tabs>
          <w:tab w:val="left" w:pos="671"/>
        </w:tabs>
        <w:spacing w:line="249" w:lineRule="auto"/>
        <w:ind w:left="124" w:right="325" w:firstLine="4"/>
        <w:rPr>
          <w:color w:val="010101"/>
          <w:sz w:val="21"/>
          <w:lang w:val="tr-TR"/>
        </w:rPr>
      </w:pPr>
      <w:r w:rsidRPr="001D47B8">
        <w:rPr>
          <w:color w:val="010101"/>
          <w:sz w:val="21"/>
          <w:lang w:val="tr-TR"/>
        </w:rPr>
        <w:t>Venedik Komisyonu para cezaların</w:t>
      </w:r>
      <w:r w:rsidR="006430D7" w:rsidRPr="001D47B8">
        <w:rPr>
          <w:color w:val="010101"/>
          <w:sz w:val="21"/>
          <w:lang w:val="tr-TR"/>
        </w:rPr>
        <w:t>ın</w:t>
      </w:r>
      <w:r w:rsidRPr="001D47B8">
        <w:rPr>
          <w:color w:val="010101"/>
          <w:sz w:val="21"/>
          <w:lang w:val="tr-TR"/>
        </w:rPr>
        <w:t xml:space="preserve"> ve </w:t>
      </w:r>
      <w:r w:rsidR="007C4832" w:rsidRPr="001D47B8">
        <w:rPr>
          <w:color w:val="010101"/>
          <w:sz w:val="21"/>
          <w:lang w:val="tr-TR"/>
        </w:rPr>
        <w:t>diğer cezalar</w:t>
      </w:r>
      <w:r w:rsidR="006430D7" w:rsidRPr="001D47B8">
        <w:rPr>
          <w:color w:val="010101"/>
          <w:sz w:val="21"/>
          <w:lang w:val="tr-TR"/>
        </w:rPr>
        <w:t>ın</w:t>
      </w:r>
      <w:r w:rsidR="007C4832" w:rsidRPr="001D47B8">
        <w:rPr>
          <w:color w:val="010101"/>
          <w:sz w:val="21"/>
          <w:lang w:val="tr-TR"/>
        </w:rPr>
        <w:t xml:space="preserve"> önemli </w:t>
      </w:r>
      <w:r w:rsidR="006430D7" w:rsidRPr="001D47B8">
        <w:rPr>
          <w:color w:val="010101"/>
          <w:sz w:val="21"/>
          <w:lang w:val="tr-TR"/>
        </w:rPr>
        <w:t>ölçüde art</w:t>
      </w:r>
      <w:r w:rsidR="00D72D6A" w:rsidRPr="001D47B8">
        <w:rPr>
          <w:color w:val="010101"/>
          <w:sz w:val="21"/>
          <w:lang w:val="tr-TR"/>
        </w:rPr>
        <w:t>ırılmasının</w:t>
      </w:r>
      <w:r w:rsidR="007C4832" w:rsidRPr="001D47B8">
        <w:rPr>
          <w:color w:val="010101"/>
          <w:sz w:val="21"/>
          <w:lang w:val="tr-TR"/>
        </w:rPr>
        <w:t xml:space="preserve"> ölçüsüz yaptırımlara</w:t>
      </w:r>
      <w:r w:rsidR="003B76A8" w:rsidRPr="001D47B8">
        <w:rPr>
          <w:color w:val="010101"/>
          <w:sz w:val="21"/>
          <w:lang w:val="tr-TR"/>
        </w:rPr>
        <w:t xml:space="preserve"> yol açabileceğinden ve sadece dernekler değil, aynı zamanda dernek üyeleri ve </w:t>
      </w:r>
      <w:r w:rsidR="00D72D6A" w:rsidRPr="001D47B8">
        <w:rPr>
          <w:color w:val="010101"/>
          <w:sz w:val="21"/>
          <w:lang w:val="tr-TR"/>
        </w:rPr>
        <w:t>potansiyel</w:t>
      </w:r>
      <w:r w:rsidR="003B76A8" w:rsidRPr="001D47B8">
        <w:rPr>
          <w:color w:val="010101"/>
          <w:sz w:val="21"/>
          <w:lang w:val="tr-TR"/>
        </w:rPr>
        <w:t xml:space="preserve"> donörler üzerinde caydırıcı bir etkisi olabileceğinden endişe duymaktadır. </w:t>
      </w:r>
    </w:p>
    <w:p w14:paraId="5E9DAD9D" w14:textId="77777777" w:rsidR="00591D34" w:rsidRPr="001D47B8" w:rsidRDefault="00591D34" w:rsidP="00591D34">
      <w:pPr>
        <w:pStyle w:val="ListeParagraf"/>
        <w:tabs>
          <w:tab w:val="left" w:pos="671"/>
        </w:tabs>
        <w:spacing w:line="249" w:lineRule="auto"/>
        <w:ind w:left="128" w:right="325" w:firstLine="0"/>
        <w:rPr>
          <w:color w:val="010101"/>
          <w:sz w:val="21"/>
          <w:lang w:val="tr-TR"/>
        </w:rPr>
      </w:pPr>
    </w:p>
    <w:p w14:paraId="3ED1C643" w14:textId="6B1C6E93" w:rsidR="001B3C12" w:rsidRPr="001D47B8" w:rsidRDefault="00C77180" w:rsidP="001C4B9F">
      <w:pPr>
        <w:pStyle w:val="Balk2"/>
        <w:spacing w:before="1" w:line="247" w:lineRule="auto"/>
        <w:ind w:left="692" w:right="776" w:firstLine="2"/>
        <w:jc w:val="both"/>
        <w:rPr>
          <w:lang w:val="tr-TR"/>
        </w:rPr>
      </w:pPr>
      <w:bookmarkStart w:id="9" w:name="_TOC_250002"/>
      <w:r w:rsidRPr="001D47B8">
        <w:rPr>
          <w:color w:val="010101"/>
          <w:w w:val="105"/>
          <w:lang w:val="tr-TR"/>
        </w:rPr>
        <w:t>4.</w:t>
      </w:r>
      <w:r w:rsidRPr="001D47B8">
        <w:rPr>
          <w:color w:val="010101"/>
          <w:spacing w:val="1"/>
          <w:w w:val="105"/>
          <w:lang w:val="tr-TR"/>
        </w:rPr>
        <w:t xml:space="preserve"> </w:t>
      </w:r>
      <w:bookmarkEnd w:id="9"/>
      <w:r w:rsidR="00127141" w:rsidRPr="001D47B8">
        <w:rPr>
          <w:color w:val="010101"/>
          <w:w w:val="105"/>
          <w:lang w:val="tr-TR"/>
        </w:rPr>
        <w:t>STÖ’lerde idari kadronun görevden alınması ve kurul üyeleri yerine yapılan atamalar  (Dernekler Kanununun 30/A (1). maddesi)</w:t>
      </w:r>
      <w:r w:rsidR="00127141" w:rsidRPr="001D47B8">
        <w:rPr>
          <w:color w:val="010101"/>
          <w:w w:val="105"/>
          <w:lang w:val="tr-TR"/>
        </w:rPr>
        <w:tab/>
      </w:r>
    </w:p>
    <w:p w14:paraId="10AFC080" w14:textId="77777777" w:rsidR="001B3C12" w:rsidRPr="001D47B8" w:rsidRDefault="001B3C12" w:rsidP="001C4B9F">
      <w:pPr>
        <w:pStyle w:val="GvdeMetni"/>
        <w:spacing w:before="8"/>
        <w:jc w:val="both"/>
        <w:rPr>
          <w:b/>
          <w:sz w:val="22"/>
          <w:lang w:val="tr-TR"/>
        </w:rPr>
      </w:pPr>
    </w:p>
    <w:p w14:paraId="478784B3" w14:textId="0C307BA6" w:rsidR="001D2ED8" w:rsidRPr="001D47B8" w:rsidRDefault="000C18C8" w:rsidP="001C4B9F">
      <w:pPr>
        <w:pStyle w:val="ListeParagraf"/>
        <w:numPr>
          <w:ilvl w:val="0"/>
          <w:numId w:val="6"/>
        </w:numPr>
        <w:tabs>
          <w:tab w:val="left" w:pos="669"/>
        </w:tabs>
        <w:spacing w:before="1" w:line="252" w:lineRule="auto"/>
        <w:ind w:right="327" w:firstLine="4"/>
        <w:rPr>
          <w:color w:val="010101"/>
          <w:sz w:val="21"/>
          <w:lang w:val="tr-TR"/>
        </w:rPr>
      </w:pPr>
      <w:r w:rsidRPr="001D47B8">
        <w:rPr>
          <w:color w:val="010101"/>
          <w:sz w:val="21"/>
          <w:lang w:val="tr-TR"/>
        </w:rPr>
        <w:t xml:space="preserve">7262 sayılı Kanunun 15. maddesi ile değiştirilen </w:t>
      </w:r>
      <w:r w:rsidR="001D2ED8" w:rsidRPr="001D47B8">
        <w:rPr>
          <w:color w:val="010101"/>
          <w:sz w:val="21"/>
          <w:lang w:val="tr-TR"/>
        </w:rPr>
        <w:t xml:space="preserve">Dernekler Kanununun yeni </w:t>
      </w:r>
      <w:r w:rsidR="00C77180" w:rsidRPr="001D47B8">
        <w:rPr>
          <w:color w:val="010101"/>
          <w:sz w:val="21"/>
          <w:lang w:val="tr-TR"/>
        </w:rPr>
        <w:t xml:space="preserve">30/A </w:t>
      </w:r>
      <w:r w:rsidR="001D2ED8" w:rsidRPr="001D47B8">
        <w:rPr>
          <w:color w:val="010101"/>
          <w:sz w:val="21"/>
          <w:lang w:val="tr-TR"/>
        </w:rPr>
        <w:t>sayılı maddesi</w:t>
      </w:r>
      <w:r w:rsidRPr="001D47B8">
        <w:rPr>
          <w:color w:val="010101"/>
          <w:sz w:val="21"/>
          <w:lang w:val="tr-TR"/>
        </w:rPr>
        <w:t xml:space="preserve">ne </w:t>
      </w:r>
      <w:r w:rsidR="00C77180" w:rsidRPr="001D47B8">
        <w:rPr>
          <w:color w:val="010101"/>
          <w:sz w:val="21"/>
          <w:lang w:val="tr-TR"/>
        </w:rPr>
        <w:t>(</w:t>
      </w:r>
      <w:r w:rsidR="00C77180" w:rsidRPr="001D47B8">
        <w:rPr>
          <w:color w:val="1A1A1A"/>
          <w:sz w:val="21"/>
          <w:lang w:val="tr-TR"/>
        </w:rPr>
        <w:t>"</w:t>
      </w:r>
      <w:r w:rsidR="001D2ED8" w:rsidRPr="001D47B8">
        <w:rPr>
          <w:color w:val="010101"/>
          <w:sz w:val="21"/>
          <w:lang w:val="tr-TR"/>
        </w:rPr>
        <w:t>Görevden uzaklaştırma ve faaliyetten geçici alıkoyma</w:t>
      </w:r>
      <w:r w:rsidR="00C77180" w:rsidRPr="001D47B8">
        <w:rPr>
          <w:color w:val="010101"/>
          <w:sz w:val="21"/>
          <w:lang w:val="tr-TR"/>
        </w:rPr>
        <w:t xml:space="preserve">") </w:t>
      </w:r>
      <w:r w:rsidRPr="001D47B8">
        <w:rPr>
          <w:color w:val="010101"/>
          <w:sz w:val="21"/>
          <w:lang w:val="tr-TR"/>
        </w:rPr>
        <w:t xml:space="preserve">göre, </w:t>
      </w:r>
      <w:r w:rsidR="00362275" w:rsidRPr="001D47B8">
        <w:rPr>
          <w:color w:val="010101"/>
          <w:sz w:val="21"/>
          <w:lang w:val="tr-TR"/>
        </w:rPr>
        <w:t>terörizm ile ilgili suçlarda</w:t>
      </w:r>
      <w:r w:rsidR="008B556B" w:rsidRPr="001D47B8">
        <w:rPr>
          <w:color w:val="010101"/>
          <w:sz w:val="21"/>
          <w:lang w:val="tr-TR"/>
        </w:rPr>
        <w:t>n</w:t>
      </w:r>
      <w:r w:rsidR="00362275" w:rsidRPr="001D47B8">
        <w:rPr>
          <w:color w:val="010101"/>
          <w:sz w:val="21"/>
          <w:lang w:val="tr-TR"/>
        </w:rPr>
        <w:t xml:space="preserve"> dolayı hakkında kovuşturma başlatılan </w:t>
      </w:r>
      <w:r w:rsidR="008B556B" w:rsidRPr="001D47B8">
        <w:rPr>
          <w:color w:val="010101"/>
          <w:sz w:val="21"/>
          <w:lang w:val="tr-TR"/>
        </w:rPr>
        <w:t xml:space="preserve">sivil toplum örgütlerinin personeli </w:t>
      </w:r>
      <w:r w:rsidR="00362275" w:rsidRPr="001D47B8">
        <w:rPr>
          <w:color w:val="010101"/>
          <w:sz w:val="21"/>
          <w:lang w:val="tr-TR"/>
        </w:rPr>
        <w:t xml:space="preserve">ve/veya </w:t>
      </w:r>
      <w:r w:rsidR="008B556B" w:rsidRPr="001D47B8">
        <w:rPr>
          <w:color w:val="010101"/>
          <w:sz w:val="21"/>
          <w:lang w:val="tr-TR"/>
        </w:rPr>
        <w:t>yöneticileri</w:t>
      </w:r>
      <w:r w:rsidR="00FF3F66" w:rsidRPr="001D47B8">
        <w:rPr>
          <w:color w:val="010101"/>
          <w:sz w:val="21"/>
          <w:lang w:val="tr-TR"/>
        </w:rPr>
        <w:t xml:space="preserve"> İçişleri Bakanı tarafından görevden uzaklaştırılabilir</w:t>
      </w:r>
      <w:r w:rsidR="00B54FBC" w:rsidRPr="001D47B8">
        <w:rPr>
          <w:color w:val="010101"/>
          <w:sz w:val="21"/>
          <w:lang w:val="tr-TR"/>
        </w:rPr>
        <w:t xml:space="preserve"> (1. fıkra) ve / veya bu tedbir</w:t>
      </w:r>
      <w:r w:rsidR="00884E53" w:rsidRPr="001D47B8">
        <w:rPr>
          <w:color w:val="010101"/>
          <w:sz w:val="21"/>
          <w:lang w:val="tr-TR"/>
        </w:rPr>
        <w:t xml:space="preserve">in yeterli olmaması durumunda </w:t>
      </w:r>
      <w:r w:rsidR="00C110CA" w:rsidRPr="001D47B8">
        <w:rPr>
          <w:color w:val="010101"/>
          <w:sz w:val="21"/>
          <w:lang w:val="tr-TR"/>
        </w:rPr>
        <w:t>İçişleri Bakanı, derneği geçici olarak faaliyetten alıkoyabilir</w:t>
      </w:r>
      <w:r w:rsidR="00E30BF1" w:rsidRPr="001D47B8">
        <w:rPr>
          <w:color w:val="010101"/>
          <w:sz w:val="21"/>
          <w:lang w:val="tr-TR"/>
        </w:rPr>
        <w:t xml:space="preserve"> (2. fıkra). </w:t>
      </w:r>
    </w:p>
    <w:p w14:paraId="04FA0197" w14:textId="77777777" w:rsidR="00F85230" w:rsidRPr="001D47B8" w:rsidRDefault="00F85230" w:rsidP="00F85230">
      <w:pPr>
        <w:pStyle w:val="ListeParagraf"/>
        <w:tabs>
          <w:tab w:val="left" w:pos="669"/>
        </w:tabs>
        <w:spacing w:before="1" w:line="252" w:lineRule="auto"/>
        <w:ind w:left="127" w:right="327" w:firstLine="0"/>
        <w:rPr>
          <w:color w:val="010101"/>
          <w:sz w:val="21"/>
          <w:lang w:val="tr-TR"/>
        </w:rPr>
      </w:pPr>
    </w:p>
    <w:p w14:paraId="1856433F" w14:textId="5FDE0EDA" w:rsidR="00F85230" w:rsidRDefault="00F85230" w:rsidP="001C4B9F">
      <w:pPr>
        <w:pStyle w:val="ListeParagraf"/>
        <w:numPr>
          <w:ilvl w:val="0"/>
          <w:numId w:val="6"/>
        </w:numPr>
        <w:tabs>
          <w:tab w:val="left" w:pos="669"/>
        </w:tabs>
        <w:spacing w:before="1" w:line="252" w:lineRule="auto"/>
        <w:ind w:right="327" w:firstLine="4"/>
        <w:rPr>
          <w:color w:val="010101"/>
          <w:sz w:val="21"/>
          <w:lang w:val="tr-TR"/>
        </w:rPr>
      </w:pPr>
      <w:r w:rsidRPr="001D47B8">
        <w:rPr>
          <w:color w:val="010101"/>
          <w:sz w:val="21"/>
          <w:lang w:val="tr-TR"/>
        </w:rPr>
        <w:t xml:space="preserve">30/A sayılı maddenin (1). fıkrasına göre, </w:t>
      </w:r>
      <w:r w:rsidR="00EC403B" w:rsidRPr="001D47B8">
        <w:rPr>
          <w:color w:val="010101"/>
          <w:sz w:val="21"/>
          <w:lang w:val="tr-TR"/>
        </w:rPr>
        <w:t>Te</w:t>
      </w:r>
      <w:r w:rsidR="00695A6E" w:rsidRPr="001D47B8">
        <w:rPr>
          <w:color w:val="010101"/>
          <w:sz w:val="21"/>
          <w:lang w:val="tr-TR"/>
        </w:rPr>
        <w:t>rörizmin Finansmanın Önlenmesi Hakkında Kanun kapsamında yer alan suçlar ile Türk Ceza Kanunun</w:t>
      </w:r>
      <w:r w:rsidR="001B1C76" w:rsidRPr="001D47B8">
        <w:rPr>
          <w:color w:val="010101"/>
          <w:sz w:val="21"/>
          <w:lang w:val="tr-TR"/>
        </w:rPr>
        <w:t xml:space="preserve">da yer alan uyuşturucu veya uyarıcı madde imal ve ticareti veya </w:t>
      </w:r>
      <w:r w:rsidR="0093438C" w:rsidRPr="001D47B8">
        <w:rPr>
          <w:color w:val="010101"/>
          <w:sz w:val="21"/>
          <w:lang w:val="tr-TR"/>
        </w:rPr>
        <w:t xml:space="preserve">suçtan kaynaklanan malvarlığı değerlerini aklama suçlarından dolayı </w:t>
      </w:r>
      <w:r w:rsidR="00332A62" w:rsidRPr="001D47B8">
        <w:rPr>
          <w:color w:val="010101"/>
          <w:sz w:val="21"/>
          <w:lang w:val="tr-TR"/>
        </w:rPr>
        <w:t>derneğin organlarınd</w:t>
      </w:r>
      <w:r w:rsidR="000B6E59" w:rsidRPr="001D47B8">
        <w:rPr>
          <w:color w:val="010101"/>
          <w:sz w:val="21"/>
          <w:lang w:val="tr-TR"/>
        </w:rPr>
        <w:t>a</w:t>
      </w:r>
      <w:r w:rsidR="00332A62" w:rsidRPr="001D47B8">
        <w:rPr>
          <w:color w:val="010101"/>
          <w:sz w:val="21"/>
          <w:lang w:val="tr-TR"/>
        </w:rPr>
        <w:t xml:space="preserve"> görevli olan </w:t>
      </w:r>
      <w:r w:rsidR="000B6E59" w:rsidRPr="001D47B8">
        <w:rPr>
          <w:color w:val="010101"/>
          <w:sz w:val="21"/>
          <w:lang w:val="tr-TR"/>
        </w:rPr>
        <w:t xml:space="preserve">kişiler </w:t>
      </w:r>
      <w:r w:rsidR="0093438C" w:rsidRPr="001D47B8">
        <w:rPr>
          <w:color w:val="010101"/>
          <w:sz w:val="21"/>
          <w:lang w:val="tr-TR"/>
        </w:rPr>
        <w:t xml:space="preserve">hakkında kovuşturma </w:t>
      </w:r>
      <w:r w:rsidR="000B6E59" w:rsidRPr="001D47B8">
        <w:rPr>
          <w:color w:val="010101"/>
          <w:sz w:val="21"/>
          <w:lang w:val="tr-TR"/>
        </w:rPr>
        <w:t xml:space="preserve">başlatılması halinde </w:t>
      </w:r>
      <w:r w:rsidR="00726739" w:rsidRPr="001D47B8">
        <w:rPr>
          <w:color w:val="010101"/>
          <w:sz w:val="21"/>
          <w:lang w:val="tr-TR"/>
        </w:rPr>
        <w:t>yetkililer</w:t>
      </w:r>
      <w:r w:rsidR="00DA4FEE">
        <w:rPr>
          <w:color w:val="010101"/>
          <w:sz w:val="21"/>
          <w:lang w:val="tr-TR"/>
        </w:rPr>
        <w:t>e</w:t>
      </w:r>
      <w:r w:rsidR="00726739" w:rsidRPr="001D47B8">
        <w:rPr>
          <w:color w:val="010101"/>
          <w:sz w:val="21"/>
          <w:lang w:val="tr-TR"/>
        </w:rPr>
        <w:t xml:space="preserve"> (İçişleri Bakanı</w:t>
      </w:r>
      <w:r w:rsidR="00DA4FEE">
        <w:rPr>
          <w:color w:val="010101"/>
          <w:sz w:val="21"/>
          <w:lang w:val="tr-TR"/>
        </w:rPr>
        <w:t>na</w:t>
      </w:r>
      <w:r w:rsidR="00726739" w:rsidRPr="001D47B8">
        <w:rPr>
          <w:color w:val="010101"/>
          <w:sz w:val="21"/>
          <w:lang w:val="tr-TR"/>
        </w:rPr>
        <w:t xml:space="preserve">) </w:t>
      </w:r>
      <w:r w:rsidR="00E3249E" w:rsidRPr="001D47B8">
        <w:rPr>
          <w:color w:val="010101"/>
          <w:sz w:val="21"/>
          <w:lang w:val="tr-TR"/>
        </w:rPr>
        <w:t xml:space="preserve">bu kişileri görevden uzaklaştırma yetkisi verilmiştir. </w:t>
      </w:r>
      <w:r w:rsidR="00C503CA" w:rsidRPr="001D47B8">
        <w:rPr>
          <w:color w:val="010101"/>
          <w:sz w:val="21"/>
          <w:lang w:val="tr-TR"/>
        </w:rPr>
        <w:t>Türk makamlarına göre, söz konusu kişi</w:t>
      </w:r>
      <w:r w:rsidR="00604E60" w:rsidRPr="001D47B8">
        <w:rPr>
          <w:color w:val="010101"/>
          <w:sz w:val="21"/>
          <w:lang w:val="tr-TR"/>
        </w:rPr>
        <w:t>nin</w:t>
      </w:r>
      <w:r w:rsidR="00C503CA" w:rsidRPr="001D47B8">
        <w:rPr>
          <w:color w:val="010101"/>
          <w:sz w:val="21"/>
          <w:lang w:val="tr-TR"/>
        </w:rPr>
        <w:t xml:space="preserve"> beraat </w:t>
      </w:r>
      <w:r w:rsidR="00CE7E30" w:rsidRPr="001D47B8">
        <w:rPr>
          <w:color w:val="010101"/>
          <w:sz w:val="21"/>
          <w:lang w:val="tr-TR"/>
        </w:rPr>
        <w:t>etmesi halinde</w:t>
      </w:r>
      <w:r w:rsidR="00C503CA" w:rsidRPr="001D47B8">
        <w:rPr>
          <w:color w:val="010101"/>
          <w:sz w:val="21"/>
          <w:lang w:val="tr-TR"/>
        </w:rPr>
        <w:t xml:space="preserve">, </w:t>
      </w:r>
      <w:r w:rsidR="00CE7E30" w:rsidRPr="001D47B8">
        <w:rPr>
          <w:color w:val="010101"/>
          <w:sz w:val="21"/>
          <w:lang w:val="tr-TR"/>
        </w:rPr>
        <w:t>5253 sayılı Kanunun 30/A sayılı maddesi uyarınca</w:t>
      </w:r>
      <w:r w:rsidR="00E819E0" w:rsidRPr="001D47B8">
        <w:rPr>
          <w:color w:val="010101"/>
          <w:sz w:val="21"/>
          <w:lang w:val="tr-TR"/>
        </w:rPr>
        <w:t xml:space="preserve"> uygulanan görevden uzaklaştırma </w:t>
      </w:r>
      <w:r w:rsidR="00604E60" w:rsidRPr="001D47B8">
        <w:rPr>
          <w:color w:val="010101"/>
          <w:sz w:val="21"/>
          <w:lang w:val="tr-TR"/>
        </w:rPr>
        <w:t xml:space="preserve">tedbiri </w:t>
      </w:r>
      <w:r w:rsidR="00E819E0" w:rsidRPr="001D47B8">
        <w:rPr>
          <w:color w:val="010101"/>
          <w:sz w:val="21"/>
          <w:lang w:val="tr-TR"/>
        </w:rPr>
        <w:t>sona erecektir</w:t>
      </w:r>
      <w:r w:rsidR="00604E60" w:rsidRPr="001D47B8">
        <w:rPr>
          <w:color w:val="010101"/>
          <w:sz w:val="21"/>
          <w:lang w:val="tr-TR"/>
        </w:rPr>
        <w:t>;</w:t>
      </w:r>
      <w:r w:rsidR="00215742" w:rsidRPr="001D47B8">
        <w:rPr>
          <w:color w:val="010101"/>
          <w:sz w:val="21"/>
          <w:lang w:val="tr-TR"/>
        </w:rPr>
        <w:t xml:space="preserve"> </w:t>
      </w:r>
      <w:r w:rsidR="007B5E83" w:rsidRPr="001D47B8">
        <w:rPr>
          <w:color w:val="010101"/>
          <w:sz w:val="21"/>
          <w:lang w:val="tr-TR"/>
        </w:rPr>
        <w:t>mahkeme</w:t>
      </w:r>
      <w:r w:rsidR="00604E60" w:rsidRPr="001D47B8">
        <w:rPr>
          <w:color w:val="010101"/>
          <w:sz w:val="21"/>
          <w:lang w:val="tr-TR"/>
        </w:rPr>
        <w:t>nin</w:t>
      </w:r>
      <w:r w:rsidR="007B5E83" w:rsidRPr="001D47B8">
        <w:rPr>
          <w:color w:val="010101"/>
          <w:sz w:val="21"/>
          <w:lang w:val="tr-TR"/>
        </w:rPr>
        <w:t xml:space="preserve"> </w:t>
      </w:r>
      <w:r w:rsidR="00215742" w:rsidRPr="001D47B8">
        <w:rPr>
          <w:color w:val="010101"/>
          <w:sz w:val="21"/>
          <w:lang w:val="tr-TR"/>
        </w:rPr>
        <w:t xml:space="preserve">kişi </w:t>
      </w:r>
      <w:r w:rsidR="007B5E83" w:rsidRPr="001D47B8">
        <w:rPr>
          <w:color w:val="010101"/>
          <w:sz w:val="21"/>
          <w:lang w:val="tr-TR"/>
        </w:rPr>
        <w:t xml:space="preserve">hakkında </w:t>
      </w:r>
      <w:r w:rsidR="00E27DD7" w:rsidRPr="001D47B8">
        <w:rPr>
          <w:color w:val="010101"/>
          <w:sz w:val="21"/>
          <w:lang w:val="tr-TR"/>
        </w:rPr>
        <w:t>mahkûmiyet</w:t>
      </w:r>
      <w:r w:rsidR="007B5E83" w:rsidRPr="001D47B8">
        <w:rPr>
          <w:color w:val="010101"/>
          <w:sz w:val="21"/>
          <w:lang w:val="tr-TR"/>
        </w:rPr>
        <w:t xml:space="preserve"> kararı </w:t>
      </w:r>
      <w:r w:rsidR="00604E60" w:rsidRPr="001D47B8">
        <w:rPr>
          <w:color w:val="010101"/>
          <w:sz w:val="21"/>
          <w:lang w:val="tr-TR"/>
        </w:rPr>
        <w:t>vermesi halinde ise</w:t>
      </w:r>
      <w:r w:rsidR="007B5E83" w:rsidRPr="001D47B8">
        <w:rPr>
          <w:color w:val="010101"/>
          <w:sz w:val="21"/>
          <w:lang w:val="tr-TR"/>
        </w:rPr>
        <w:t xml:space="preserve"> dernekteki görevleri sona erecektir. </w:t>
      </w:r>
      <w:r w:rsidR="00215742" w:rsidRPr="001D47B8">
        <w:rPr>
          <w:color w:val="010101"/>
          <w:sz w:val="21"/>
          <w:lang w:val="tr-TR"/>
        </w:rPr>
        <w:t xml:space="preserve"> </w:t>
      </w:r>
    </w:p>
    <w:p w14:paraId="64ECB40F" w14:textId="579B7D9E" w:rsidR="00FC33F8" w:rsidRDefault="00FC33F8" w:rsidP="00FC33F8">
      <w:pPr>
        <w:pStyle w:val="ListeParagraf"/>
        <w:tabs>
          <w:tab w:val="left" w:pos="669"/>
        </w:tabs>
        <w:spacing w:before="1" w:line="252" w:lineRule="auto"/>
        <w:ind w:left="127" w:right="327" w:firstLine="0"/>
        <w:rPr>
          <w:color w:val="010101"/>
          <w:sz w:val="21"/>
          <w:lang w:val="tr-TR"/>
        </w:rPr>
      </w:pPr>
    </w:p>
    <w:p w14:paraId="032EF124" w14:textId="3AE5A448" w:rsidR="00332D9F" w:rsidRDefault="00332D9F" w:rsidP="00FC33F8">
      <w:pPr>
        <w:pStyle w:val="ListeParagraf"/>
        <w:tabs>
          <w:tab w:val="left" w:pos="669"/>
        </w:tabs>
        <w:spacing w:before="1" w:line="252" w:lineRule="auto"/>
        <w:ind w:left="127" w:right="327" w:firstLine="0"/>
        <w:rPr>
          <w:color w:val="010101"/>
          <w:sz w:val="21"/>
          <w:lang w:val="tr-TR"/>
        </w:rPr>
      </w:pPr>
    </w:p>
    <w:p w14:paraId="16DC2C76" w14:textId="17A26E3B" w:rsidR="00332D9F" w:rsidRDefault="00332D9F" w:rsidP="00FC33F8">
      <w:pPr>
        <w:pStyle w:val="ListeParagraf"/>
        <w:tabs>
          <w:tab w:val="left" w:pos="669"/>
        </w:tabs>
        <w:spacing w:before="1" w:line="252" w:lineRule="auto"/>
        <w:ind w:left="127" w:right="327" w:firstLine="0"/>
        <w:rPr>
          <w:color w:val="010101"/>
          <w:sz w:val="21"/>
          <w:lang w:val="tr-TR"/>
        </w:rPr>
      </w:pPr>
    </w:p>
    <w:p w14:paraId="4D6B8C39" w14:textId="77777777" w:rsidR="00332D9F" w:rsidRPr="001D47B8" w:rsidRDefault="00332D9F" w:rsidP="00FC33F8">
      <w:pPr>
        <w:pStyle w:val="ListeParagraf"/>
        <w:tabs>
          <w:tab w:val="left" w:pos="669"/>
        </w:tabs>
        <w:spacing w:before="1" w:line="252" w:lineRule="auto"/>
        <w:ind w:left="127" w:right="327" w:firstLine="0"/>
        <w:rPr>
          <w:color w:val="010101"/>
          <w:sz w:val="21"/>
          <w:lang w:val="tr-TR"/>
        </w:rPr>
      </w:pPr>
    </w:p>
    <w:p w14:paraId="5AC1C04C" w14:textId="6BCBB0AB" w:rsidR="00B54FBC" w:rsidRDefault="00B54FBC" w:rsidP="00B54FBC">
      <w:pPr>
        <w:pStyle w:val="ListeParagraf"/>
        <w:tabs>
          <w:tab w:val="left" w:pos="669"/>
        </w:tabs>
        <w:spacing w:before="1" w:line="252" w:lineRule="auto"/>
        <w:ind w:left="127" w:right="327" w:firstLine="0"/>
        <w:rPr>
          <w:color w:val="010101"/>
          <w:sz w:val="21"/>
          <w:lang w:val="tr-TR"/>
        </w:rPr>
      </w:pPr>
    </w:p>
    <w:p w14:paraId="129CC4F1" w14:textId="7CBAFF89" w:rsidR="001B3C12" w:rsidRPr="001D47B8" w:rsidRDefault="00EF00A0" w:rsidP="001C4B9F">
      <w:pPr>
        <w:pStyle w:val="ListeParagraf"/>
        <w:numPr>
          <w:ilvl w:val="0"/>
          <w:numId w:val="3"/>
        </w:numPr>
        <w:tabs>
          <w:tab w:val="left" w:pos="1585"/>
        </w:tabs>
        <w:ind w:hanging="245"/>
        <w:rPr>
          <w:color w:val="010101"/>
          <w:sz w:val="20"/>
          <w:lang w:val="tr-TR"/>
        </w:rPr>
      </w:pPr>
      <w:r w:rsidRPr="001D47B8">
        <w:rPr>
          <w:i/>
          <w:color w:val="010101"/>
          <w:w w:val="105"/>
          <w:sz w:val="21"/>
          <w:lang w:val="tr-TR"/>
        </w:rPr>
        <w:t xml:space="preserve">Usule ilişkin güvencelerin olmayışı </w:t>
      </w:r>
    </w:p>
    <w:p w14:paraId="233C1C68" w14:textId="77777777" w:rsidR="001B3C12" w:rsidRPr="001D47B8" w:rsidRDefault="001B3C12" w:rsidP="001C4B9F">
      <w:pPr>
        <w:pStyle w:val="GvdeMetni"/>
        <w:spacing w:before="3"/>
        <w:jc w:val="both"/>
        <w:rPr>
          <w:i/>
          <w:sz w:val="23"/>
          <w:lang w:val="tr-TR"/>
        </w:rPr>
      </w:pPr>
    </w:p>
    <w:p w14:paraId="44D8FEFE" w14:textId="7011FCEA" w:rsidR="00323602" w:rsidRPr="001D47B8" w:rsidRDefault="00323602" w:rsidP="00A80E66">
      <w:pPr>
        <w:pStyle w:val="ListeParagraf"/>
        <w:numPr>
          <w:ilvl w:val="0"/>
          <w:numId w:val="6"/>
        </w:numPr>
        <w:tabs>
          <w:tab w:val="left" w:pos="671"/>
        </w:tabs>
        <w:spacing w:line="252" w:lineRule="auto"/>
        <w:ind w:left="126" w:right="325" w:firstLine="0"/>
        <w:rPr>
          <w:color w:val="010101"/>
          <w:w w:val="105"/>
          <w:sz w:val="21"/>
          <w:lang w:val="tr-TR"/>
        </w:rPr>
      </w:pPr>
      <w:r w:rsidRPr="001D47B8">
        <w:rPr>
          <w:color w:val="010101"/>
          <w:w w:val="105"/>
          <w:sz w:val="21"/>
          <w:lang w:val="tr-TR"/>
        </w:rPr>
        <w:t>Görevden uzaklaştırma veya faaliyetten alıkoyma şeklindeki idari karar</w:t>
      </w:r>
      <w:r w:rsidR="00027938" w:rsidRPr="001D47B8">
        <w:rPr>
          <w:color w:val="010101"/>
          <w:w w:val="105"/>
          <w:sz w:val="21"/>
          <w:lang w:val="tr-TR"/>
        </w:rPr>
        <w:t xml:space="preserve"> hakkında temyiz talebi ile mahkemeye başvurulabilir. Ancak, </w:t>
      </w:r>
      <w:r w:rsidR="00B741AC" w:rsidRPr="001D47B8">
        <w:rPr>
          <w:color w:val="010101"/>
          <w:w w:val="105"/>
          <w:sz w:val="21"/>
          <w:lang w:val="tr-TR"/>
        </w:rPr>
        <w:t>yargı denetimi kapsamındaki bu usulün Avrupa Sözleşmesinin 6. maddesi</w:t>
      </w:r>
      <w:r w:rsidR="00D73DE6" w:rsidRPr="001D47B8">
        <w:rPr>
          <w:color w:val="010101"/>
          <w:w w:val="105"/>
          <w:sz w:val="21"/>
          <w:lang w:val="tr-TR"/>
        </w:rPr>
        <w:t>nde belirtilen şartlara uygunluğu hakkında şüpheler mevcuttur. Avrupa İnsan Hakları Komiseri, 19 Şubat 2020 tarihinde yayınladığı raporda,</w:t>
      </w:r>
      <w:r w:rsidR="007B06CC" w:rsidRPr="001D47B8">
        <w:rPr>
          <w:color w:val="010101"/>
          <w:w w:val="105"/>
          <w:sz w:val="21"/>
          <w:lang w:val="tr-TR"/>
        </w:rPr>
        <w:t xml:space="preserve"> </w:t>
      </w:r>
      <w:r w:rsidR="000F753A" w:rsidRPr="001D47B8">
        <w:rPr>
          <w:color w:val="010101"/>
          <w:w w:val="105"/>
          <w:sz w:val="21"/>
          <w:lang w:val="tr-TR"/>
        </w:rPr>
        <w:t>Türk yargısın</w:t>
      </w:r>
      <w:r w:rsidR="00EF1314" w:rsidRPr="001D47B8">
        <w:rPr>
          <w:color w:val="010101"/>
          <w:w w:val="105"/>
          <w:sz w:val="21"/>
          <w:lang w:val="tr-TR"/>
        </w:rPr>
        <w:t>da</w:t>
      </w:r>
      <w:r w:rsidR="000F753A" w:rsidRPr="001D47B8">
        <w:rPr>
          <w:color w:val="010101"/>
          <w:w w:val="105"/>
          <w:sz w:val="21"/>
          <w:lang w:val="tr-TR"/>
        </w:rPr>
        <w:t xml:space="preserve"> terörizm ile ilgili davalar</w:t>
      </w:r>
      <w:r w:rsidR="00EF1314" w:rsidRPr="001D47B8">
        <w:rPr>
          <w:color w:val="010101"/>
          <w:w w:val="105"/>
          <w:sz w:val="21"/>
          <w:lang w:val="tr-TR"/>
        </w:rPr>
        <w:t>ın ele alınışında,</w:t>
      </w:r>
      <w:r w:rsidR="00842A48" w:rsidRPr="001D47B8">
        <w:rPr>
          <w:color w:val="010101"/>
          <w:w w:val="105"/>
          <w:sz w:val="21"/>
          <w:lang w:val="tr-TR"/>
        </w:rPr>
        <w:t xml:space="preserve"> </w:t>
      </w:r>
      <w:r w:rsidR="007B06CC" w:rsidRPr="001D47B8">
        <w:rPr>
          <w:color w:val="010101"/>
          <w:w w:val="105"/>
          <w:sz w:val="21"/>
          <w:lang w:val="tr-TR"/>
        </w:rPr>
        <w:t xml:space="preserve">masumiyet karinesi, </w:t>
      </w:r>
      <w:r w:rsidR="00E5671A" w:rsidRPr="001D47B8">
        <w:rPr>
          <w:color w:val="010101"/>
          <w:w w:val="105"/>
          <w:sz w:val="21"/>
          <w:lang w:val="tr-TR"/>
        </w:rPr>
        <w:t>kanunsuz suç ve ceza olmama</w:t>
      </w:r>
      <w:r w:rsidR="001A6B11" w:rsidRPr="001D47B8">
        <w:rPr>
          <w:color w:val="010101"/>
          <w:w w:val="105"/>
          <w:sz w:val="21"/>
          <w:lang w:val="tr-TR"/>
        </w:rPr>
        <w:t xml:space="preserve">sı, </w:t>
      </w:r>
      <w:r w:rsidR="00E5671A" w:rsidRPr="001D47B8">
        <w:rPr>
          <w:color w:val="010101"/>
          <w:w w:val="105"/>
          <w:sz w:val="21"/>
          <w:lang w:val="tr-TR"/>
        </w:rPr>
        <w:t>suçların geriye yürümezliği veya aynı suçtan tekrar yargılama yapılamaması gibi hukukun temel ilkelerin</w:t>
      </w:r>
      <w:r w:rsidR="009A2B5C" w:rsidRPr="001D47B8">
        <w:rPr>
          <w:color w:val="010101"/>
          <w:w w:val="105"/>
          <w:sz w:val="21"/>
          <w:lang w:val="tr-TR"/>
        </w:rPr>
        <w:t>i riske sokan</w:t>
      </w:r>
      <w:r w:rsidR="00842A48" w:rsidRPr="001D47B8">
        <w:rPr>
          <w:color w:val="010101"/>
          <w:w w:val="105"/>
          <w:sz w:val="21"/>
          <w:lang w:val="tr-TR"/>
        </w:rPr>
        <w:t xml:space="preserve"> ciddi sorunların olduğuna işaret etmiştir.</w:t>
      </w:r>
      <w:r w:rsidR="00EF1314" w:rsidRPr="001D47B8">
        <w:rPr>
          <w:rStyle w:val="DipnotBavurusu"/>
          <w:color w:val="010101"/>
          <w:w w:val="105"/>
          <w:sz w:val="21"/>
          <w:lang w:val="tr-TR"/>
        </w:rPr>
        <w:footnoteReference w:id="61"/>
      </w:r>
      <w:r w:rsidR="00E20393" w:rsidRPr="001D47B8">
        <w:rPr>
          <w:color w:val="010101"/>
          <w:w w:val="105"/>
          <w:sz w:val="21"/>
          <w:lang w:val="tr-TR"/>
        </w:rPr>
        <w:t xml:space="preserve"> Aynı zamanda, </w:t>
      </w:r>
      <w:r w:rsidR="001054F7" w:rsidRPr="001D47B8">
        <w:rPr>
          <w:color w:val="010101"/>
          <w:w w:val="105"/>
          <w:sz w:val="21"/>
          <w:lang w:val="tr-TR"/>
        </w:rPr>
        <w:t>çekişmeli yargılama, silahların eşitliği ve avukat hakkı gibi usul</w:t>
      </w:r>
      <w:r w:rsidR="000443E0" w:rsidRPr="001D47B8">
        <w:rPr>
          <w:color w:val="010101"/>
          <w:w w:val="105"/>
          <w:sz w:val="21"/>
          <w:lang w:val="tr-TR"/>
        </w:rPr>
        <w:t>e ilişkin</w:t>
      </w:r>
      <w:r w:rsidR="001054F7" w:rsidRPr="001D47B8">
        <w:rPr>
          <w:color w:val="010101"/>
          <w:w w:val="105"/>
          <w:sz w:val="21"/>
          <w:lang w:val="tr-TR"/>
        </w:rPr>
        <w:t xml:space="preserve"> </w:t>
      </w:r>
      <w:r w:rsidR="000443E0" w:rsidRPr="001D47B8">
        <w:rPr>
          <w:color w:val="010101"/>
          <w:w w:val="105"/>
          <w:sz w:val="21"/>
          <w:lang w:val="tr-TR"/>
        </w:rPr>
        <w:t>güvenceler</w:t>
      </w:r>
      <w:r w:rsidR="00BC5ABD" w:rsidRPr="001D47B8">
        <w:rPr>
          <w:color w:val="010101"/>
          <w:w w:val="105"/>
          <w:sz w:val="21"/>
          <w:lang w:val="tr-TR"/>
        </w:rPr>
        <w:t>,</w:t>
      </w:r>
      <w:r w:rsidR="001054F7" w:rsidRPr="001D47B8">
        <w:rPr>
          <w:color w:val="010101"/>
          <w:w w:val="105"/>
          <w:sz w:val="21"/>
          <w:lang w:val="tr-TR"/>
        </w:rPr>
        <w:t xml:space="preserve"> olağanüstü hal sırasında ciddi ve kalıcı bir şekilde aşın</w:t>
      </w:r>
      <w:r w:rsidR="00BC5ABD" w:rsidRPr="001D47B8">
        <w:rPr>
          <w:color w:val="010101"/>
          <w:w w:val="105"/>
          <w:sz w:val="21"/>
          <w:lang w:val="tr-TR"/>
        </w:rPr>
        <w:t>dırılarak,</w:t>
      </w:r>
      <w:r w:rsidR="001054F7" w:rsidRPr="001D47B8">
        <w:rPr>
          <w:color w:val="010101"/>
          <w:w w:val="105"/>
          <w:sz w:val="21"/>
          <w:lang w:val="tr-TR"/>
        </w:rPr>
        <w:t xml:space="preserve"> </w:t>
      </w:r>
      <w:r w:rsidR="00C52C1A" w:rsidRPr="001D47B8">
        <w:rPr>
          <w:color w:val="010101"/>
          <w:w w:val="105"/>
          <w:sz w:val="21"/>
          <w:lang w:val="tr-TR"/>
        </w:rPr>
        <w:t>H</w:t>
      </w:r>
      <w:r w:rsidR="001054F7" w:rsidRPr="001D47B8">
        <w:rPr>
          <w:color w:val="010101"/>
          <w:w w:val="105"/>
          <w:sz w:val="21"/>
          <w:lang w:val="tr-TR"/>
        </w:rPr>
        <w:t xml:space="preserve">ukukun </w:t>
      </w:r>
      <w:r w:rsidR="00C52C1A" w:rsidRPr="001D47B8">
        <w:rPr>
          <w:color w:val="010101"/>
          <w:w w:val="105"/>
          <w:sz w:val="21"/>
          <w:lang w:val="tr-TR"/>
        </w:rPr>
        <w:t>Ü</w:t>
      </w:r>
      <w:r w:rsidR="001054F7" w:rsidRPr="001D47B8">
        <w:rPr>
          <w:color w:val="010101"/>
          <w:w w:val="105"/>
          <w:sz w:val="21"/>
          <w:lang w:val="tr-TR"/>
        </w:rPr>
        <w:t>stünlüğünün özünü tehdit eden bir hukuki güvensizlik ve keyfilik seviyesine ulaşıl</w:t>
      </w:r>
      <w:r w:rsidR="00BC5ABD" w:rsidRPr="001D47B8">
        <w:rPr>
          <w:color w:val="010101"/>
          <w:w w:val="105"/>
          <w:sz w:val="21"/>
          <w:lang w:val="tr-TR"/>
        </w:rPr>
        <w:t>mıştır.</w:t>
      </w:r>
      <w:r w:rsidR="00A63D6B" w:rsidRPr="001D47B8">
        <w:rPr>
          <w:rStyle w:val="DipnotBavurusu"/>
          <w:color w:val="010101"/>
          <w:w w:val="105"/>
          <w:sz w:val="21"/>
          <w:lang w:val="tr-TR"/>
        </w:rPr>
        <w:footnoteReference w:id="62"/>
      </w:r>
      <w:r w:rsidR="00BC5ABD" w:rsidRPr="001D47B8">
        <w:rPr>
          <w:color w:val="010101"/>
          <w:w w:val="105"/>
          <w:sz w:val="21"/>
          <w:lang w:val="tr-TR"/>
        </w:rPr>
        <w:t xml:space="preserve"> </w:t>
      </w:r>
    </w:p>
    <w:p w14:paraId="3E082A1F" w14:textId="7B6A1D7F" w:rsidR="009A2B5C" w:rsidRPr="001D47B8" w:rsidRDefault="009A2B5C" w:rsidP="009A2B5C">
      <w:pPr>
        <w:pStyle w:val="ListeParagraf"/>
        <w:tabs>
          <w:tab w:val="left" w:pos="671"/>
        </w:tabs>
        <w:spacing w:line="252" w:lineRule="auto"/>
        <w:ind w:left="126" w:right="325" w:firstLine="0"/>
        <w:rPr>
          <w:color w:val="010101"/>
          <w:w w:val="105"/>
          <w:sz w:val="21"/>
          <w:lang w:val="tr-TR"/>
        </w:rPr>
      </w:pPr>
    </w:p>
    <w:p w14:paraId="6D30F329" w14:textId="031FE836" w:rsidR="00C11B99" w:rsidRPr="001D47B8" w:rsidRDefault="00B17E01" w:rsidP="001C4B9F">
      <w:pPr>
        <w:pStyle w:val="ListeParagraf"/>
        <w:numPr>
          <w:ilvl w:val="0"/>
          <w:numId w:val="6"/>
        </w:numPr>
        <w:tabs>
          <w:tab w:val="left" w:pos="671"/>
        </w:tabs>
        <w:spacing w:line="252" w:lineRule="auto"/>
        <w:ind w:right="320" w:firstLine="3"/>
        <w:rPr>
          <w:color w:val="010101"/>
          <w:sz w:val="21"/>
          <w:lang w:val="tr-TR"/>
        </w:rPr>
      </w:pPr>
      <w:r w:rsidRPr="001D47B8">
        <w:rPr>
          <w:color w:val="010101"/>
          <w:sz w:val="21"/>
          <w:lang w:val="tr-TR"/>
        </w:rPr>
        <w:t xml:space="preserve">Venedik Komisyonu’nun </w:t>
      </w:r>
      <w:r w:rsidR="00C11B99" w:rsidRPr="001D47B8">
        <w:rPr>
          <w:color w:val="010101"/>
          <w:sz w:val="21"/>
          <w:lang w:val="tr-TR"/>
        </w:rPr>
        <w:t xml:space="preserve">örgütlenme özgürlüğü hakkında </w:t>
      </w:r>
      <w:r w:rsidRPr="001D47B8">
        <w:rPr>
          <w:color w:val="010101"/>
          <w:sz w:val="21"/>
          <w:lang w:val="tr-TR"/>
        </w:rPr>
        <w:t>Ortak Rehberi</w:t>
      </w:r>
      <w:r w:rsidR="00C11B99" w:rsidRPr="001D47B8">
        <w:rPr>
          <w:color w:val="010101"/>
          <w:sz w:val="21"/>
          <w:lang w:val="tr-TR"/>
        </w:rPr>
        <w:t>nde</w:t>
      </w:r>
      <w:r w:rsidR="005F5451">
        <w:rPr>
          <w:color w:val="010101"/>
          <w:sz w:val="21"/>
          <w:lang w:val="tr-TR"/>
        </w:rPr>
        <w:t>,</w:t>
      </w:r>
      <w:r w:rsidR="00C11B99" w:rsidRPr="001D47B8">
        <w:rPr>
          <w:color w:val="010101"/>
          <w:sz w:val="21"/>
          <w:lang w:val="tr-TR"/>
        </w:rPr>
        <w:t xml:space="preserve"> </w:t>
      </w:r>
      <w:r w:rsidR="00D32FD6" w:rsidRPr="001D47B8">
        <w:rPr>
          <w:color w:val="010101"/>
          <w:sz w:val="21"/>
          <w:lang w:val="tr-TR"/>
        </w:rPr>
        <w:t xml:space="preserve">hakları ihlal edilen </w:t>
      </w:r>
      <w:r w:rsidR="00C06E80" w:rsidRPr="001D47B8">
        <w:rPr>
          <w:color w:val="010101"/>
          <w:sz w:val="21"/>
          <w:lang w:val="tr-TR"/>
        </w:rPr>
        <w:t xml:space="preserve">dernekler, </w:t>
      </w:r>
      <w:r w:rsidR="00D32FD6" w:rsidRPr="001D47B8">
        <w:rPr>
          <w:color w:val="010101"/>
          <w:sz w:val="21"/>
          <w:lang w:val="tr-TR"/>
        </w:rPr>
        <w:t xml:space="preserve">dernek </w:t>
      </w:r>
      <w:r w:rsidR="00C06E80" w:rsidRPr="001D47B8">
        <w:rPr>
          <w:color w:val="010101"/>
          <w:sz w:val="21"/>
          <w:lang w:val="tr-TR"/>
        </w:rPr>
        <w:t>kurucuları ve üyeleri</w:t>
      </w:r>
      <w:r w:rsidR="00D32FD6" w:rsidRPr="001D47B8">
        <w:rPr>
          <w:color w:val="010101"/>
          <w:sz w:val="21"/>
          <w:lang w:val="tr-TR"/>
        </w:rPr>
        <w:t xml:space="preserve"> ile</w:t>
      </w:r>
      <w:r w:rsidR="00974A5D" w:rsidRPr="001D47B8">
        <w:rPr>
          <w:color w:val="010101"/>
          <w:sz w:val="21"/>
          <w:lang w:val="tr-TR"/>
        </w:rPr>
        <w:t xml:space="preserve"> haklarını kullanmalarını </w:t>
      </w:r>
      <w:r w:rsidR="00D32FD6" w:rsidRPr="001D47B8">
        <w:rPr>
          <w:color w:val="010101"/>
          <w:sz w:val="21"/>
          <w:lang w:val="tr-TR"/>
        </w:rPr>
        <w:t>etkileyen</w:t>
      </w:r>
      <w:r w:rsidR="00974A5D" w:rsidRPr="001D47B8">
        <w:rPr>
          <w:color w:val="010101"/>
          <w:sz w:val="21"/>
          <w:lang w:val="tr-TR"/>
        </w:rPr>
        <w:t xml:space="preserve"> kararlara itiraz etmek ya da </w:t>
      </w:r>
      <w:r w:rsidR="00D32FD6" w:rsidRPr="001D47B8">
        <w:rPr>
          <w:color w:val="010101"/>
          <w:sz w:val="21"/>
          <w:lang w:val="tr-TR"/>
        </w:rPr>
        <w:t xml:space="preserve">bu kararların </w:t>
      </w:r>
      <w:r w:rsidR="00974A5D" w:rsidRPr="001D47B8">
        <w:rPr>
          <w:color w:val="010101"/>
          <w:sz w:val="21"/>
          <w:lang w:val="tr-TR"/>
        </w:rPr>
        <w:t xml:space="preserve">incelenmesini istemek amacıyla </w:t>
      </w:r>
      <w:r w:rsidR="00D32FD6" w:rsidRPr="001D47B8">
        <w:rPr>
          <w:color w:val="010101"/>
          <w:sz w:val="21"/>
          <w:lang w:val="tr-TR"/>
        </w:rPr>
        <w:t xml:space="preserve">örgütlenme özgürlüğünü kullanmak isteyen tüm kişiler için </w:t>
      </w:r>
      <w:r w:rsidR="00BC5DBB" w:rsidRPr="001D47B8">
        <w:rPr>
          <w:color w:val="010101"/>
          <w:sz w:val="21"/>
          <w:lang w:val="tr-TR"/>
        </w:rPr>
        <w:t xml:space="preserve">etkili </w:t>
      </w:r>
      <w:r w:rsidR="004B62B3" w:rsidRPr="001D47B8">
        <w:rPr>
          <w:color w:val="010101"/>
          <w:sz w:val="21"/>
          <w:lang w:val="tr-TR"/>
        </w:rPr>
        <w:t>başvuru hakkı</w:t>
      </w:r>
      <w:r w:rsidR="00B87368" w:rsidRPr="001D47B8">
        <w:rPr>
          <w:color w:val="010101"/>
          <w:sz w:val="21"/>
          <w:lang w:val="tr-TR"/>
        </w:rPr>
        <w:t xml:space="preserve"> ilkesi vurgulanmaktadır.</w:t>
      </w:r>
      <w:r w:rsidR="00C44194" w:rsidRPr="001D47B8">
        <w:rPr>
          <w:rStyle w:val="DipnotBavurusu"/>
          <w:color w:val="010101"/>
          <w:sz w:val="21"/>
          <w:lang w:val="tr-TR"/>
        </w:rPr>
        <w:footnoteReference w:id="63"/>
      </w:r>
      <w:r w:rsidR="005F5451">
        <w:rPr>
          <w:color w:val="010101"/>
          <w:sz w:val="21"/>
          <w:lang w:val="tr-TR"/>
        </w:rPr>
        <w:t xml:space="preserve"> </w:t>
      </w:r>
      <w:r w:rsidR="00582C0F" w:rsidRPr="001D47B8">
        <w:rPr>
          <w:color w:val="010101"/>
          <w:sz w:val="21"/>
          <w:lang w:val="tr-TR"/>
        </w:rPr>
        <w:t>G</w:t>
      </w:r>
      <w:r w:rsidR="00691EBA" w:rsidRPr="001D47B8">
        <w:rPr>
          <w:color w:val="010101"/>
          <w:sz w:val="21"/>
          <w:lang w:val="tr-TR"/>
        </w:rPr>
        <w:t>örevden uzaklaştırma/faaliyetten alıkoyma</w:t>
      </w:r>
      <w:r w:rsidR="00842D0D" w:rsidRPr="001D47B8">
        <w:rPr>
          <w:color w:val="010101"/>
          <w:sz w:val="21"/>
          <w:lang w:val="tr-TR"/>
        </w:rPr>
        <w:t xml:space="preserve"> </w:t>
      </w:r>
      <w:r w:rsidR="006C41A6" w:rsidRPr="001D47B8">
        <w:rPr>
          <w:color w:val="010101"/>
          <w:sz w:val="21"/>
          <w:lang w:val="tr-TR"/>
        </w:rPr>
        <w:t>–</w:t>
      </w:r>
      <w:r w:rsidR="006E55DC" w:rsidRPr="001D47B8">
        <w:rPr>
          <w:color w:val="010101"/>
          <w:spacing w:val="1"/>
          <w:sz w:val="21"/>
          <w:lang w:val="tr-TR"/>
        </w:rPr>
        <w:t xml:space="preserve"> </w:t>
      </w:r>
      <w:r w:rsidR="006C41A6" w:rsidRPr="001D47B8">
        <w:rPr>
          <w:color w:val="010101"/>
          <w:spacing w:val="1"/>
          <w:sz w:val="21"/>
          <w:lang w:val="tr-TR"/>
        </w:rPr>
        <w:t xml:space="preserve">ve </w:t>
      </w:r>
      <w:r w:rsidR="004700AF" w:rsidRPr="004700AF">
        <w:rPr>
          <w:i/>
          <w:iCs/>
          <w:color w:val="010101"/>
          <w:spacing w:val="1"/>
          <w:sz w:val="21"/>
          <w:lang w:val="tr-TR"/>
        </w:rPr>
        <w:t>a fortiori</w:t>
      </w:r>
      <w:r w:rsidR="00582C0F" w:rsidRPr="001D47B8">
        <w:rPr>
          <w:color w:val="010101"/>
          <w:spacing w:val="1"/>
          <w:sz w:val="21"/>
          <w:lang w:val="tr-TR"/>
        </w:rPr>
        <w:t xml:space="preserve"> </w:t>
      </w:r>
      <w:r w:rsidR="006C41A6" w:rsidRPr="001D47B8">
        <w:rPr>
          <w:color w:val="010101"/>
          <w:spacing w:val="1"/>
          <w:sz w:val="21"/>
          <w:lang w:val="tr-TR"/>
        </w:rPr>
        <w:t xml:space="preserve">derneğin feshi </w:t>
      </w:r>
      <w:r w:rsidR="006C41A6" w:rsidRPr="001D47B8">
        <w:rPr>
          <w:color w:val="010101"/>
          <w:sz w:val="21"/>
          <w:lang w:val="tr-TR"/>
        </w:rPr>
        <w:t>-</w:t>
      </w:r>
      <w:r w:rsidR="006C41A6" w:rsidRPr="001D47B8">
        <w:rPr>
          <w:color w:val="010101"/>
          <w:spacing w:val="1"/>
          <w:sz w:val="21"/>
          <w:lang w:val="tr-TR"/>
        </w:rPr>
        <w:t xml:space="preserve"> </w:t>
      </w:r>
      <w:r w:rsidR="00842D0D" w:rsidRPr="001D47B8">
        <w:rPr>
          <w:color w:val="010101"/>
          <w:sz w:val="21"/>
          <w:lang w:val="tr-TR"/>
        </w:rPr>
        <w:t>durumunda yargı denetimi son derece önemlidir ve masumiyet karinesi</w:t>
      </w:r>
      <w:r w:rsidR="006E55DC" w:rsidRPr="001D47B8">
        <w:rPr>
          <w:color w:val="010101"/>
          <w:sz w:val="21"/>
          <w:lang w:val="tr-TR"/>
        </w:rPr>
        <w:t xml:space="preserve"> </w:t>
      </w:r>
      <w:r w:rsidR="00842D0D" w:rsidRPr="001D47B8">
        <w:rPr>
          <w:color w:val="010101"/>
          <w:sz w:val="21"/>
          <w:lang w:val="tr-TR"/>
        </w:rPr>
        <w:t xml:space="preserve">ilkesi de </w:t>
      </w:r>
      <w:r w:rsidR="006E55DC" w:rsidRPr="001D47B8">
        <w:rPr>
          <w:color w:val="010101"/>
          <w:sz w:val="21"/>
          <w:lang w:val="tr-TR"/>
        </w:rPr>
        <w:t xml:space="preserve">dikkate alındığında çok hızlı bir şekilde uygulanmalıdır. </w:t>
      </w:r>
      <w:r w:rsidR="006D1671" w:rsidRPr="001D47B8">
        <w:rPr>
          <w:color w:val="010101"/>
          <w:sz w:val="21"/>
          <w:lang w:val="tr-TR"/>
        </w:rPr>
        <w:t>Mahkemelerin, geçici tedbir</w:t>
      </w:r>
      <w:r w:rsidR="00253BF2" w:rsidRPr="001D47B8">
        <w:rPr>
          <w:color w:val="010101"/>
          <w:sz w:val="21"/>
          <w:lang w:val="tr-TR"/>
        </w:rPr>
        <w:t xml:space="preserve"> alma yöntemi</w:t>
      </w:r>
      <w:r w:rsidR="009165A7" w:rsidRPr="001D47B8">
        <w:rPr>
          <w:color w:val="010101"/>
          <w:sz w:val="21"/>
          <w:lang w:val="tr-TR"/>
        </w:rPr>
        <w:t xml:space="preserve">nden yararlanarak, </w:t>
      </w:r>
      <w:r w:rsidR="006D1671" w:rsidRPr="001D47B8">
        <w:rPr>
          <w:color w:val="010101"/>
          <w:sz w:val="21"/>
          <w:lang w:val="tr-TR"/>
        </w:rPr>
        <w:t xml:space="preserve">alınan tedbirleri kaldırma yetkisi olmalıdır. </w:t>
      </w:r>
      <w:r w:rsidR="009165A7" w:rsidRPr="001D47B8">
        <w:rPr>
          <w:color w:val="010101"/>
          <w:sz w:val="21"/>
          <w:lang w:val="tr-TR"/>
        </w:rPr>
        <w:t xml:space="preserve">Usullerin adaletli ve şeffaf olması gerekir. </w:t>
      </w:r>
    </w:p>
    <w:p w14:paraId="717BCDBB" w14:textId="77777777" w:rsidR="00C11B99" w:rsidRPr="001D47B8" w:rsidRDefault="00C11B99" w:rsidP="00C11B99">
      <w:pPr>
        <w:pStyle w:val="ListeParagraf"/>
        <w:tabs>
          <w:tab w:val="left" w:pos="671"/>
        </w:tabs>
        <w:spacing w:line="252" w:lineRule="auto"/>
        <w:ind w:left="126" w:right="320" w:firstLine="0"/>
        <w:rPr>
          <w:color w:val="010101"/>
          <w:sz w:val="21"/>
          <w:lang w:val="tr-TR"/>
        </w:rPr>
      </w:pPr>
    </w:p>
    <w:p w14:paraId="7E014B4B" w14:textId="4CA76249" w:rsidR="001B3C12" w:rsidRPr="001D47B8" w:rsidRDefault="00C44194" w:rsidP="001C4B9F">
      <w:pPr>
        <w:pStyle w:val="ListeParagraf"/>
        <w:numPr>
          <w:ilvl w:val="0"/>
          <w:numId w:val="3"/>
        </w:numPr>
        <w:tabs>
          <w:tab w:val="left" w:pos="1588"/>
        </w:tabs>
        <w:ind w:left="1587" w:hanging="248"/>
        <w:rPr>
          <w:i/>
          <w:color w:val="010101"/>
          <w:sz w:val="21"/>
          <w:lang w:val="tr-TR"/>
        </w:rPr>
      </w:pPr>
      <w:r w:rsidRPr="001D47B8">
        <w:rPr>
          <w:i/>
          <w:color w:val="010101"/>
          <w:spacing w:val="-1"/>
          <w:w w:val="105"/>
          <w:sz w:val="21"/>
          <w:lang w:val="tr-TR"/>
        </w:rPr>
        <w:t>Kayyum atanması</w:t>
      </w:r>
    </w:p>
    <w:p w14:paraId="12B2661F" w14:textId="77777777" w:rsidR="001B3C12" w:rsidRPr="001D47B8" w:rsidRDefault="001B3C12" w:rsidP="001C4B9F">
      <w:pPr>
        <w:pStyle w:val="GvdeMetni"/>
        <w:jc w:val="both"/>
        <w:rPr>
          <w:i/>
          <w:sz w:val="25"/>
          <w:lang w:val="tr-TR"/>
        </w:rPr>
      </w:pPr>
    </w:p>
    <w:p w14:paraId="68A63EA8" w14:textId="47A1F371" w:rsidR="00922824" w:rsidRPr="001D47B8" w:rsidRDefault="007A47E3" w:rsidP="001C4B9F">
      <w:pPr>
        <w:pStyle w:val="ListeParagraf"/>
        <w:numPr>
          <w:ilvl w:val="0"/>
          <w:numId w:val="6"/>
        </w:numPr>
        <w:tabs>
          <w:tab w:val="left" w:pos="668"/>
        </w:tabs>
        <w:spacing w:line="252" w:lineRule="auto"/>
        <w:ind w:right="326" w:firstLine="3"/>
        <w:rPr>
          <w:color w:val="010101"/>
          <w:sz w:val="21"/>
          <w:lang w:val="tr-TR"/>
        </w:rPr>
      </w:pPr>
      <w:r w:rsidRPr="001D47B8">
        <w:rPr>
          <w:color w:val="010101"/>
          <w:sz w:val="21"/>
          <w:lang w:val="tr-TR"/>
        </w:rPr>
        <w:t>Herhangi bir s</w:t>
      </w:r>
      <w:r w:rsidR="00CE5253" w:rsidRPr="001D47B8">
        <w:rPr>
          <w:color w:val="010101"/>
          <w:sz w:val="21"/>
          <w:lang w:val="tr-TR"/>
        </w:rPr>
        <w:t>ivil toplum örgütünün</w:t>
      </w:r>
      <w:r w:rsidR="00922824" w:rsidRPr="001D47B8">
        <w:rPr>
          <w:color w:val="010101"/>
          <w:sz w:val="21"/>
          <w:lang w:val="tr-TR"/>
        </w:rPr>
        <w:t xml:space="preserve"> kurul üyelerini/personelini görevden alma kararının </w:t>
      </w:r>
      <w:r w:rsidR="00CE5253" w:rsidRPr="001D47B8">
        <w:rPr>
          <w:color w:val="010101"/>
          <w:sz w:val="21"/>
          <w:lang w:val="tr-TR"/>
        </w:rPr>
        <w:t xml:space="preserve">uygulanmasını takiben, </w:t>
      </w:r>
      <w:r w:rsidR="00932940" w:rsidRPr="001D47B8">
        <w:rPr>
          <w:color w:val="010101"/>
          <w:sz w:val="21"/>
          <w:lang w:val="tr-TR"/>
        </w:rPr>
        <w:t xml:space="preserve">Dernekler Kanunu ve Medeni Kanun temelinde </w:t>
      </w:r>
      <w:r w:rsidR="00EB4B50" w:rsidRPr="001D47B8">
        <w:rPr>
          <w:color w:val="010101"/>
          <w:sz w:val="21"/>
          <w:lang w:val="tr-TR"/>
        </w:rPr>
        <w:t xml:space="preserve">İçişleri Bakanı, mahkeme </w:t>
      </w:r>
      <w:r w:rsidR="00A0258F" w:rsidRPr="001D47B8">
        <w:rPr>
          <w:color w:val="010101"/>
          <w:sz w:val="21"/>
          <w:lang w:val="tr-TR"/>
        </w:rPr>
        <w:t>emri</w:t>
      </w:r>
      <w:r w:rsidR="00EB4B50" w:rsidRPr="001D47B8">
        <w:rPr>
          <w:color w:val="010101"/>
          <w:sz w:val="21"/>
          <w:lang w:val="tr-TR"/>
        </w:rPr>
        <w:t xml:space="preserve"> ile </w:t>
      </w:r>
      <w:r w:rsidR="00932940" w:rsidRPr="001D47B8">
        <w:rPr>
          <w:color w:val="010101"/>
          <w:sz w:val="21"/>
          <w:lang w:val="tr-TR"/>
        </w:rPr>
        <w:t>görevden alınan kişiler yerine kayyum atayabilir.</w:t>
      </w:r>
      <w:r w:rsidR="00FA4FB7" w:rsidRPr="001D47B8">
        <w:rPr>
          <w:color w:val="010101"/>
          <w:sz w:val="21"/>
          <w:lang w:val="tr-TR"/>
        </w:rPr>
        <w:t xml:space="preserve"> Bu değişiklikten önce, </w:t>
      </w:r>
      <w:r w:rsidR="00A0258F" w:rsidRPr="001D47B8">
        <w:rPr>
          <w:color w:val="010101"/>
          <w:sz w:val="21"/>
          <w:lang w:val="tr-TR"/>
        </w:rPr>
        <w:t xml:space="preserve">sadece </w:t>
      </w:r>
      <w:r w:rsidR="00FD7D6F">
        <w:rPr>
          <w:color w:val="010101"/>
          <w:sz w:val="21"/>
          <w:lang w:val="tr-TR"/>
        </w:rPr>
        <w:t xml:space="preserve">Dernekler </w:t>
      </w:r>
      <w:r w:rsidR="00D74705" w:rsidRPr="001D47B8">
        <w:rPr>
          <w:color w:val="010101"/>
          <w:sz w:val="21"/>
          <w:lang w:val="tr-TR"/>
        </w:rPr>
        <w:t>Kanununun 27. maddesin</w:t>
      </w:r>
      <w:r w:rsidR="009A3E67" w:rsidRPr="001D47B8">
        <w:rPr>
          <w:color w:val="010101"/>
          <w:sz w:val="21"/>
          <w:lang w:val="tr-TR"/>
        </w:rPr>
        <w:t>d</w:t>
      </w:r>
      <w:r w:rsidR="00D74705" w:rsidRPr="001D47B8">
        <w:rPr>
          <w:color w:val="010101"/>
          <w:sz w:val="21"/>
          <w:lang w:val="tr-TR"/>
        </w:rPr>
        <w:t xml:space="preserve">e </w:t>
      </w:r>
      <w:r w:rsidR="00A0258F" w:rsidRPr="001D47B8">
        <w:rPr>
          <w:color w:val="010101"/>
          <w:sz w:val="21"/>
          <w:lang w:val="tr-TR"/>
        </w:rPr>
        <w:t xml:space="preserve">ve </w:t>
      </w:r>
      <w:r w:rsidR="003515DC">
        <w:rPr>
          <w:color w:val="010101"/>
          <w:sz w:val="21"/>
          <w:lang w:val="tr-TR"/>
        </w:rPr>
        <w:t xml:space="preserve">Türk Medeni Kanununun </w:t>
      </w:r>
      <w:r w:rsidR="00A0258F" w:rsidRPr="001D47B8">
        <w:rPr>
          <w:color w:val="010101"/>
          <w:sz w:val="21"/>
          <w:lang w:val="tr-TR"/>
        </w:rPr>
        <w:t xml:space="preserve">ilgili maddelerinde tanımlanan kamu yararına çalışan derneklere mahkeme emri ile kayyum atanması mümkündü. </w:t>
      </w:r>
      <w:r w:rsidR="00A428B1" w:rsidRPr="001D47B8">
        <w:rPr>
          <w:color w:val="010101"/>
          <w:sz w:val="21"/>
          <w:lang w:val="tr-TR"/>
        </w:rPr>
        <w:t xml:space="preserve">Bu olasılık artık </w:t>
      </w:r>
      <w:r w:rsidR="00236DDC" w:rsidRPr="001D47B8">
        <w:rPr>
          <w:color w:val="010101"/>
          <w:sz w:val="21"/>
          <w:lang w:val="tr-TR"/>
        </w:rPr>
        <w:t>“</w:t>
      </w:r>
      <w:r w:rsidR="009C26A4" w:rsidRPr="001D47B8">
        <w:rPr>
          <w:color w:val="010101"/>
          <w:sz w:val="21"/>
          <w:lang w:val="tr-TR"/>
        </w:rPr>
        <w:t xml:space="preserve">Derneğin </w:t>
      </w:r>
      <w:r w:rsidR="00236DDC" w:rsidRPr="001D47B8">
        <w:rPr>
          <w:color w:val="010101"/>
          <w:sz w:val="21"/>
          <w:lang w:val="tr-TR"/>
        </w:rPr>
        <w:t>Mahkeme</w:t>
      </w:r>
      <w:r w:rsidR="009C26A4" w:rsidRPr="001D47B8">
        <w:rPr>
          <w:color w:val="010101"/>
          <w:sz w:val="21"/>
          <w:lang w:val="tr-TR"/>
        </w:rPr>
        <w:t xml:space="preserve"> Kararı ile Feshine” ilişkin 89. maddesi uyarınca tüm dernekler için uygulanabil</w:t>
      </w:r>
      <w:r w:rsidR="007414CF" w:rsidRPr="001D47B8">
        <w:rPr>
          <w:color w:val="010101"/>
          <w:sz w:val="21"/>
          <w:lang w:val="tr-TR"/>
        </w:rPr>
        <w:t xml:space="preserve">ir hale getirilmiştir. Derneğin </w:t>
      </w:r>
      <w:r w:rsidR="00E55C90" w:rsidRPr="001D47B8">
        <w:rPr>
          <w:color w:val="010101"/>
          <w:sz w:val="21"/>
          <w:lang w:val="tr-TR"/>
        </w:rPr>
        <w:t xml:space="preserve">görevden uzaklaştırılan </w:t>
      </w:r>
      <w:r w:rsidR="007414CF" w:rsidRPr="001D47B8">
        <w:rPr>
          <w:color w:val="010101"/>
          <w:sz w:val="21"/>
          <w:lang w:val="tr-TR"/>
        </w:rPr>
        <w:t>organları ya da personeli</w:t>
      </w:r>
      <w:r w:rsidR="00BB7AB9" w:rsidRPr="001D47B8">
        <w:rPr>
          <w:color w:val="010101"/>
          <w:sz w:val="21"/>
          <w:lang w:val="tr-TR"/>
        </w:rPr>
        <w:t xml:space="preserve"> yerine kayyum(lar) atanabilir.</w:t>
      </w:r>
      <w:r w:rsidR="00BB7AB9" w:rsidRPr="001D47B8">
        <w:rPr>
          <w:rStyle w:val="DipnotBavurusu"/>
          <w:color w:val="010101"/>
          <w:sz w:val="21"/>
          <w:lang w:val="tr-TR"/>
        </w:rPr>
        <w:footnoteReference w:id="64"/>
      </w:r>
    </w:p>
    <w:p w14:paraId="482E9627" w14:textId="77777777" w:rsidR="00922824" w:rsidRPr="001D47B8" w:rsidRDefault="00922824" w:rsidP="00922824">
      <w:pPr>
        <w:pStyle w:val="ListeParagraf"/>
        <w:tabs>
          <w:tab w:val="left" w:pos="668"/>
        </w:tabs>
        <w:spacing w:line="252" w:lineRule="auto"/>
        <w:ind w:left="126" w:right="326" w:firstLine="0"/>
        <w:rPr>
          <w:color w:val="010101"/>
          <w:sz w:val="21"/>
          <w:lang w:val="tr-TR"/>
        </w:rPr>
      </w:pPr>
    </w:p>
    <w:p w14:paraId="0091552A" w14:textId="422B1722" w:rsidR="000B1738" w:rsidRPr="001D47B8" w:rsidRDefault="002315D5" w:rsidP="00656719">
      <w:pPr>
        <w:pStyle w:val="ListeParagraf"/>
        <w:numPr>
          <w:ilvl w:val="0"/>
          <w:numId w:val="6"/>
        </w:numPr>
        <w:tabs>
          <w:tab w:val="left" w:pos="670"/>
        </w:tabs>
        <w:spacing w:before="92" w:line="252" w:lineRule="auto"/>
        <w:ind w:right="334" w:firstLine="6"/>
        <w:rPr>
          <w:lang w:val="tr-TR"/>
        </w:rPr>
      </w:pPr>
      <w:r w:rsidRPr="001D47B8">
        <w:rPr>
          <w:color w:val="010101"/>
          <w:sz w:val="21"/>
          <w:lang w:val="tr-TR"/>
        </w:rPr>
        <w:t xml:space="preserve">Kayyum atamalarında dernek üyelerinin ya da kurulunun </w:t>
      </w:r>
      <w:r w:rsidR="0047512C" w:rsidRPr="001D47B8">
        <w:rPr>
          <w:color w:val="010101"/>
          <w:sz w:val="21"/>
          <w:lang w:val="tr-TR"/>
        </w:rPr>
        <w:t xml:space="preserve">herhangi bir şekilde </w:t>
      </w:r>
      <w:r w:rsidRPr="001D47B8">
        <w:rPr>
          <w:color w:val="010101"/>
          <w:sz w:val="21"/>
          <w:lang w:val="tr-TR"/>
        </w:rPr>
        <w:t>rızası</w:t>
      </w:r>
      <w:r w:rsidR="0047512C" w:rsidRPr="001D47B8">
        <w:rPr>
          <w:color w:val="010101"/>
          <w:sz w:val="21"/>
          <w:lang w:val="tr-TR"/>
        </w:rPr>
        <w:t>nın alınmasına dair</w:t>
      </w:r>
      <w:r w:rsidR="00723223" w:rsidRPr="001D47B8">
        <w:rPr>
          <w:color w:val="010101"/>
          <w:sz w:val="21"/>
          <w:lang w:val="tr-TR"/>
        </w:rPr>
        <w:t xml:space="preserve"> bir düzenleme</w:t>
      </w:r>
      <w:r w:rsidR="00400AA1" w:rsidRPr="001D47B8">
        <w:rPr>
          <w:color w:val="010101"/>
          <w:sz w:val="21"/>
          <w:lang w:val="tr-TR"/>
        </w:rPr>
        <w:t xml:space="preserve"> yapılmamıştır. Göreve atandıktan sonra kayyumların eylemlerine dair hiçbir kısıtlama bulunmamaktadır. </w:t>
      </w:r>
      <w:r w:rsidR="003D26C2" w:rsidRPr="001D47B8">
        <w:rPr>
          <w:color w:val="010101"/>
          <w:sz w:val="21"/>
          <w:lang w:val="tr-TR"/>
        </w:rPr>
        <w:t xml:space="preserve">Kayyumlar mahkeme önünde sorumludur ve mevzuata uymak zorundadır. Bununla birlikte, </w:t>
      </w:r>
      <w:r w:rsidR="002B2575" w:rsidRPr="001D47B8">
        <w:rPr>
          <w:color w:val="010101"/>
          <w:sz w:val="21"/>
          <w:lang w:val="tr-TR"/>
        </w:rPr>
        <w:t>kayyumların STÖ’nün menfaatlerini dikkate alması için bir teminat olarak</w:t>
      </w:r>
      <w:r w:rsidR="00C61AD2" w:rsidRPr="001D47B8">
        <w:rPr>
          <w:color w:val="010101"/>
          <w:sz w:val="21"/>
          <w:lang w:val="tr-TR"/>
        </w:rPr>
        <w:t xml:space="preserve">, mahkemenin </w:t>
      </w:r>
      <w:r w:rsidR="00D83DD9" w:rsidRPr="001D47B8">
        <w:rPr>
          <w:color w:val="010101"/>
          <w:sz w:val="21"/>
          <w:lang w:val="tr-TR"/>
        </w:rPr>
        <w:t>kayyumun atanmasından önce ilgili STÖ üyeleri ya da kurulu ile istişare etmesini gerekli kılan bir yasal hüküm</w:t>
      </w:r>
      <w:r w:rsidR="00C61AD2" w:rsidRPr="001D47B8">
        <w:rPr>
          <w:color w:val="010101"/>
          <w:sz w:val="21"/>
          <w:lang w:val="tr-TR"/>
        </w:rPr>
        <w:t xml:space="preserve"> yoktur. </w:t>
      </w:r>
      <w:r w:rsidR="00580FDE" w:rsidRPr="001D47B8">
        <w:rPr>
          <w:color w:val="010101"/>
          <w:sz w:val="21"/>
          <w:lang w:val="tr-TR"/>
        </w:rPr>
        <w:t xml:space="preserve">Sonuç olarak, </w:t>
      </w:r>
      <w:r w:rsidR="00EB4C78" w:rsidRPr="001D47B8">
        <w:rPr>
          <w:color w:val="010101"/>
          <w:sz w:val="21"/>
          <w:lang w:val="tr-TR"/>
        </w:rPr>
        <w:t xml:space="preserve">derneklere kayyum atanması, </w:t>
      </w:r>
      <w:r w:rsidR="00580FDE" w:rsidRPr="001D47B8">
        <w:rPr>
          <w:color w:val="010101"/>
          <w:sz w:val="21"/>
          <w:lang w:val="tr-TR"/>
        </w:rPr>
        <w:t xml:space="preserve">derneklerin işlerini </w:t>
      </w:r>
      <w:r w:rsidR="00BF4050" w:rsidRPr="001D47B8">
        <w:rPr>
          <w:color w:val="010101"/>
          <w:sz w:val="21"/>
          <w:lang w:val="tr-TR"/>
        </w:rPr>
        <w:t xml:space="preserve">kendi başına </w:t>
      </w:r>
      <w:r w:rsidR="00580FDE" w:rsidRPr="001D47B8">
        <w:rPr>
          <w:color w:val="010101"/>
          <w:sz w:val="21"/>
          <w:lang w:val="tr-TR"/>
        </w:rPr>
        <w:t>yürütme hakkına</w:t>
      </w:r>
      <w:r w:rsidR="00344D93" w:rsidRPr="001D47B8">
        <w:rPr>
          <w:color w:val="010101"/>
          <w:sz w:val="21"/>
          <w:lang w:val="tr-TR"/>
        </w:rPr>
        <w:t xml:space="preserve"> karşı ciddi bir ihlal teşkil etmektedir </w:t>
      </w:r>
      <w:r w:rsidR="00926342" w:rsidRPr="001D47B8">
        <w:rPr>
          <w:color w:val="010101"/>
          <w:sz w:val="21"/>
          <w:lang w:val="tr-TR"/>
        </w:rPr>
        <w:t>ve</w:t>
      </w:r>
      <w:r w:rsidR="00344D93" w:rsidRPr="001D47B8">
        <w:rPr>
          <w:color w:val="010101"/>
          <w:sz w:val="21"/>
          <w:lang w:val="tr-TR"/>
        </w:rPr>
        <w:t xml:space="preserve"> </w:t>
      </w:r>
      <w:r w:rsidR="00965CCF" w:rsidRPr="001D47B8">
        <w:rPr>
          <w:color w:val="010101"/>
          <w:sz w:val="21"/>
          <w:lang w:val="tr-TR"/>
        </w:rPr>
        <w:t xml:space="preserve">bu </w:t>
      </w:r>
      <w:r w:rsidR="004720BE" w:rsidRPr="001D47B8">
        <w:rPr>
          <w:color w:val="010101"/>
          <w:sz w:val="21"/>
          <w:lang w:val="tr-TR"/>
        </w:rPr>
        <w:t>tedbirin</w:t>
      </w:r>
      <w:r w:rsidR="00965CCF" w:rsidRPr="001D47B8">
        <w:rPr>
          <w:color w:val="010101"/>
          <w:sz w:val="21"/>
          <w:lang w:val="tr-TR"/>
        </w:rPr>
        <w:t xml:space="preserve"> alınması illa ki gerekliyse</w:t>
      </w:r>
      <w:r w:rsidR="004720BE" w:rsidRPr="001D47B8">
        <w:rPr>
          <w:color w:val="010101"/>
          <w:sz w:val="21"/>
          <w:lang w:val="tr-TR"/>
        </w:rPr>
        <w:t>,</w:t>
      </w:r>
      <w:r w:rsidR="00EB51AA" w:rsidRPr="001D47B8">
        <w:rPr>
          <w:color w:val="010101"/>
          <w:sz w:val="21"/>
          <w:lang w:val="tr-TR"/>
        </w:rPr>
        <w:t xml:space="preserve"> daha yumuşak bir müdahale yapılması için çeşitli istişare yolları</w:t>
      </w:r>
      <w:r w:rsidR="004720BE" w:rsidRPr="001D47B8">
        <w:rPr>
          <w:color w:val="010101"/>
          <w:sz w:val="21"/>
          <w:lang w:val="tr-TR"/>
        </w:rPr>
        <w:t xml:space="preserve"> aslında mevcut</w:t>
      </w:r>
      <w:r w:rsidR="00EB4C78" w:rsidRPr="001D47B8">
        <w:rPr>
          <w:color w:val="010101"/>
          <w:sz w:val="21"/>
          <w:lang w:val="tr-TR"/>
        </w:rPr>
        <w:t xml:space="preserve"> olduğu için </w:t>
      </w:r>
      <w:r w:rsidR="004720BE" w:rsidRPr="001D47B8">
        <w:rPr>
          <w:color w:val="010101"/>
          <w:sz w:val="21"/>
          <w:lang w:val="tr-TR"/>
        </w:rPr>
        <w:t xml:space="preserve">tedbir </w:t>
      </w:r>
      <w:r w:rsidR="00EB4C78" w:rsidRPr="001D47B8">
        <w:rPr>
          <w:color w:val="010101"/>
          <w:sz w:val="21"/>
          <w:lang w:val="tr-TR"/>
        </w:rPr>
        <w:t xml:space="preserve">ne gereklidir ne de ölçülüdür. </w:t>
      </w:r>
      <w:r w:rsidR="00926342" w:rsidRPr="001D47B8">
        <w:rPr>
          <w:color w:val="010101"/>
          <w:sz w:val="21"/>
          <w:lang w:val="tr-TR"/>
        </w:rPr>
        <w:t>Bunun gibi ölçüsüz tedbirler</w:t>
      </w:r>
      <w:r w:rsidR="00EB6487" w:rsidRPr="001D47B8">
        <w:rPr>
          <w:color w:val="010101"/>
          <w:sz w:val="21"/>
          <w:lang w:val="tr-TR"/>
        </w:rPr>
        <w:t>, bağımsız bir derneğin yapısını değiştirme</w:t>
      </w:r>
      <w:r w:rsidR="004849F6" w:rsidRPr="001D47B8">
        <w:rPr>
          <w:color w:val="010101"/>
          <w:sz w:val="21"/>
          <w:lang w:val="tr-TR"/>
        </w:rPr>
        <w:t>k ve derneğin üzerindeki hükümet kontrolünü sıkılaştırmak anlamındadır, zira yetkililerin derneğin gündeminden ziyade hükümete sadık olan b</w:t>
      </w:r>
      <w:r w:rsidR="00B558B4" w:rsidRPr="001D47B8">
        <w:rPr>
          <w:color w:val="010101"/>
          <w:sz w:val="21"/>
          <w:lang w:val="tr-TR"/>
        </w:rPr>
        <w:t>ireyler</w:t>
      </w:r>
      <w:r w:rsidR="00474445">
        <w:rPr>
          <w:color w:val="010101"/>
          <w:sz w:val="21"/>
          <w:lang w:val="tr-TR"/>
        </w:rPr>
        <w:t>i</w:t>
      </w:r>
      <w:r w:rsidR="00B558B4" w:rsidRPr="001D47B8">
        <w:rPr>
          <w:color w:val="010101"/>
          <w:sz w:val="21"/>
          <w:lang w:val="tr-TR"/>
        </w:rPr>
        <w:t xml:space="preserve"> </w:t>
      </w:r>
      <w:r w:rsidR="00474445" w:rsidRPr="001D47B8">
        <w:rPr>
          <w:color w:val="010101"/>
          <w:sz w:val="21"/>
          <w:lang w:val="tr-TR"/>
        </w:rPr>
        <w:t xml:space="preserve">kayyum olarak </w:t>
      </w:r>
      <w:r w:rsidR="00B558B4" w:rsidRPr="001D47B8">
        <w:rPr>
          <w:color w:val="010101"/>
          <w:sz w:val="21"/>
          <w:lang w:val="tr-TR"/>
        </w:rPr>
        <w:t xml:space="preserve">ataması riski yüksektir. </w:t>
      </w:r>
    </w:p>
    <w:p w14:paraId="31FA596F" w14:textId="77777777" w:rsidR="001B3C12" w:rsidRPr="001D47B8" w:rsidRDefault="001B3C12" w:rsidP="001C4B9F">
      <w:pPr>
        <w:pStyle w:val="GvdeMetni"/>
        <w:spacing w:before="1"/>
        <w:jc w:val="both"/>
        <w:rPr>
          <w:sz w:val="22"/>
          <w:lang w:val="tr-TR"/>
        </w:rPr>
      </w:pPr>
    </w:p>
    <w:p w14:paraId="6C45C0E7" w14:textId="69894714" w:rsidR="001B3C12" w:rsidRPr="001D47B8" w:rsidRDefault="00F13FFD" w:rsidP="001C4B9F">
      <w:pPr>
        <w:pStyle w:val="ListeParagraf"/>
        <w:numPr>
          <w:ilvl w:val="0"/>
          <w:numId w:val="3"/>
        </w:numPr>
        <w:tabs>
          <w:tab w:val="left" w:pos="1569"/>
        </w:tabs>
        <w:spacing w:before="1" w:line="252" w:lineRule="auto"/>
        <w:ind w:left="1335" w:right="326" w:firstLine="1"/>
        <w:rPr>
          <w:i/>
          <w:color w:val="010101"/>
          <w:sz w:val="21"/>
          <w:lang w:val="tr-TR"/>
        </w:rPr>
      </w:pPr>
      <w:r w:rsidRPr="001D47B8">
        <w:rPr>
          <w:i/>
          <w:color w:val="010101"/>
          <w:sz w:val="21"/>
          <w:lang w:val="tr-TR"/>
        </w:rPr>
        <w:t>STÖ’lerin faaliyetten alıkonulması ve olası fesihleri</w:t>
      </w:r>
      <w:r w:rsidR="00C77180" w:rsidRPr="001D47B8">
        <w:rPr>
          <w:i/>
          <w:color w:val="010101"/>
          <w:spacing w:val="1"/>
          <w:sz w:val="21"/>
          <w:lang w:val="tr-TR"/>
        </w:rPr>
        <w:t xml:space="preserve"> </w:t>
      </w:r>
      <w:r w:rsidR="00C77180" w:rsidRPr="001D47B8">
        <w:rPr>
          <w:i/>
          <w:color w:val="010101"/>
          <w:sz w:val="21"/>
          <w:lang w:val="tr-TR"/>
        </w:rPr>
        <w:t>(30/A</w:t>
      </w:r>
      <w:r w:rsidR="00C77180" w:rsidRPr="001D47B8">
        <w:rPr>
          <w:i/>
          <w:color w:val="010101"/>
          <w:spacing w:val="1"/>
          <w:sz w:val="21"/>
          <w:lang w:val="tr-TR"/>
        </w:rPr>
        <w:t xml:space="preserve"> </w:t>
      </w:r>
      <w:r w:rsidR="00C77180" w:rsidRPr="001D47B8">
        <w:rPr>
          <w:i/>
          <w:color w:val="010101"/>
          <w:w w:val="105"/>
          <w:sz w:val="21"/>
          <w:lang w:val="tr-TR"/>
        </w:rPr>
        <w:t>(2)</w:t>
      </w:r>
      <w:r w:rsidRPr="001D47B8">
        <w:rPr>
          <w:i/>
          <w:color w:val="010101"/>
          <w:w w:val="105"/>
          <w:sz w:val="21"/>
          <w:lang w:val="tr-TR"/>
        </w:rPr>
        <w:t xml:space="preserve"> sayılı Madde</w:t>
      </w:r>
      <w:r w:rsidR="00C77180" w:rsidRPr="001D47B8">
        <w:rPr>
          <w:i/>
          <w:color w:val="010101"/>
          <w:w w:val="105"/>
          <w:sz w:val="21"/>
          <w:lang w:val="tr-TR"/>
        </w:rPr>
        <w:t>)</w:t>
      </w:r>
    </w:p>
    <w:p w14:paraId="4B0645FE" w14:textId="77777777" w:rsidR="001B3C12" w:rsidRPr="001D47B8" w:rsidRDefault="001B3C12" w:rsidP="001C4B9F">
      <w:pPr>
        <w:pStyle w:val="GvdeMetni"/>
        <w:spacing w:before="10"/>
        <w:jc w:val="both"/>
        <w:rPr>
          <w:i/>
          <w:lang w:val="tr-TR"/>
        </w:rPr>
      </w:pPr>
    </w:p>
    <w:p w14:paraId="49C9038F" w14:textId="7DBA1410" w:rsidR="00B558B4" w:rsidRPr="001D47B8" w:rsidRDefault="00B558B4" w:rsidP="001C4B9F">
      <w:pPr>
        <w:pStyle w:val="ListeParagraf"/>
        <w:numPr>
          <w:ilvl w:val="0"/>
          <w:numId w:val="6"/>
        </w:numPr>
        <w:tabs>
          <w:tab w:val="left" w:pos="671"/>
        </w:tabs>
        <w:spacing w:line="252" w:lineRule="auto"/>
        <w:ind w:right="322" w:firstLine="3"/>
        <w:rPr>
          <w:color w:val="010101"/>
          <w:sz w:val="21"/>
          <w:lang w:val="tr-TR"/>
        </w:rPr>
      </w:pPr>
      <w:r w:rsidRPr="001D47B8">
        <w:rPr>
          <w:color w:val="010101"/>
          <w:sz w:val="21"/>
          <w:lang w:val="tr-TR"/>
        </w:rPr>
        <w:t>Dernekler Kanununun 30/A sayılı maddesinin değiştirilmiş fıkrası</w:t>
      </w:r>
      <w:r w:rsidR="00E735FD" w:rsidRPr="001D47B8">
        <w:rPr>
          <w:color w:val="010101"/>
          <w:sz w:val="21"/>
          <w:lang w:val="tr-TR"/>
        </w:rPr>
        <w:t xml:space="preserve">na göre, </w:t>
      </w:r>
      <w:r w:rsidR="000547F6" w:rsidRPr="001D47B8">
        <w:rPr>
          <w:color w:val="010101"/>
          <w:sz w:val="21"/>
          <w:lang w:val="tr-TR"/>
        </w:rPr>
        <w:t xml:space="preserve">İçişleri Bakanı </w:t>
      </w:r>
      <w:r w:rsidR="0055476A" w:rsidRPr="001D47B8">
        <w:rPr>
          <w:color w:val="010101"/>
          <w:sz w:val="21"/>
          <w:lang w:val="tr-TR"/>
        </w:rPr>
        <w:t>derneği</w:t>
      </w:r>
      <w:r w:rsidR="00FE4474" w:rsidRPr="001D47B8">
        <w:rPr>
          <w:color w:val="010101"/>
          <w:sz w:val="21"/>
          <w:lang w:val="tr-TR"/>
        </w:rPr>
        <w:t xml:space="preserve"> </w:t>
      </w:r>
      <w:r w:rsidR="00A2254B" w:rsidRPr="001D47B8">
        <w:rPr>
          <w:color w:val="010101"/>
          <w:sz w:val="21"/>
          <w:lang w:val="tr-TR"/>
        </w:rPr>
        <w:t>geçici olarak faaliyetten alıkoyabilir ve derneği</w:t>
      </w:r>
      <w:r w:rsidR="005659A0" w:rsidRPr="001D47B8">
        <w:rPr>
          <w:color w:val="010101"/>
          <w:sz w:val="21"/>
          <w:lang w:val="tr-TR"/>
        </w:rPr>
        <w:t>n</w:t>
      </w:r>
      <w:r w:rsidR="00A2254B" w:rsidRPr="001D47B8">
        <w:rPr>
          <w:color w:val="010101"/>
          <w:sz w:val="21"/>
          <w:lang w:val="tr-TR"/>
        </w:rPr>
        <w:t xml:space="preserve"> idari kadrosunun ve/veya personelinin </w:t>
      </w:r>
      <w:r w:rsidR="00FC4360" w:rsidRPr="001D47B8">
        <w:rPr>
          <w:color w:val="010101"/>
          <w:sz w:val="21"/>
          <w:lang w:val="tr-TR"/>
        </w:rPr>
        <w:lastRenderedPageBreak/>
        <w:t xml:space="preserve">uzaklaştırılması yeterli değil ise mahkemeye </w:t>
      </w:r>
      <w:r w:rsidR="005659A0" w:rsidRPr="001D47B8">
        <w:rPr>
          <w:color w:val="010101"/>
          <w:sz w:val="21"/>
          <w:lang w:val="tr-TR"/>
        </w:rPr>
        <w:t xml:space="preserve">başvurabilir. </w:t>
      </w:r>
      <w:r w:rsidR="006849E4" w:rsidRPr="001D47B8">
        <w:rPr>
          <w:color w:val="010101"/>
          <w:sz w:val="21"/>
          <w:lang w:val="tr-TR"/>
        </w:rPr>
        <w:t>Mahkeme konuyu 48 saat içinde karara bağlamalıdır; mahkeme</w:t>
      </w:r>
      <w:r w:rsidR="000E09DC">
        <w:rPr>
          <w:color w:val="010101"/>
          <w:sz w:val="21"/>
          <w:lang w:val="tr-TR"/>
        </w:rPr>
        <w:t>,</w:t>
      </w:r>
      <w:r w:rsidR="006849E4" w:rsidRPr="001D47B8">
        <w:rPr>
          <w:color w:val="010101"/>
          <w:sz w:val="21"/>
          <w:lang w:val="tr-TR"/>
        </w:rPr>
        <w:t xml:space="preserve"> İçişleri Bakanının kararını yasallık bakımından değerlendirerek karara bağlar ve derneğin faaliyetten </w:t>
      </w:r>
      <w:r w:rsidR="00305C76" w:rsidRPr="001D47B8">
        <w:rPr>
          <w:color w:val="010101"/>
          <w:sz w:val="21"/>
          <w:lang w:val="tr-TR"/>
        </w:rPr>
        <w:t xml:space="preserve">geçici </w:t>
      </w:r>
      <w:r w:rsidR="006849E4" w:rsidRPr="001D47B8">
        <w:rPr>
          <w:color w:val="010101"/>
          <w:sz w:val="21"/>
          <w:lang w:val="tr-TR"/>
        </w:rPr>
        <w:t>alıkoyulmasını teyit edebilir. Bu durumda</w:t>
      </w:r>
      <w:r w:rsidR="004338A2" w:rsidRPr="001D47B8">
        <w:rPr>
          <w:color w:val="010101"/>
          <w:sz w:val="21"/>
          <w:lang w:val="tr-TR"/>
        </w:rPr>
        <w:t xml:space="preserve"> yargılama Türk Medenî Kanununun 89. maddesine göre devam eder ve derneğin feshi ile sonuçlanabilir. </w:t>
      </w:r>
      <w:r w:rsidR="00C636D0" w:rsidRPr="001D47B8">
        <w:rPr>
          <w:color w:val="010101"/>
          <w:sz w:val="21"/>
          <w:lang w:val="tr-TR"/>
        </w:rPr>
        <w:t xml:space="preserve">Derneğin faaliyetten alıkoyulması gibi </w:t>
      </w:r>
      <w:r w:rsidR="00BC7074" w:rsidRPr="001D47B8">
        <w:rPr>
          <w:color w:val="010101"/>
          <w:sz w:val="21"/>
          <w:lang w:val="tr-TR"/>
        </w:rPr>
        <w:t xml:space="preserve">sert bir önlemin yanı sıra, </w:t>
      </w:r>
      <w:r w:rsidR="005322B8" w:rsidRPr="001D47B8">
        <w:rPr>
          <w:color w:val="010101"/>
          <w:sz w:val="21"/>
          <w:lang w:val="tr-TR"/>
        </w:rPr>
        <w:t xml:space="preserve">7262 sayılı </w:t>
      </w:r>
      <w:r w:rsidR="00CC4A9E" w:rsidRPr="001D47B8">
        <w:rPr>
          <w:color w:val="010101"/>
          <w:sz w:val="21"/>
          <w:lang w:val="tr-TR"/>
        </w:rPr>
        <w:t>Kanunun 3. maddesi uyarınca derneğin mal</w:t>
      </w:r>
      <w:r w:rsidR="00D221E9" w:rsidRPr="001D47B8">
        <w:rPr>
          <w:color w:val="010101"/>
          <w:sz w:val="21"/>
          <w:lang w:val="tr-TR"/>
        </w:rPr>
        <w:t>varlığı</w:t>
      </w:r>
      <w:r w:rsidR="009E21FD" w:rsidRPr="001D47B8">
        <w:rPr>
          <w:color w:val="010101"/>
          <w:sz w:val="21"/>
          <w:lang w:val="tr-TR"/>
        </w:rPr>
        <w:t xml:space="preserve"> </w:t>
      </w:r>
      <w:r w:rsidR="000E09DC">
        <w:rPr>
          <w:color w:val="010101"/>
          <w:sz w:val="21"/>
          <w:lang w:val="tr-TR"/>
        </w:rPr>
        <w:t xml:space="preserve">da </w:t>
      </w:r>
      <w:r w:rsidR="009E21FD" w:rsidRPr="001D47B8">
        <w:rPr>
          <w:color w:val="010101"/>
          <w:sz w:val="21"/>
          <w:lang w:val="tr-TR"/>
        </w:rPr>
        <w:t>dondurulabilir</w:t>
      </w:r>
      <w:r w:rsidR="00D11EBC" w:rsidRPr="001D47B8">
        <w:rPr>
          <w:color w:val="010101"/>
          <w:sz w:val="21"/>
          <w:lang w:val="tr-TR"/>
        </w:rPr>
        <w:t>. Maddeye göre,</w:t>
      </w:r>
      <w:r w:rsidR="009E21FD" w:rsidRPr="001D47B8">
        <w:rPr>
          <w:color w:val="010101"/>
          <w:sz w:val="21"/>
          <w:lang w:val="tr-TR"/>
        </w:rPr>
        <w:t xml:space="preserve"> Cumhurbaşkanı</w:t>
      </w:r>
      <w:r w:rsidR="00FB672F" w:rsidRPr="001D47B8">
        <w:rPr>
          <w:color w:val="010101"/>
          <w:sz w:val="21"/>
          <w:lang w:val="tr-TR"/>
        </w:rPr>
        <w:t>nın</w:t>
      </w:r>
      <w:r w:rsidR="009E21FD" w:rsidRPr="001D47B8">
        <w:rPr>
          <w:color w:val="010101"/>
          <w:sz w:val="21"/>
          <w:lang w:val="tr-TR"/>
        </w:rPr>
        <w:t xml:space="preserve"> kitle imha silahlarının yayılmasının finansmanı</w:t>
      </w:r>
      <w:r w:rsidR="00FB672F" w:rsidRPr="001D47B8">
        <w:rPr>
          <w:color w:val="010101"/>
          <w:sz w:val="21"/>
          <w:lang w:val="tr-TR"/>
        </w:rPr>
        <w:t xml:space="preserve"> iddiası </w:t>
      </w:r>
      <w:r w:rsidR="00D11EBC" w:rsidRPr="001D47B8">
        <w:rPr>
          <w:color w:val="010101"/>
          <w:sz w:val="21"/>
          <w:lang w:val="tr-TR"/>
        </w:rPr>
        <w:t>üzerine</w:t>
      </w:r>
      <w:r w:rsidR="00FB672F" w:rsidRPr="001D47B8">
        <w:rPr>
          <w:color w:val="010101"/>
          <w:sz w:val="21"/>
          <w:lang w:val="tr-TR"/>
        </w:rPr>
        <w:t xml:space="preserve"> örgüt</w:t>
      </w:r>
      <w:r w:rsidR="00D11EBC" w:rsidRPr="001D47B8">
        <w:rPr>
          <w:color w:val="010101"/>
          <w:sz w:val="21"/>
          <w:lang w:val="tr-TR"/>
        </w:rPr>
        <w:t>lerin</w:t>
      </w:r>
      <w:r w:rsidR="00FB672F" w:rsidRPr="001D47B8">
        <w:rPr>
          <w:color w:val="010101"/>
          <w:sz w:val="21"/>
          <w:lang w:val="tr-TR"/>
        </w:rPr>
        <w:t xml:space="preserve"> malvarlı</w:t>
      </w:r>
      <w:r w:rsidR="00D221E9" w:rsidRPr="001D47B8">
        <w:rPr>
          <w:color w:val="010101"/>
          <w:sz w:val="21"/>
          <w:lang w:val="tr-TR"/>
        </w:rPr>
        <w:t>ğını</w:t>
      </w:r>
      <w:r w:rsidR="00FB672F" w:rsidRPr="001D47B8">
        <w:rPr>
          <w:color w:val="010101"/>
          <w:sz w:val="21"/>
          <w:lang w:val="tr-TR"/>
        </w:rPr>
        <w:t xml:space="preserve"> dondurma yetkisi vardır. </w:t>
      </w:r>
    </w:p>
    <w:p w14:paraId="2258445B" w14:textId="77777777" w:rsidR="00B558B4" w:rsidRPr="001D47B8" w:rsidRDefault="00B558B4" w:rsidP="00B558B4">
      <w:pPr>
        <w:pStyle w:val="ListeParagraf"/>
        <w:tabs>
          <w:tab w:val="left" w:pos="671"/>
        </w:tabs>
        <w:spacing w:line="252" w:lineRule="auto"/>
        <w:ind w:left="126" w:right="322" w:firstLine="0"/>
        <w:rPr>
          <w:color w:val="010101"/>
          <w:sz w:val="21"/>
          <w:lang w:val="tr-TR"/>
        </w:rPr>
      </w:pPr>
    </w:p>
    <w:p w14:paraId="390D238C" w14:textId="6B122E5C" w:rsidR="00D11EBC" w:rsidRPr="001D47B8" w:rsidRDefault="00D11EBC" w:rsidP="004F3284">
      <w:pPr>
        <w:pStyle w:val="ListeParagraf"/>
        <w:numPr>
          <w:ilvl w:val="0"/>
          <w:numId w:val="6"/>
        </w:numPr>
        <w:tabs>
          <w:tab w:val="left" w:pos="671"/>
        </w:tabs>
        <w:spacing w:line="252" w:lineRule="auto"/>
        <w:ind w:left="126" w:right="320" w:firstLine="0"/>
        <w:rPr>
          <w:color w:val="010101"/>
          <w:sz w:val="21"/>
          <w:lang w:val="tr-TR"/>
        </w:rPr>
      </w:pPr>
      <w:r w:rsidRPr="001D47B8">
        <w:rPr>
          <w:color w:val="010101"/>
          <w:sz w:val="21"/>
          <w:lang w:val="tr-TR"/>
        </w:rPr>
        <w:t>Venedik Komisyonu</w:t>
      </w:r>
      <w:r w:rsidR="001816EF" w:rsidRPr="001D47B8">
        <w:rPr>
          <w:color w:val="010101"/>
          <w:sz w:val="21"/>
          <w:lang w:val="tr-TR"/>
        </w:rPr>
        <w:t xml:space="preserve">, </w:t>
      </w:r>
      <w:r w:rsidR="009C13D2" w:rsidRPr="001D47B8">
        <w:rPr>
          <w:color w:val="010101"/>
          <w:sz w:val="21"/>
          <w:lang w:val="tr-TR"/>
        </w:rPr>
        <w:t>derneğin yakın şiddet tehlikesi içeren ya da kanunu</w:t>
      </w:r>
      <w:r w:rsidR="006F5101" w:rsidRPr="001D47B8">
        <w:rPr>
          <w:color w:val="010101"/>
          <w:sz w:val="21"/>
          <w:lang w:val="tr-TR"/>
        </w:rPr>
        <w:t>n</w:t>
      </w:r>
      <w:r w:rsidR="009C13D2" w:rsidRPr="001D47B8">
        <w:rPr>
          <w:color w:val="010101"/>
          <w:sz w:val="21"/>
          <w:lang w:val="tr-TR"/>
        </w:rPr>
        <w:t xml:space="preserve"> ciddi şekilde ihlalini teşkil eden bir davranış içinde olduğu durumlarda son çare olarak başvurulması gereken </w:t>
      </w:r>
      <w:r w:rsidR="009F7DA0" w:rsidRPr="001D47B8">
        <w:rPr>
          <w:color w:val="010101"/>
          <w:sz w:val="21"/>
          <w:lang w:val="tr-TR"/>
        </w:rPr>
        <w:t>derne</w:t>
      </w:r>
      <w:r w:rsidR="009C13D2" w:rsidRPr="001D47B8">
        <w:rPr>
          <w:color w:val="010101"/>
          <w:sz w:val="21"/>
          <w:lang w:val="tr-TR"/>
        </w:rPr>
        <w:t>ğin</w:t>
      </w:r>
      <w:r w:rsidR="00D23ED1" w:rsidRPr="001D47B8">
        <w:rPr>
          <w:color w:val="010101"/>
          <w:sz w:val="21"/>
          <w:lang w:val="tr-TR"/>
        </w:rPr>
        <w:t xml:space="preserve"> yasaklanması ya da feshi</w:t>
      </w:r>
      <w:r w:rsidR="00735F7C" w:rsidRPr="001D47B8">
        <w:rPr>
          <w:rStyle w:val="DipnotBavurusu"/>
          <w:color w:val="010101"/>
          <w:sz w:val="21"/>
          <w:lang w:val="tr-TR"/>
        </w:rPr>
        <w:footnoteReference w:id="65"/>
      </w:r>
      <w:r w:rsidR="00D23ED1" w:rsidRPr="001D47B8">
        <w:rPr>
          <w:color w:val="010101"/>
          <w:sz w:val="21"/>
          <w:lang w:val="tr-TR"/>
        </w:rPr>
        <w:t xml:space="preserve"> </w:t>
      </w:r>
      <w:r w:rsidR="001602F6" w:rsidRPr="001D47B8">
        <w:rPr>
          <w:color w:val="010101"/>
          <w:sz w:val="21"/>
          <w:lang w:val="tr-TR"/>
        </w:rPr>
        <w:t>gibi</w:t>
      </w:r>
      <w:r w:rsidR="00D23ED1" w:rsidRPr="001D47B8">
        <w:rPr>
          <w:color w:val="010101"/>
          <w:sz w:val="21"/>
          <w:lang w:val="tr-TR"/>
        </w:rPr>
        <w:t xml:space="preserve"> kararlar</w:t>
      </w:r>
      <w:r w:rsidR="0062300F" w:rsidRPr="001D47B8">
        <w:rPr>
          <w:color w:val="010101"/>
          <w:sz w:val="21"/>
          <w:lang w:val="tr-TR"/>
        </w:rPr>
        <w:t xml:space="preserve"> alınırken </w:t>
      </w:r>
      <w:r w:rsidR="009F7DA0" w:rsidRPr="001D47B8">
        <w:rPr>
          <w:color w:val="010101"/>
          <w:sz w:val="21"/>
          <w:lang w:val="tr-TR"/>
        </w:rPr>
        <w:t>ölçülülük ilkesi</w:t>
      </w:r>
      <w:r w:rsidR="0062300F" w:rsidRPr="001D47B8">
        <w:rPr>
          <w:color w:val="010101"/>
          <w:sz w:val="21"/>
          <w:lang w:val="tr-TR"/>
        </w:rPr>
        <w:t>n</w:t>
      </w:r>
      <w:r w:rsidR="00E107BA" w:rsidRPr="001D47B8">
        <w:rPr>
          <w:color w:val="010101"/>
          <w:sz w:val="21"/>
          <w:lang w:val="tr-TR"/>
        </w:rPr>
        <w:t>i</w:t>
      </w:r>
      <w:r w:rsidR="00AA0FA1" w:rsidRPr="001D47B8">
        <w:rPr>
          <w:color w:val="010101"/>
          <w:sz w:val="21"/>
          <w:lang w:val="tr-TR"/>
        </w:rPr>
        <w:t xml:space="preserve"> uygulamanın daha da önemli hale geldiğini</w:t>
      </w:r>
      <w:r w:rsidR="00E107BA" w:rsidRPr="001D47B8">
        <w:rPr>
          <w:color w:val="010101"/>
          <w:sz w:val="21"/>
          <w:lang w:val="tr-TR"/>
        </w:rPr>
        <w:t xml:space="preserve"> tekrar belirtmektedir. </w:t>
      </w:r>
      <w:r w:rsidR="00FB4798" w:rsidRPr="001D47B8">
        <w:rPr>
          <w:color w:val="010101"/>
          <w:sz w:val="21"/>
          <w:lang w:val="tr-TR"/>
        </w:rPr>
        <w:t xml:space="preserve">Dernekler Kanununun 30/A sayılı maddesinin ikinci fıkrasında </w:t>
      </w:r>
      <w:r w:rsidR="00CF27E0" w:rsidRPr="001D47B8">
        <w:rPr>
          <w:color w:val="010101"/>
          <w:sz w:val="21"/>
          <w:lang w:val="tr-TR"/>
        </w:rPr>
        <w:t>sadece derneği geçici olarak faaliyetten alıkoyulmasından bahsedilse bile</w:t>
      </w:r>
      <w:r w:rsidR="00985242" w:rsidRPr="001D47B8">
        <w:rPr>
          <w:color w:val="010101"/>
          <w:sz w:val="21"/>
          <w:lang w:val="tr-TR"/>
        </w:rPr>
        <w:t>, bu tedbir aslında, ön</w:t>
      </w:r>
      <w:r w:rsidR="005959F9" w:rsidRPr="001D47B8">
        <w:rPr>
          <w:color w:val="010101"/>
          <w:sz w:val="21"/>
          <w:lang w:val="tr-TR"/>
        </w:rPr>
        <w:t>ceki</w:t>
      </w:r>
      <w:r w:rsidR="00985242" w:rsidRPr="001D47B8">
        <w:rPr>
          <w:color w:val="010101"/>
          <w:sz w:val="21"/>
          <w:lang w:val="tr-TR"/>
        </w:rPr>
        <w:t xml:space="preserve"> paragrafta belirtildiği gibi</w:t>
      </w:r>
      <w:r w:rsidR="005959F9" w:rsidRPr="001D47B8">
        <w:rPr>
          <w:color w:val="010101"/>
          <w:sz w:val="21"/>
          <w:lang w:val="tr-TR"/>
        </w:rPr>
        <w:t xml:space="preserve">, </w:t>
      </w:r>
      <w:r w:rsidR="00985242" w:rsidRPr="001D47B8">
        <w:rPr>
          <w:color w:val="010101"/>
          <w:sz w:val="21"/>
          <w:lang w:val="tr-TR"/>
        </w:rPr>
        <w:t xml:space="preserve">derneğin feshine kadar giden bir sürecin ilk adımı olabilir. </w:t>
      </w:r>
      <w:r w:rsidR="005959F9" w:rsidRPr="001D47B8">
        <w:rPr>
          <w:color w:val="010101"/>
          <w:sz w:val="21"/>
          <w:lang w:val="tr-TR"/>
        </w:rPr>
        <w:t xml:space="preserve">Dolayısıyla, faaliyetten geçici alıkoyma tedbirinin aksine, </w:t>
      </w:r>
      <w:r w:rsidR="005300F5" w:rsidRPr="001D47B8">
        <w:rPr>
          <w:color w:val="010101"/>
          <w:sz w:val="21"/>
          <w:lang w:val="tr-TR"/>
        </w:rPr>
        <w:t xml:space="preserve">dernek feshini son çare olarak kabul eden ilgili uluslararası standartlara uyulması gerekir. </w:t>
      </w:r>
      <w:r w:rsidR="00D92DC6" w:rsidRPr="001D47B8">
        <w:rPr>
          <w:color w:val="010101"/>
          <w:sz w:val="21"/>
          <w:lang w:val="tr-TR"/>
        </w:rPr>
        <w:t>Faaliyetten geçici alıkoyma durumunda</w:t>
      </w:r>
      <w:r w:rsidR="00103A4D" w:rsidRPr="001D47B8">
        <w:rPr>
          <w:color w:val="010101"/>
          <w:sz w:val="21"/>
          <w:lang w:val="tr-TR"/>
        </w:rPr>
        <w:t xml:space="preserve"> da gereklilik ve ölçülülük ilkelerine uyulmalıdır. </w:t>
      </w:r>
      <w:r w:rsidR="00324A31" w:rsidRPr="001D47B8">
        <w:rPr>
          <w:color w:val="010101"/>
          <w:sz w:val="21"/>
          <w:lang w:val="tr-TR"/>
        </w:rPr>
        <w:t>AİHM</w:t>
      </w:r>
      <w:r w:rsidR="001C2118" w:rsidRPr="001D47B8">
        <w:rPr>
          <w:color w:val="010101"/>
          <w:sz w:val="21"/>
          <w:lang w:val="tr-TR"/>
        </w:rPr>
        <w:t>,</w:t>
      </w:r>
      <w:r w:rsidR="00324A31" w:rsidRPr="001D47B8">
        <w:rPr>
          <w:color w:val="010101"/>
          <w:sz w:val="21"/>
          <w:lang w:val="tr-TR"/>
        </w:rPr>
        <w:t xml:space="preserve"> </w:t>
      </w:r>
      <w:r w:rsidR="009F2FD9" w:rsidRPr="001D47B8">
        <w:rPr>
          <w:color w:val="010101"/>
          <w:sz w:val="21"/>
          <w:lang w:val="tr-TR"/>
        </w:rPr>
        <w:t>zorunlu fes</w:t>
      </w:r>
      <w:r w:rsidR="001C2118" w:rsidRPr="001D47B8">
        <w:rPr>
          <w:color w:val="010101"/>
          <w:sz w:val="21"/>
          <w:lang w:val="tr-TR"/>
        </w:rPr>
        <w:t>hin</w:t>
      </w:r>
      <w:r w:rsidR="00EC75C4" w:rsidRPr="001D47B8">
        <w:rPr>
          <w:color w:val="010101"/>
          <w:sz w:val="21"/>
          <w:lang w:val="tr-TR"/>
        </w:rPr>
        <w:t xml:space="preserve"> bir derneğe verilebilecek mümkün olan en sert yaptırım</w:t>
      </w:r>
      <w:r w:rsidR="001C2118" w:rsidRPr="001D47B8">
        <w:rPr>
          <w:color w:val="010101"/>
          <w:sz w:val="21"/>
          <w:lang w:val="tr-TR"/>
        </w:rPr>
        <w:t xml:space="preserve"> olduğunu</w:t>
      </w:r>
      <w:r w:rsidR="00EC75C4" w:rsidRPr="001D47B8">
        <w:rPr>
          <w:color w:val="010101"/>
          <w:sz w:val="21"/>
          <w:lang w:val="tr-TR"/>
        </w:rPr>
        <w:t xml:space="preserve"> ve dolayısıyla </w:t>
      </w:r>
      <w:r w:rsidR="001C2118" w:rsidRPr="001D47B8">
        <w:rPr>
          <w:color w:val="010101"/>
          <w:sz w:val="21"/>
          <w:lang w:val="tr-TR"/>
        </w:rPr>
        <w:t>ancak</w:t>
      </w:r>
      <w:r w:rsidR="00EC75C4" w:rsidRPr="001D47B8">
        <w:rPr>
          <w:color w:val="010101"/>
          <w:sz w:val="21"/>
          <w:lang w:val="tr-TR"/>
        </w:rPr>
        <w:t xml:space="preserve"> çok ciddi </w:t>
      </w:r>
      <w:r w:rsidR="004C19B6">
        <w:rPr>
          <w:color w:val="010101"/>
          <w:sz w:val="21"/>
          <w:lang w:val="tr-TR"/>
        </w:rPr>
        <w:t>suiistimalin</w:t>
      </w:r>
      <w:r w:rsidR="00BC6030" w:rsidRPr="001D47B8">
        <w:rPr>
          <w:color w:val="010101"/>
          <w:sz w:val="21"/>
          <w:lang w:val="tr-TR"/>
        </w:rPr>
        <w:t xml:space="preserve"> olduğu istisnai koşullarda uygulanma</w:t>
      </w:r>
      <w:r w:rsidR="001C2118" w:rsidRPr="001D47B8">
        <w:rPr>
          <w:color w:val="010101"/>
          <w:sz w:val="21"/>
          <w:lang w:val="tr-TR"/>
        </w:rPr>
        <w:t>sı gerektiği belirtmiştir.</w:t>
      </w:r>
      <w:r w:rsidR="00657B41" w:rsidRPr="001D47B8">
        <w:rPr>
          <w:rStyle w:val="DipnotBavurusu"/>
          <w:color w:val="010101"/>
          <w:sz w:val="21"/>
          <w:lang w:val="tr-TR"/>
        </w:rPr>
        <w:footnoteReference w:id="66"/>
      </w:r>
      <w:r w:rsidR="001C2118" w:rsidRPr="001D47B8">
        <w:rPr>
          <w:color w:val="010101"/>
          <w:sz w:val="21"/>
          <w:lang w:val="tr-TR"/>
        </w:rPr>
        <w:t xml:space="preserve"> </w:t>
      </w:r>
      <w:r w:rsidR="00BC6030" w:rsidRPr="001D47B8">
        <w:rPr>
          <w:color w:val="010101"/>
          <w:sz w:val="21"/>
          <w:lang w:val="tr-TR"/>
        </w:rPr>
        <w:t xml:space="preserve"> </w:t>
      </w:r>
      <w:r w:rsidR="0032521C" w:rsidRPr="001D47B8">
        <w:rPr>
          <w:color w:val="010101"/>
          <w:sz w:val="21"/>
          <w:lang w:val="tr-TR"/>
        </w:rPr>
        <w:t>Bu nedenle y</w:t>
      </w:r>
      <w:r w:rsidR="003511A1" w:rsidRPr="001D47B8">
        <w:rPr>
          <w:color w:val="010101"/>
          <w:sz w:val="21"/>
          <w:lang w:val="tr-TR"/>
        </w:rPr>
        <w:t>erel hukuk</w:t>
      </w:r>
      <w:r w:rsidR="00C64F94">
        <w:rPr>
          <w:color w:val="010101"/>
          <w:sz w:val="21"/>
          <w:lang w:val="tr-TR"/>
        </w:rPr>
        <w:t>,</w:t>
      </w:r>
      <w:r w:rsidR="003511A1" w:rsidRPr="001D47B8">
        <w:rPr>
          <w:color w:val="010101"/>
          <w:sz w:val="21"/>
          <w:lang w:val="tr-TR"/>
        </w:rPr>
        <w:t xml:space="preserve"> </w:t>
      </w:r>
      <w:r w:rsidR="004B6FFC" w:rsidRPr="001D47B8">
        <w:rPr>
          <w:color w:val="010101"/>
          <w:sz w:val="21"/>
          <w:lang w:val="tr-TR"/>
        </w:rPr>
        <w:t>bu tür aşırı sert yaptırımlar</w:t>
      </w:r>
      <w:r w:rsidR="00714DD4" w:rsidRPr="001D47B8">
        <w:rPr>
          <w:color w:val="010101"/>
          <w:sz w:val="21"/>
          <w:lang w:val="tr-TR"/>
        </w:rPr>
        <w:t>ın uygulanacağı koşul</w:t>
      </w:r>
      <w:r w:rsidR="002D22B9" w:rsidRPr="001D47B8">
        <w:rPr>
          <w:color w:val="010101"/>
          <w:sz w:val="21"/>
          <w:lang w:val="tr-TR"/>
        </w:rPr>
        <w:t>ların</w:t>
      </w:r>
      <w:r w:rsidR="00714DD4" w:rsidRPr="001D47B8">
        <w:rPr>
          <w:color w:val="010101"/>
          <w:sz w:val="21"/>
          <w:lang w:val="tr-TR"/>
        </w:rPr>
        <w:t xml:space="preserve"> ve sebeplerin sınırlarını net olarak çizmelidir.</w:t>
      </w:r>
      <w:r w:rsidR="0032521C" w:rsidRPr="001D47B8">
        <w:rPr>
          <w:rStyle w:val="DipnotBavurusu"/>
          <w:color w:val="010101"/>
          <w:sz w:val="21"/>
          <w:lang w:val="tr-TR"/>
        </w:rPr>
        <w:footnoteReference w:id="67"/>
      </w:r>
      <w:r w:rsidR="00714DD4" w:rsidRPr="001D47B8">
        <w:rPr>
          <w:color w:val="010101"/>
          <w:sz w:val="21"/>
          <w:lang w:val="tr-TR"/>
        </w:rPr>
        <w:t xml:space="preserve"> </w:t>
      </w:r>
      <w:r w:rsidR="00D20E8F" w:rsidRPr="001D47B8">
        <w:rPr>
          <w:color w:val="010101"/>
          <w:sz w:val="21"/>
          <w:lang w:val="tr-TR"/>
        </w:rPr>
        <w:t>Venedik Komisyonu</w:t>
      </w:r>
      <w:r w:rsidR="00243A25" w:rsidRPr="001D47B8">
        <w:rPr>
          <w:color w:val="010101"/>
          <w:sz w:val="21"/>
          <w:lang w:val="tr-TR"/>
        </w:rPr>
        <w:t xml:space="preserve">, </w:t>
      </w:r>
      <w:r w:rsidR="00D20E8F" w:rsidRPr="001D47B8">
        <w:rPr>
          <w:color w:val="010101"/>
          <w:sz w:val="21"/>
          <w:lang w:val="tr-TR"/>
        </w:rPr>
        <w:t>“STÖ’</w:t>
      </w:r>
      <w:r w:rsidR="00243A25" w:rsidRPr="001D47B8">
        <w:rPr>
          <w:color w:val="010101"/>
          <w:sz w:val="21"/>
          <w:lang w:val="tr-TR"/>
        </w:rPr>
        <w:t xml:space="preserve">lerin </w:t>
      </w:r>
      <w:r w:rsidR="00D20E8F" w:rsidRPr="001D47B8">
        <w:rPr>
          <w:color w:val="010101"/>
          <w:sz w:val="21"/>
          <w:lang w:val="tr-TR"/>
        </w:rPr>
        <w:t>fes</w:t>
      </w:r>
      <w:r w:rsidR="00476C6A" w:rsidRPr="001D47B8">
        <w:rPr>
          <w:color w:val="010101"/>
          <w:sz w:val="21"/>
          <w:lang w:val="tr-TR"/>
        </w:rPr>
        <w:t>hedilmesinin</w:t>
      </w:r>
      <w:r w:rsidR="006841C3" w:rsidRPr="001D47B8">
        <w:rPr>
          <w:color w:val="010101"/>
          <w:sz w:val="21"/>
          <w:lang w:val="tr-TR"/>
        </w:rPr>
        <w:t>,</w:t>
      </w:r>
      <w:r w:rsidR="00095363" w:rsidRPr="001D47B8">
        <w:rPr>
          <w:color w:val="010101"/>
          <w:sz w:val="21"/>
          <w:lang w:val="tr-TR"/>
        </w:rPr>
        <w:t xml:space="preserve"> </w:t>
      </w:r>
      <w:r w:rsidR="006841C3" w:rsidRPr="001D47B8">
        <w:rPr>
          <w:color w:val="010101"/>
          <w:sz w:val="21"/>
          <w:lang w:val="tr-TR"/>
        </w:rPr>
        <w:t xml:space="preserve">sağlam nedenlere dayalı bir gerekçe temelinde alınması gereken </w:t>
      </w:r>
      <w:r w:rsidR="00095363" w:rsidRPr="001D47B8">
        <w:rPr>
          <w:color w:val="010101"/>
          <w:sz w:val="21"/>
          <w:lang w:val="tr-TR"/>
        </w:rPr>
        <w:t>aşırı bir tedbir</w:t>
      </w:r>
      <w:r w:rsidR="003C2FB9" w:rsidRPr="001D47B8">
        <w:rPr>
          <w:color w:val="010101"/>
          <w:sz w:val="21"/>
          <w:lang w:val="tr-TR"/>
        </w:rPr>
        <w:t xml:space="preserve"> olduğunu </w:t>
      </w:r>
      <w:r w:rsidR="009D3C67" w:rsidRPr="001D47B8">
        <w:rPr>
          <w:color w:val="010101"/>
          <w:sz w:val="21"/>
          <w:lang w:val="tr-TR"/>
        </w:rPr>
        <w:t>ve uluslararası içtihat</w:t>
      </w:r>
      <w:r w:rsidR="00276444" w:rsidRPr="001D47B8">
        <w:rPr>
          <w:color w:val="010101"/>
          <w:sz w:val="21"/>
          <w:lang w:val="tr-TR"/>
        </w:rPr>
        <w:t xml:space="preserve"> </w:t>
      </w:r>
      <w:r w:rsidR="009D3C67" w:rsidRPr="001D47B8">
        <w:rPr>
          <w:color w:val="010101"/>
          <w:sz w:val="21"/>
          <w:lang w:val="tr-TR"/>
        </w:rPr>
        <w:t>hukukun</w:t>
      </w:r>
      <w:r w:rsidR="003C2FB9" w:rsidRPr="001D47B8">
        <w:rPr>
          <w:color w:val="010101"/>
          <w:sz w:val="21"/>
          <w:lang w:val="tr-TR"/>
        </w:rPr>
        <w:t>a göre</w:t>
      </w:r>
      <w:r w:rsidR="009D3C67" w:rsidRPr="001D47B8">
        <w:rPr>
          <w:color w:val="010101"/>
          <w:sz w:val="21"/>
          <w:lang w:val="tr-TR"/>
        </w:rPr>
        <w:t xml:space="preserve"> sadece istisnai durumlarda başvurulması gerektiği</w:t>
      </w:r>
      <w:r w:rsidR="003C2FB9" w:rsidRPr="001D47B8">
        <w:rPr>
          <w:color w:val="010101"/>
          <w:sz w:val="21"/>
          <w:lang w:val="tr-TR"/>
        </w:rPr>
        <w:t>ni”</w:t>
      </w:r>
      <w:r w:rsidR="008A1664" w:rsidRPr="001D47B8">
        <w:rPr>
          <w:rStyle w:val="DipnotBavurusu"/>
          <w:color w:val="010101"/>
          <w:sz w:val="21"/>
          <w:lang w:val="tr-TR"/>
        </w:rPr>
        <w:footnoteReference w:id="68"/>
      </w:r>
      <w:r w:rsidR="003C2FB9" w:rsidRPr="001D47B8">
        <w:rPr>
          <w:color w:val="010101"/>
          <w:sz w:val="21"/>
          <w:lang w:val="tr-TR"/>
        </w:rPr>
        <w:t xml:space="preserve"> zaten genel olarak belirtmiştir.</w:t>
      </w:r>
    </w:p>
    <w:p w14:paraId="17647FF4" w14:textId="77777777" w:rsidR="00D11EBC" w:rsidRPr="001D47B8" w:rsidRDefault="00D11EBC" w:rsidP="00D11EBC">
      <w:pPr>
        <w:pStyle w:val="ListeParagraf"/>
        <w:tabs>
          <w:tab w:val="left" w:pos="671"/>
        </w:tabs>
        <w:spacing w:line="252" w:lineRule="auto"/>
        <w:ind w:left="126" w:right="320" w:firstLine="0"/>
        <w:rPr>
          <w:color w:val="010101"/>
          <w:sz w:val="21"/>
          <w:lang w:val="tr-TR"/>
        </w:rPr>
      </w:pPr>
    </w:p>
    <w:p w14:paraId="2E4C0054" w14:textId="5BBB57B4" w:rsidR="00154229" w:rsidRPr="001D47B8" w:rsidRDefault="00154229" w:rsidP="00A748E8">
      <w:pPr>
        <w:pStyle w:val="ListeParagraf"/>
        <w:numPr>
          <w:ilvl w:val="0"/>
          <w:numId w:val="6"/>
        </w:numPr>
        <w:tabs>
          <w:tab w:val="left" w:pos="670"/>
        </w:tabs>
        <w:spacing w:before="3" w:line="254" w:lineRule="auto"/>
        <w:ind w:left="124" w:right="326" w:firstLine="2"/>
        <w:rPr>
          <w:color w:val="010101"/>
          <w:lang w:val="tr-TR"/>
        </w:rPr>
      </w:pPr>
      <w:r w:rsidRPr="001D47B8">
        <w:rPr>
          <w:color w:val="010101"/>
          <w:sz w:val="21"/>
          <w:lang w:val="tr-TR"/>
        </w:rPr>
        <w:t xml:space="preserve">Komisyonun görüşüne göre, </w:t>
      </w:r>
      <w:r w:rsidR="00990452" w:rsidRPr="001D47B8">
        <w:rPr>
          <w:color w:val="010101"/>
          <w:sz w:val="21"/>
          <w:lang w:val="tr-TR"/>
        </w:rPr>
        <w:t xml:space="preserve">STÖ’lere yönelik yoğun denetimler (Dernekler Kanununun 19. maddesi), </w:t>
      </w:r>
      <w:r w:rsidR="00B20CBE" w:rsidRPr="001D47B8">
        <w:rPr>
          <w:color w:val="010101"/>
          <w:sz w:val="21"/>
          <w:lang w:val="tr-TR"/>
        </w:rPr>
        <w:t>denetim ile ilgili yükümlülüklerin ihlali halinde artırılan hapis cezalarının ve yüksek idari para cezalarının caydırıcı etkisi</w:t>
      </w:r>
      <w:r w:rsidR="006462FD" w:rsidRPr="001D47B8">
        <w:rPr>
          <w:color w:val="010101"/>
          <w:sz w:val="21"/>
          <w:lang w:val="tr-TR"/>
        </w:rPr>
        <w:t xml:space="preserve"> ve STÖ yöneticilerinin </w:t>
      </w:r>
      <w:r w:rsidR="00961022">
        <w:rPr>
          <w:color w:val="010101"/>
          <w:sz w:val="21"/>
          <w:lang w:val="tr-TR"/>
        </w:rPr>
        <w:t xml:space="preserve">ve </w:t>
      </w:r>
      <w:r w:rsidR="006462FD" w:rsidRPr="001D47B8">
        <w:rPr>
          <w:color w:val="010101"/>
          <w:sz w:val="21"/>
          <w:lang w:val="tr-TR"/>
        </w:rPr>
        <w:t>kurul üyelerinin görevden alınma ihtimali ile birlikte</w:t>
      </w:r>
      <w:r w:rsidR="0078270F">
        <w:rPr>
          <w:color w:val="010101"/>
          <w:sz w:val="21"/>
          <w:lang w:val="tr-TR"/>
        </w:rPr>
        <w:t xml:space="preserve"> ele alındığında,</w:t>
      </w:r>
      <w:r w:rsidR="006462FD" w:rsidRPr="001D47B8">
        <w:rPr>
          <w:color w:val="010101"/>
          <w:sz w:val="21"/>
          <w:lang w:val="tr-TR"/>
        </w:rPr>
        <w:t xml:space="preserve"> tüm bu tedbirler ölçüsüzdür ve demokrasiyi ve Hukukun Üstünlüğünü doğrudan etkilemektedir. </w:t>
      </w:r>
    </w:p>
    <w:p w14:paraId="2BF54F27" w14:textId="77777777" w:rsidR="00154229" w:rsidRPr="001D47B8" w:rsidRDefault="00154229" w:rsidP="00154229">
      <w:pPr>
        <w:pStyle w:val="ListeParagraf"/>
        <w:tabs>
          <w:tab w:val="left" w:pos="670"/>
        </w:tabs>
        <w:spacing w:before="3" w:line="254" w:lineRule="auto"/>
        <w:ind w:left="126" w:right="326" w:firstLine="0"/>
        <w:rPr>
          <w:color w:val="010101"/>
          <w:lang w:val="tr-TR"/>
        </w:rPr>
      </w:pPr>
    </w:p>
    <w:p w14:paraId="442494E7" w14:textId="54471BE6" w:rsidR="001B3C12" w:rsidRPr="001D47B8" w:rsidRDefault="00C77180" w:rsidP="001C4B9F">
      <w:pPr>
        <w:pStyle w:val="Balk2"/>
        <w:ind w:left="694"/>
        <w:jc w:val="both"/>
        <w:rPr>
          <w:lang w:val="tr-TR"/>
        </w:rPr>
      </w:pPr>
      <w:bookmarkStart w:id="10" w:name="_TOC_250001"/>
      <w:r w:rsidRPr="001D47B8">
        <w:rPr>
          <w:color w:val="010101"/>
          <w:w w:val="105"/>
          <w:lang w:val="tr-TR"/>
        </w:rPr>
        <w:t>5.</w:t>
      </w:r>
      <w:r w:rsidRPr="001D47B8">
        <w:rPr>
          <w:color w:val="010101"/>
          <w:spacing w:val="-14"/>
          <w:w w:val="105"/>
          <w:lang w:val="tr-TR"/>
        </w:rPr>
        <w:t xml:space="preserve"> </w:t>
      </w:r>
      <w:bookmarkEnd w:id="10"/>
      <w:r w:rsidR="00154229" w:rsidRPr="001D47B8">
        <w:rPr>
          <w:color w:val="010101"/>
          <w:w w:val="105"/>
          <w:lang w:val="tr-TR"/>
        </w:rPr>
        <w:t>Yabancı dernekler</w:t>
      </w:r>
    </w:p>
    <w:p w14:paraId="4A714B0B" w14:textId="77777777" w:rsidR="001B3C12" w:rsidRPr="001D47B8" w:rsidRDefault="001B3C12" w:rsidP="001C4B9F">
      <w:pPr>
        <w:pStyle w:val="GvdeMetni"/>
        <w:spacing w:before="4"/>
        <w:jc w:val="both"/>
        <w:rPr>
          <w:b/>
          <w:sz w:val="25"/>
          <w:lang w:val="tr-TR"/>
        </w:rPr>
      </w:pPr>
    </w:p>
    <w:p w14:paraId="34975C1E" w14:textId="2F2FCF31" w:rsidR="00001900" w:rsidRPr="001D47B8" w:rsidRDefault="001A4DF8" w:rsidP="00E678C7">
      <w:pPr>
        <w:pStyle w:val="ListeParagraf"/>
        <w:numPr>
          <w:ilvl w:val="0"/>
          <w:numId w:val="6"/>
        </w:numPr>
        <w:tabs>
          <w:tab w:val="left" w:pos="671"/>
        </w:tabs>
        <w:spacing w:line="252" w:lineRule="auto"/>
        <w:ind w:left="126" w:right="319" w:firstLine="0"/>
        <w:rPr>
          <w:color w:val="010101"/>
          <w:sz w:val="21"/>
          <w:lang w:val="tr-TR"/>
        </w:rPr>
      </w:pPr>
      <w:r w:rsidRPr="001D47B8">
        <w:rPr>
          <w:color w:val="010101"/>
          <w:sz w:val="21"/>
          <w:lang w:val="tr-TR"/>
        </w:rPr>
        <w:t xml:space="preserve">Dernekler Kanununun 36. maddesini değiştiren </w:t>
      </w:r>
      <w:r w:rsidR="00A60F40" w:rsidRPr="001D47B8">
        <w:rPr>
          <w:color w:val="010101"/>
          <w:sz w:val="21"/>
          <w:lang w:val="tr-TR"/>
        </w:rPr>
        <w:t xml:space="preserve">7262 </w:t>
      </w:r>
      <w:r w:rsidR="00001900" w:rsidRPr="001D47B8">
        <w:rPr>
          <w:color w:val="010101"/>
          <w:sz w:val="21"/>
          <w:lang w:val="tr-TR"/>
        </w:rPr>
        <w:t xml:space="preserve">sayılı </w:t>
      </w:r>
      <w:r w:rsidRPr="001D47B8">
        <w:rPr>
          <w:color w:val="010101"/>
          <w:sz w:val="21"/>
          <w:lang w:val="tr-TR"/>
        </w:rPr>
        <w:t>Kanunun 17. maddesi</w:t>
      </w:r>
      <w:r w:rsidR="00E472B1" w:rsidRPr="001D47B8">
        <w:rPr>
          <w:color w:val="010101"/>
          <w:sz w:val="21"/>
          <w:lang w:val="tr-TR"/>
        </w:rPr>
        <w:t xml:space="preserve"> ile </w:t>
      </w:r>
      <w:r w:rsidR="006B7A15" w:rsidRPr="001D47B8">
        <w:rPr>
          <w:color w:val="010101"/>
          <w:sz w:val="21"/>
          <w:lang w:val="tr-TR"/>
        </w:rPr>
        <w:t xml:space="preserve">merkezi yurtdışında bulunan </w:t>
      </w:r>
      <w:r w:rsidR="00D53AD7" w:rsidRPr="001D47B8">
        <w:rPr>
          <w:color w:val="010101"/>
          <w:sz w:val="21"/>
          <w:lang w:val="tr-TR"/>
        </w:rPr>
        <w:t>derneklerin</w:t>
      </w:r>
      <w:r w:rsidR="002A4A97" w:rsidRPr="001D47B8">
        <w:rPr>
          <w:color w:val="010101"/>
          <w:sz w:val="21"/>
          <w:lang w:val="tr-TR"/>
        </w:rPr>
        <w:t xml:space="preserve"> Türkiye’deki</w:t>
      </w:r>
      <w:r w:rsidR="00D53AD7" w:rsidRPr="001D47B8">
        <w:rPr>
          <w:color w:val="010101"/>
          <w:sz w:val="21"/>
          <w:lang w:val="tr-TR"/>
        </w:rPr>
        <w:t xml:space="preserve"> faaliyetleri</w:t>
      </w:r>
      <w:r w:rsidR="00894B79" w:rsidRPr="001D47B8">
        <w:rPr>
          <w:color w:val="010101"/>
          <w:sz w:val="21"/>
          <w:lang w:val="tr-TR"/>
        </w:rPr>
        <w:t xml:space="preserve">, veri raporlama ile ilgili kanun hükümleri </w:t>
      </w:r>
      <w:r w:rsidR="001B4838" w:rsidRPr="001D47B8">
        <w:rPr>
          <w:color w:val="010101"/>
          <w:sz w:val="21"/>
          <w:lang w:val="tr-TR"/>
        </w:rPr>
        <w:t>dâhil</w:t>
      </w:r>
      <w:r w:rsidR="00894B79" w:rsidRPr="001D47B8">
        <w:rPr>
          <w:color w:val="010101"/>
          <w:sz w:val="21"/>
          <w:lang w:val="tr-TR"/>
        </w:rPr>
        <w:t xml:space="preserve">, </w:t>
      </w:r>
      <w:r w:rsidR="00E472B1" w:rsidRPr="001D47B8">
        <w:rPr>
          <w:color w:val="010101"/>
          <w:sz w:val="21"/>
          <w:lang w:val="tr-TR"/>
        </w:rPr>
        <w:t xml:space="preserve">Türk hukukunun kapsamına sokulmaktadır. </w:t>
      </w:r>
      <w:r w:rsidR="00B618C4" w:rsidRPr="001D47B8">
        <w:rPr>
          <w:color w:val="010101"/>
          <w:sz w:val="21"/>
          <w:lang w:val="tr-TR"/>
        </w:rPr>
        <w:t xml:space="preserve">Bu, </w:t>
      </w:r>
      <w:r w:rsidR="0072339A" w:rsidRPr="001D47B8">
        <w:rPr>
          <w:color w:val="010101"/>
          <w:sz w:val="21"/>
          <w:lang w:val="tr-TR"/>
        </w:rPr>
        <w:t>söz konusu</w:t>
      </w:r>
      <w:r w:rsidR="00B618C4" w:rsidRPr="001D47B8">
        <w:rPr>
          <w:color w:val="010101"/>
          <w:sz w:val="21"/>
          <w:lang w:val="tr-TR"/>
        </w:rPr>
        <w:t xml:space="preserve"> dernekler</w:t>
      </w:r>
      <w:r w:rsidR="009E43DF" w:rsidRPr="001D47B8">
        <w:rPr>
          <w:color w:val="010101"/>
          <w:sz w:val="21"/>
          <w:lang w:val="tr-TR"/>
        </w:rPr>
        <w:t>in</w:t>
      </w:r>
      <w:r w:rsidR="00B618C4" w:rsidRPr="001D47B8">
        <w:rPr>
          <w:color w:val="010101"/>
          <w:sz w:val="21"/>
          <w:lang w:val="tr-TR"/>
        </w:rPr>
        <w:t xml:space="preserve"> şubeleri</w:t>
      </w:r>
      <w:r w:rsidR="009E43DF" w:rsidRPr="001D47B8">
        <w:rPr>
          <w:color w:val="010101"/>
          <w:sz w:val="21"/>
          <w:lang w:val="tr-TR"/>
        </w:rPr>
        <w:t>nin</w:t>
      </w:r>
      <w:r w:rsidR="00B618C4" w:rsidRPr="001D47B8">
        <w:rPr>
          <w:color w:val="010101"/>
          <w:sz w:val="21"/>
          <w:lang w:val="tr-TR"/>
        </w:rPr>
        <w:t xml:space="preserve"> ve temsilcilikleri</w:t>
      </w:r>
      <w:r w:rsidR="009E43DF" w:rsidRPr="001D47B8">
        <w:rPr>
          <w:color w:val="010101"/>
          <w:sz w:val="21"/>
          <w:lang w:val="tr-TR"/>
        </w:rPr>
        <w:t>nin</w:t>
      </w:r>
      <w:r w:rsidR="00B618C4" w:rsidRPr="001D47B8">
        <w:rPr>
          <w:color w:val="010101"/>
          <w:sz w:val="21"/>
          <w:lang w:val="tr-TR"/>
        </w:rPr>
        <w:t xml:space="preserve"> örgütlenme hakkına </w:t>
      </w:r>
      <w:r w:rsidR="009E43DF" w:rsidRPr="001D47B8">
        <w:rPr>
          <w:color w:val="010101"/>
          <w:sz w:val="21"/>
          <w:lang w:val="tr-TR"/>
        </w:rPr>
        <w:t xml:space="preserve">ciddi müdahaleler </w:t>
      </w:r>
      <w:r w:rsidR="0072339A" w:rsidRPr="001D47B8">
        <w:rPr>
          <w:color w:val="010101"/>
          <w:sz w:val="21"/>
          <w:lang w:val="tr-TR"/>
        </w:rPr>
        <w:t xml:space="preserve">yapılabileceği anlamına gelmektedir. </w:t>
      </w:r>
      <w:r w:rsidR="00C95477" w:rsidRPr="001D47B8">
        <w:rPr>
          <w:color w:val="010101"/>
          <w:sz w:val="21"/>
          <w:lang w:val="tr-TR"/>
        </w:rPr>
        <w:t xml:space="preserve">Bu durum örgütlenme hakkının ihlal edilmesine yol açabilir, zira </w:t>
      </w:r>
      <w:r w:rsidR="00775008" w:rsidRPr="001D47B8">
        <w:rPr>
          <w:color w:val="010101"/>
          <w:sz w:val="21"/>
          <w:lang w:val="tr-TR"/>
        </w:rPr>
        <w:t xml:space="preserve">Sözleşmeye taraf devletlerde hukuka uygun olarak </w:t>
      </w:r>
      <w:r w:rsidR="00BE3A67" w:rsidRPr="001D47B8">
        <w:rPr>
          <w:color w:val="010101"/>
          <w:sz w:val="21"/>
          <w:lang w:val="tr-TR"/>
        </w:rPr>
        <w:t>bulunan herkes, yabancı uyruklu olsun ya da olmasın, örgütlenme özgürlüğünün korunması hakkına sahip</w:t>
      </w:r>
      <w:r w:rsidR="00C95477" w:rsidRPr="001D47B8">
        <w:rPr>
          <w:color w:val="010101"/>
          <w:sz w:val="21"/>
          <w:lang w:val="tr-TR"/>
        </w:rPr>
        <w:t>tir.</w:t>
      </w:r>
      <w:r w:rsidR="001E20C7" w:rsidRPr="001D47B8">
        <w:rPr>
          <w:color w:val="010101"/>
          <w:sz w:val="21"/>
          <w:lang w:val="tr-TR"/>
        </w:rPr>
        <w:t xml:space="preserve"> Bu geniş kapsamlı uygulama</w:t>
      </w:r>
      <w:r w:rsidR="005059C2" w:rsidRPr="001D47B8">
        <w:rPr>
          <w:color w:val="010101"/>
          <w:sz w:val="21"/>
          <w:lang w:val="tr-TR"/>
        </w:rPr>
        <w:t>nın yanı sıra,</w:t>
      </w:r>
      <w:r w:rsidR="001E20C7" w:rsidRPr="001D47B8">
        <w:rPr>
          <w:color w:val="010101"/>
          <w:sz w:val="21"/>
          <w:lang w:val="tr-TR"/>
        </w:rPr>
        <w:t xml:space="preserve"> </w:t>
      </w:r>
      <w:r w:rsidR="00411B87" w:rsidRPr="001D47B8">
        <w:rPr>
          <w:color w:val="010101"/>
          <w:sz w:val="21"/>
          <w:lang w:val="tr-TR"/>
        </w:rPr>
        <w:t xml:space="preserve">yüksek para cezaları ve </w:t>
      </w:r>
      <w:r w:rsidR="005059C2" w:rsidRPr="001D47B8">
        <w:rPr>
          <w:color w:val="010101"/>
          <w:sz w:val="21"/>
          <w:lang w:val="tr-TR"/>
        </w:rPr>
        <w:t>öze</w:t>
      </w:r>
      <w:r w:rsidR="00DC40DA" w:rsidRPr="001D47B8">
        <w:rPr>
          <w:color w:val="010101"/>
          <w:sz w:val="21"/>
          <w:lang w:val="tr-TR"/>
        </w:rPr>
        <w:t>l</w:t>
      </w:r>
      <w:r w:rsidR="005059C2" w:rsidRPr="001D47B8">
        <w:rPr>
          <w:color w:val="010101"/>
          <w:sz w:val="21"/>
          <w:lang w:val="tr-TR"/>
        </w:rPr>
        <w:t>likle “</w:t>
      </w:r>
      <w:r w:rsidR="006058FA">
        <w:rPr>
          <w:color w:val="010101"/>
          <w:sz w:val="21"/>
          <w:lang w:val="tr-TR"/>
        </w:rPr>
        <w:t xml:space="preserve">ortak </w:t>
      </w:r>
      <w:r w:rsidR="005059C2" w:rsidRPr="001D47B8">
        <w:rPr>
          <w:color w:val="010101"/>
          <w:sz w:val="21"/>
          <w:lang w:val="tr-TR"/>
        </w:rPr>
        <w:t xml:space="preserve">faaliyette ve işbirliğinde bulunma” </w:t>
      </w:r>
      <w:r w:rsidR="003E768A" w:rsidRPr="001D47B8">
        <w:rPr>
          <w:color w:val="010101"/>
          <w:sz w:val="21"/>
          <w:lang w:val="tr-TR"/>
        </w:rPr>
        <w:t xml:space="preserve">kavramları </w:t>
      </w:r>
      <w:r w:rsidR="007A2AFF" w:rsidRPr="001D47B8">
        <w:rPr>
          <w:color w:val="010101"/>
          <w:sz w:val="21"/>
          <w:lang w:val="tr-TR"/>
        </w:rPr>
        <w:t xml:space="preserve">ve “risk değerlendirmesi” </w:t>
      </w:r>
      <w:r w:rsidR="005E0414" w:rsidRPr="001D47B8">
        <w:rPr>
          <w:color w:val="010101"/>
          <w:sz w:val="21"/>
          <w:lang w:val="tr-TR"/>
        </w:rPr>
        <w:t>ölçütleri</w:t>
      </w:r>
      <w:r w:rsidR="007A2AFF" w:rsidRPr="001D47B8">
        <w:rPr>
          <w:color w:val="010101"/>
          <w:sz w:val="21"/>
          <w:lang w:val="tr-TR"/>
        </w:rPr>
        <w:t xml:space="preserve"> ve usulü </w:t>
      </w:r>
      <w:r w:rsidR="003E768A" w:rsidRPr="001D47B8">
        <w:rPr>
          <w:color w:val="010101"/>
          <w:sz w:val="21"/>
          <w:lang w:val="tr-TR"/>
        </w:rPr>
        <w:t xml:space="preserve">başta olmak üzere </w:t>
      </w:r>
      <w:r w:rsidR="00411B87" w:rsidRPr="001D47B8">
        <w:rPr>
          <w:color w:val="010101"/>
          <w:sz w:val="21"/>
          <w:lang w:val="tr-TR"/>
        </w:rPr>
        <w:t xml:space="preserve">yasaklanan faaliyetlere ilişkin </w:t>
      </w:r>
      <w:r w:rsidR="003E768A" w:rsidRPr="001D47B8">
        <w:rPr>
          <w:color w:val="010101"/>
          <w:sz w:val="21"/>
          <w:lang w:val="tr-TR"/>
        </w:rPr>
        <w:t xml:space="preserve">tanımların </w:t>
      </w:r>
      <w:r w:rsidR="00411B87" w:rsidRPr="001D47B8">
        <w:rPr>
          <w:color w:val="010101"/>
          <w:sz w:val="21"/>
          <w:lang w:val="tr-TR"/>
        </w:rPr>
        <w:t xml:space="preserve">muğlak </w:t>
      </w:r>
      <w:r w:rsidR="003E768A" w:rsidRPr="001D47B8">
        <w:rPr>
          <w:color w:val="010101"/>
          <w:sz w:val="21"/>
          <w:lang w:val="tr-TR"/>
        </w:rPr>
        <w:t>olması nedeniyle</w:t>
      </w:r>
      <w:r w:rsidR="00DC40DA" w:rsidRPr="001D47B8">
        <w:rPr>
          <w:color w:val="010101"/>
          <w:sz w:val="21"/>
          <w:lang w:val="tr-TR"/>
        </w:rPr>
        <w:t>,</w:t>
      </w:r>
      <w:r w:rsidR="003E768A" w:rsidRPr="001D47B8">
        <w:rPr>
          <w:color w:val="010101"/>
          <w:sz w:val="21"/>
          <w:lang w:val="tr-TR"/>
        </w:rPr>
        <w:t xml:space="preserve"> </w:t>
      </w:r>
      <w:r w:rsidR="0048588E" w:rsidRPr="001D47B8">
        <w:rPr>
          <w:color w:val="010101"/>
          <w:sz w:val="21"/>
          <w:lang w:val="tr-TR"/>
        </w:rPr>
        <w:t xml:space="preserve">söz konusu </w:t>
      </w:r>
      <w:r w:rsidR="00970C6E" w:rsidRPr="001D47B8">
        <w:rPr>
          <w:color w:val="010101"/>
          <w:sz w:val="21"/>
          <w:lang w:val="tr-TR"/>
        </w:rPr>
        <w:t>d</w:t>
      </w:r>
      <w:r w:rsidR="004F003A" w:rsidRPr="001D47B8">
        <w:rPr>
          <w:color w:val="010101"/>
          <w:sz w:val="21"/>
          <w:lang w:val="tr-TR"/>
        </w:rPr>
        <w:t xml:space="preserve">ernekler Türkiye’de faaliyet </w:t>
      </w:r>
      <w:r w:rsidR="00970C6E" w:rsidRPr="001D47B8">
        <w:rPr>
          <w:color w:val="010101"/>
          <w:sz w:val="21"/>
          <w:lang w:val="tr-TR"/>
        </w:rPr>
        <w:t>göstermekten vazgeçebilir</w:t>
      </w:r>
      <w:r w:rsidR="00F15342" w:rsidRPr="001D47B8">
        <w:rPr>
          <w:color w:val="010101"/>
          <w:sz w:val="21"/>
          <w:lang w:val="tr-TR"/>
        </w:rPr>
        <w:t>.</w:t>
      </w:r>
      <w:r w:rsidR="00C95477" w:rsidRPr="001D47B8">
        <w:rPr>
          <w:color w:val="010101"/>
          <w:sz w:val="21"/>
          <w:lang w:val="tr-TR"/>
        </w:rPr>
        <w:t xml:space="preserve">  </w:t>
      </w:r>
    </w:p>
    <w:p w14:paraId="316BF0DA" w14:textId="77777777" w:rsidR="001E20C7" w:rsidRPr="001D47B8" w:rsidRDefault="001E20C7" w:rsidP="001E20C7">
      <w:pPr>
        <w:pStyle w:val="ListeParagraf"/>
        <w:tabs>
          <w:tab w:val="left" w:pos="671"/>
        </w:tabs>
        <w:spacing w:line="252" w:lineRule="auto"/>
        <w:ind w:left="126" w:right="319" w:firstLine="0"/>
        <w:rPr>
          <w:color w:val="010101"/>
          <w:sz w:val="21"/>
          <w:lang w:val="tr-TR"/>
        </w:rPr>
      </w:pPr>
    </w:p>
    <w:p w14:paraId="5C236B77" w14:textId="321342B5" w:rsidR="005E0414" w:rsidRPr="001D47B8" w:rsidRDefault="005E0414" w:rsidP="001C4B9F">
      <w:pPr>
        <w:pStyle w:val="ListeParagraf"/>
        <w:numPr>
          <w:ilvl w:val="0"/>
          <w:numId w:val="6"/>
        </w:numPr>
        <w:tabs>
          <w:tab w:val="left" w:pos="669"/>
        </w:tabs>
        <w:spacing w:line="252" w:lineRule="auto"/>
        <w:ind w:left="124" w:right="322" w:firstLine="2"/>
        <w:rPr>
          <w:color w:val="010101"/>
          <w:sz w:val="21"/>
          <w:lang w:val="tr-TR"/>
        </w:rPr>
      </w:pPr>
      <w:r w:rsidRPr="001D47B8">
        <w:rPr>
          <w:color w:val="010101"/>
          <w:sz w:val="21"/>
          <w:lang w:val="tr-TR"/>
        </w:rPr>
        <w:t xml:space="preserve">Ayrıca, </w:t>
      </w:r>
      <w:r w:rsidR="00785849" w:rsidRPr="001D47B8">
        <w:rPr>
          <w:color w:val="010101"/>
          <w:sz w:val="21"/>
          <w:lang w:val="tr-TR"/>
        </w:rPr>
        <w:t>bu kuruluşlar</w:t>
      </w:r>
      <w:r w:rsidR="00751755" w:rsidRPr="001D47B8">
        <w:rPr>
          <w:color w:val="010101"/>
          <w:sz w:val="21"/>
          <w:lang w:val="tr-TR"/>
        </w:rPr>
        <w:t xml:space="preserve">ın Türkiye’de herhangi bir faaliyet ve işbirliğinde bulunması için izin alması gerekmektedir. </w:t>
      </w:r>
      <w:r w:rsidR="007352A5" w:rsidRPr="001D47B8">
        <w:rPr>
          <w:color w:val="010101"/>
          <w:sz w:val="21"/>
          <w:lang w:val="tr-TR"/>
        </w:rPr>
        <w:t xml:space="preserve">Yabancı dernekler kayıt işlemleri ve işlevlerinde ulusal dernekler ile aynı </w:t>
      </w:r>
      <w:r w:rsidR="007352A5" w:rsidRPr="001D47B8">
        <w:rPr>
          <w:color w:val="010101"/>
          <w:sz w:val="21"/>
          <w:lang w:val="tr-TR"/>
        </w:rPr>
        <w:lastRenderedPageBreak/>
        <w:t>koşullara</w:t>
      </w:r>
      <w:r w:rsidR="00357625" w:rsidRPr="001D47B8">
        <w:rPr>
          <w:color w:val="010101"/>
          <w:sz w:val="21"/>
          <w:lang w:val="tr-TR"/>
        </w:rPr>
        <w:t xml:space="preserve"> uymak zorundadır</w:t>
      </w:r>
      <w:r w:rsidR="007352A5" w:rsidRPr="001D47B8">
        <w:rPr>
          <w:color w:val="010101"/>
          <w:sz w:val="21"/>
          <w:lang w:val="tr-TR"/>
        </w:rPr>
        <w:t>, bu nedenle bu müdahale</w:t>
      </w:r>
      <w:r w:rsidR="00D836D3" w:rsidRPr="001D47B8">
        <w:rPr>
          <w:color w:val="010101"/>
          <w:sz w:val="21"/>
          <w:lang w:val="tr-TR"/>
        </w:rPr>
        <w:t xml:space="preserve">nin yapılması için </w:t>
      </w:r>
      <w:r w:rsidR="000B364F" w:rsidRPr="001D47B8">
        <w:rPr>
          <w:color w:val="010101"/>
          <w:sz w:val="21"/>
          <w:lang w:val="tr-TR"/>
        </w:rPr>
        <w:t xml:space="preserve">görünürde </w:t>
      </w:r>
      <w:r w:rsidR="00D836D3" w:rsidRPr="001D47B8">
        <w:rPr>
          <w:color w:val="010101"/>
          <w:sz w:val="21"/>
          <w:lang w:val="tr-TR"/>
        </w:rPr>
        <w:t xml:space="preserve">bir gerekçe </w:t>
      </w:r>
      <w:r w:rsidR="000B364F" w:rsidRPr="001D47B8">
        <w:rPr>
          <w:color w:val="010101"/>
          <w:sz w:val="21"/>
          <w:lang w:val="tr-TR"/>
        </w:rPr>
        <w:t xml:space="preserve">bulunmamaktadır. Avrupa İnsan Hakları </w:t>
      </w:r>
      <w:r w:rsidR="00E22C29" w:rsidRPr="001D47B8">
        <w:rPr>
          <w:color w:val="010101"/>
          <w:sz w:val="21"/>
          <w:lang w:val="tr-TR"/>
        </w:rPr>
        <w:t>Mahkemesi</w:t>
      </w:r>
      <w:r w:rsidR="00C670D2" w:rsidRPr="001D47B8">
        <w:rPr>
          <w:color w:val="010101"/>
          <w:sz w:val="21"/>
          <w:lang w:val="tr-TR"/>
        </w:rPr>
        <w:t xml:space="preserve"> dini dernekler ile ilgili </w:t>
      </w:r>
      <w:r w:rsidR="00B02C52" w:rsidRPr="001D47B8">
        <w:rPr>
          <w:color w:val="010101"/>
          <w:sz w:val="21"/>
          <w:lang w:val="tr-TR"/>
        </w:rPr>
        <w:t>kararında</w:t>
      </w:r>
      <w:r w:rsidR="00C670D2" w:rsidRPr="001D47B8">
        <w:rPr>
          <w:color w:val="010101"/>
          <w:sz w:val="21"/>
          <w:lang w:val="tr-TR"/>
        </w:rPr>
        <w:t xml:space="preserve">, “örgütlenmiş dini toplulukların yaşamına katılarak </w:t>
      </w:r>
      <w:r w:rsidR="00F2220D" w:rsidRPr="001D47B8">
        <w:rPr>
          <w:color w:val="010101"/>
          <w:sz w:val="21"/>
          <w:lang w:val="tr-TR"/>
        </w:rPr>
        <w:t>din özgürlüğü hakkını kullanma beceri</w:t>
      </w:r>
      <w:r w:rsidR="00E04D86" w:rsidRPr="001D47B8">
        <w:rPr>
          <w:color w:val="010101"/>
          <w:sz w:val="21"/>
          <w:lang w:val="tr-TR"/>
        </w:rPr>
        <w:t>si</w:t>
      </w:r>
      <w:r w:rsidR="00DF7E3D" w:rsidRPr="001D47B8">
        <w:rPr>
          <w:color w:val="010101"/>
          <w:sz w:val="21"/>
          <w:lang w:val="tr-TR"/>
        </w:rPr>
        <w:t>ne ilişkin</w:t>
      </w:r>
      <w:r w:rsidR="00784971" w:rsidRPr="001D47B8">
        <w:rPr>
          <w:color w:val="010101"/>
          <w:sz w:val="21"/>
          <w:lang w:val="tr-TR"/>
        </w:rPr>
        <w:t>,</w:t>
      </w:r>
      <w:r w:rsidR="00F2220D" w:rsidRPr="001D47B8">
        <w:rPr>
          <w:color w:val="010101"/>
          <w:sz w:val="21"/>
          <w:lang w:val="tr-TR"/>
        </w:rPr>
        <w:t xml:space="preserve"> (</w:t>
      </w:r>
      <w:r w:rsidR="00382B6C" w:rsidRPr="001D47B8">
        <w:rPr>
          <w:color w:val="010101"/>
          <w:sz w:val="21"/>
          <w:lang w:val="tr-TR"/>
        </w:rPr>
        <w:t>ülke vatandaşların</w:t>
      </w:r>
      <w:r w:rsidR="00B02C52" w:rsidRPr="001D47B8">
        <w:rPr>
          <w:color w:val="010101"/>
          <w:sz w:val="21"/>
          <w:lang w:val="tr-TR"/>
        </w:rPr>
        <w:t>a</w:t>
      </w:r>
      <w:r w:rsidR="00382B6C" w:rsidRPr="001D47B8">
        <w:rPr>
          <w:color w:val="010101"/>
          <w:sz w:val="21"/>
          <w:lang w:val="tr-TR"/>
        </w:rPr>
        <w:t>) ve yabancı uyruklu kişiler</w:t>
      </w:r>
      <w:r w:rsidR="005E3449" w:rsidRPr="001D47B8">
        <w:rPr>
          <w:color w:val="010101"/>
          <w:sz w:val="21"/>
          <w:lang w:val="tr-TR"/>
        </w:rPr>
        <w:t>e…</w:t>
      </w:r>
      <w:r w:rsidR="006C6604" w:rsidRPr="001D47B8">
        <w:rPr>
          <w:color w:val="010101"/>
          <w:sz w:val="21"/>
          <w:lang w:val="tr-TR"/>
        </w:rPr>
        <w:t>.</w:t>
      </w:r>
      <w:r w:rsidR="005E3449" w:rsidRPr="001D47B8">
        <w:rPr>
          <w:color w:val="010101"/>
          <w:sz w:val="21"/>
          <w:lang w:val="tr-TR"/>
        </w:rPr>
        <w:t xml:space="preserve"> yönelik farklı bir muamele yapmak için makul ve nesnel bir gerekçe </w:t>
      </w:r>
      <w:r w:rsidR="005D38AD" w:rsidRPr="001D47B8">
        <w:rPr>
          <w:color w:val="010101"/>
          <w:sz w:val="21"/>
          <w:lang w:val="tr-TR"/>
        </w:rPr>
        <w:t>bulunmadığını</w:t>
      </w:r>
      <w:r w:rsidR="00B02C52" w:rsidRPr="001D47B8">
        <w:rPr>
          <w:color w:val="010101"/>
          <w:sz w:val="21"/>
          <w:lang w:val="tr-TR"/>
        </w:rPr>
        <w:t xml:space="preserve">” </w:t>
      </w:r>
      <w:r w:rsidR="005D38AD" w:rsidRPr="001D47B8">
        <w:rPr>
          <w:color w:val="010101"/>
          <w:sz w:val="21"/>
          <w:lang w:val="tr-TR"/>
        </w:rPr>
        <w:t>belirtmiştir.</w:t>
      </w:r>
      <w:r w:rsidR="00822141" w:rsidRPr="001D47B8">
        <w:rPr>
          <w:rStyle w:val="DipnotBavurusu"/>
          <w:color w:val="010101"/>
          <w:sz w:val="21"/>
          <w:lang w:val="tr-TR"/>
        </w:rPr>
        <w:footnoteReference w:id="69"/>
      </w:r>
      <w:r w:rsidR="00B02C52" w:rsidRPr="001D47B8">
        <w:rPr>
          <w:color w:val="010101"/>
          <w:sz w:val="21"/>
          <w:lang w:val="tr-TR"/>
        </w:rPr>
        <w:t xml:space="preserve"> </w:t>
      </w:r>
      <w:r w:rsidR="006C6604" w:rsidRPr="001D47B8">
        <w:rPr>
          <w:color w:val="010101"/>
          <w:sz w:val="21"/>
          <w:lang w:val="tr-TR"/>
        </w:rPr>
        <w:t xml:space="preserve">Komisyon, </w:t>
      </w:r>
      <w:r w:rsidR="00913FCC" w:rsidRPr="001D47B8">
        <w:rPr>
          <w:color w:val="010101"/>
          <w:sz w:val="21"/>
          <w:lang w:val="tr-TR"/>
        </w:rPr>
        <w:t xml:space="preserve">yabancılara uygulanan </w:t>
      </w:r>
      <w:r w:rsidR="007455DB" w:rsidRPr="001D47B8">
        <w:rPr>
          <w:color w:val="010101"/>
          <w:sz w:val="21"/>
          <w:lang w:val="tr-TR"/>
        </w:rPr>
        <w:t>ayrımcılık yapmama</w:t>
      </w:r>
      <w:r w:rsidR="00913FCC" w:rsidRPr="001D47B8">
        <w:rPr>
          <w:color w:val="010101"/>
          <w:sz w:val="21"/>
          <w:lang w:val="tr-TR"/>
        </w:rPr>
        <w:t xml:space="preserve"> ilkesinin aynı şekilde</w:t>
      </w:r>
      <w:r w:rsidR="00E04D86" w:rsidRPr="001D47B8">
        <w:rPr>
          <w:color w:val="010101"/>
          <w:sz w:val="21"/>
          <w:lang w:val="tr-TR"/>
        </w:rPr>
        <w:t xml:space="preserve"> olağan dernekler için de geçerli olduğu görüşündedir. </w:t>
      </w:r>
    </w:p>
    <w:p w14:paraId="58C5FA23" w14:textId="77777777" w:rsidR="005E0414" w:rsidRPr="001D47B8" w:rsidRDefault="005E0414" w:rsidP="005E0414">
      <w:pPr>
        <w:pStyle w:val="ListeParagraf"/>
        <w:tabs>
          <w:tab w:val="left" w:pos="669"/>
        </w:tabs>
        <w:spacing w:line="252" w:lineRule="auto"/>
        <w:ind w:left="126" w:right="322" w:firstLine="0"/>
        <w:rPr>
          <w:color w:val="010101"/>
          <w:sz w:val="21"/>
          <w:lang w:val="tr-TR"/>
        </w:rPr>
      </w:pPr>
    </w:p>
    <w:p w14:paraId="7DC1B10C" w14:textId="25737024" w:rsidR="00045039" w:rsidRPr="001D47B8" w:rsidRDefault="0098682C" w:rsidP="001C4B9F">
      <w:pPr>
        <w:pStyle w:val="ListeParagraf"/>
        <w:numPr>
          <w:ilvl w:val="0"/>
          <w:numId w:val="6"/>
        </w:numPr>
        <w:tabs>
          <w:tab w:val="left" w:pos="670"/>
        </w:tabs>
        <w:spacing w:before="1" w:line="252" w:lineRule="auto"/>
        <w:ind w:left="126" w:right="322" w:firstLine="0"/>
        <w:rPr>
          <w:color w:val="010101"/>
          <w:sz w:val="21"/>
          <w:lang w:val="tr-TR"/>
        </w:rPr>
      </w:pPr>
      <w:r w:rsidRPr="001D47B8">
        <w:rPr>
          <w:color w:val="010101"/>
          <w:sz w:val="21"/>
          <w:lang w:val="tr-TR"/>
        </w:rPr>
        <w:t xml:space="preserve">Yabancı ortakların </w:t>
      </w:r>
      <w:r w:rsidR="002A73A5" w:rsidRPr="001D47B8">
        <w:rPr>
          <w:color w:val="010101"/>
          <w:sz w:val="21"/>
          <w:lang w:val="tr-TR"/>
        </w:rPr>
        <w:t xml:space="preserve">terörist grupların ya da eylemlerin finansmanına </w:t>
      </w:r>
      <w:r w:rsidR="00B22A7C" w:rsidRPr="001D47B8">
        <w:rPr>
          <w:color w:val="010101"/>
          <w:sz w:val="21"/>
          <w:lang w:val="tr-TR"/>
        </w:rPr>
        <w:t>karıştıklarına dair ikna edici savlar ileri sür</w:t>
      </w:r>
      <w:r w:rsidR="006E06F5">
        <w:rPr>
          <w:color w:val="010101"/>
          <w:sz w:val="21"/>
          <w:lang w:val="tr-TR"/>
        </w:rPr>
        <w:t>ül</w:t>
      </w:r>
      <w:r w:rsidR="00B22A7C" w:rsidRPr="001D47B8">
        <w:rPr>
          <w:color w:val="010101"/>
          <w:sz w:val="21"/>
          <w:lang w:val="tr-TR"/>
        </w:rPr>
        <w:t>meden</w:t>
      </w:r>
      <w:r w:rsidR="00DD318B" w:rsidRPr="001D47B8">
        <w:rPr>
          <w:color w:val="010101"/>
          <w:sz w:val="21"/>
          <w:lang w:val="tr-TR"/>
        </w:rPr>
        <w:t>,</w:t>
      </w:r>
      <w:r w:rsidR="00B22A7C" w:rsidRPr="001D47B8">
        <w:rPr>
          <w:color w:val="010101"/>
          <w:sz w:val="21"/>
          <w:lang w:val="tr-TR"/>
        </w:rPr>
        <w:t xml:space="preserve"> </w:t>
      </w:r>
      <w:r w:rsidR="008053D2" w:rsidRPr="001D47B8">
        <w:rPr>
          <w:color w:val="010101"/>
          <w:sz w:val="21"/>
          <w:lang w:val="tr-TR"/>
        </w:rPr>
        <w:t xml:space="preserve">örgütlenme özgürlüğü haklarına yapılan </w:t>
      </w:r>
      <w:r w:rsidR="00F56009" w:rsidRPr="001D47B8">
        <w:rPr>
          <w:color w:val="010101"/>
          <w:sz w:val="21"/>
          <w:lang w:val="tr-TR"/>
        </w:rPr>
        <w:t>ve</w:t>
      </w:r>
      <w:r w:rsidR="008053D2" w:rsidRPr="001D47B8">
        <w:rPr>
          <w:color w:val="010101"/>
          <w:sz w:val="21"/>
          <w:lang w:val="tr-TR"/>
        </w:rPr>
        <w:t xml:space="preserve"> </w:t>
      </w:r>
      <w:r w:rsidR="00F56009" w:rsidRPr="001D47B8">
        <w:rPr>
          <w:color w:val="010101"/>
          <w:sz w:val="21"/>
          <w:lang w:val="tr-TR"/>
        </w:rPr>
        <w:t xml:space="preserve">belirgin özelliği olmayan bu </w:t>
      </w:r>
      <w:r w:rsidR="008053D2" w:rsidRPr="001D47B8">
        <w:rPr>
          <w:color w:val="010101"/>
          <w:sz w:val="21"/>
          <w:lang w:val="tr-TR"/>
        </w:rPr>
        <w:t>sınırlama,</w:t>
      </w:r>
      <w:r w:rsidR="000750AD" w:rsidRPr="001D47B8">
        <w:rPr>
          <w:color w:val="010101"/>
          <w:sz w:val="21"/>
          <w:lang w:val="tr-TR"/>
        </w:rPr>
        <w:t xml:space="preserve"> </w:t>
      </w:r>
      <w:r w:rsidR="008053D2" w:rsidRPr="001D47B8">
        <w:rPr>
          <w:color w:val="010101"/>
          <w:sz w:val="21"/>
          <w:lang w:val="tr-TR"/>
        </w:rPr>
        <w:t xml:space="preserve">gereklilik ve ölçülülük </w:t>
      </w:r>
      <w:r w:rsidR="00CF589D" w:rsidRPr="001D47B8">
        <w:rPr>
          <w:color w:val="010101"/>
          <w:sz w:val="21"/>
          <w:lang w:val="tr-TR"/>
        </w:rPr>
        <w:t xml:space="preserve">şartlarını </w:t>
      </w:r>
      <w:r w:rsidR="000750AD" w:rsidRPr="001D47B8">
        <w:rPr>
          <w:color w:val="010101"/>
          <w:sz w:val="21"/>
          <w:lang w:val="tr-TR"/>
        </w:rPr>
        <w:t xml:space="preserve">yerine getirmemektedir. </w:t>
      </w:r>
      <w:r w:rsidR="006A29C4" w:rsidRPr="001D47B8">
        <w:rPr>
          <w:color w:val="010101"/>
          <w:sz w:val="21"/>
          <w:lang w:val="tr-TR"/>
        </w:rPr>
        <w:t>Venedik Komisyonu, y</w:t>
      </w:r>
      <w:r w:rsidR="00B750A9" w:rsidRPr="001D47B8">
        <w:rPr>
          <w:color w:val="010101"/>
          <w:sz w:val="21"/>
          <w:lang w:val="tr-TR"/>
        </w:rPr>
        <w:t xml:space="preserve">abancıların siyasi faaliyetlerinin kısıtlanması için </w:t>
      </w:r>
      <w:r w:rsidR="009B2CE7" w:rsidRPr="001D47B8">
        <w:rPr>
          <w:color w:val="010101"/>
          <w:sz w:val="21"/>
          <w:lang w:val="tr-TR"/>
        </w:rPr>
        <w:t xml:space="preserve">belli bir alan tanıyan </w:t>
      </w:r>
      <w:r w:rsidR="000750AD" w:rsidRPr="001D47B8">
        <w:rPr>
          <w:color w:val="010101"/>
          <w:sz w:val="21"/>
          <w:lang w:val="tr-TR"/>
        </w:rPr>
        <w:t xml:space="preserve">Avrupa İnsan </w:t>
      </w:r>
      <w:r w:rsidR="00B750A9" w:rsidRPr="001D47B8">
        <w:rPr>
          <w:color w:val="010101"/>
          <w:sz w:val="21"/>
          <w:lang w:val="tr-TR"/>
        </w:rPr>
        <w:t>H</w:t>
      </w:r>
      <w:r w:rsidR="000750AD" w:rsidRPr="001D47B8">
        <w:rPr>
          <w:color w:val="010101"/>
          <w:sz w:val="21"/>
          <w:lang w:val="tr-TR"/>
        </w:rPr>
        <w:t>akları Sözleşmesinin 16. maddesi</w:t>
      </w:r>
      <w:r w:rsidR="009B2CE7" w:rsidRPr="001D47B8">
        <w:rPr>
          <w:color w:val="010101"/>
          <w:sz w:val="21"/>
          <w:lang w:val="tr-TR"/>
        </w:rPr>
        <w:t>nin</w:t>
      </w:r>
      <w:r w:rsidR="006A29C4" w:rsidRPr="001D47B8">
        <w:rPr>
          <w:color w:val="010101"/>
          <w:sz w:val="21"/>
          <w:lang w:val="tr-TR"/>
        </w:rPr>
        <w:t>,</w:t>
      </w:r>
      <w:r w:rsidR="009B2CE7" w:rsidRPr="001D47B8">
        <w:rPr>
          <w:color w:val="010101"/>
          <w:sz w:val="21"/>
          <w:lang w:val="tr-TR"/>
        </w:rPr>
        <w:t xml:space="preserve"> genel olarak formüle edilmiş </w:t>
      </w:r>
      <w:r w:rsidR="00D53B49" w:rsidRPr="001D47B8">
        <w:rPr>
          <w:color w:val="010101"/>
          <w:sz w:val="21"/>
          <w:lang w:val="tr-TR"/>
        </w:rPr>
        <w:t xml:space="preserve">bu gibi </w:t>
      </w:r>
      <w:r w:rsidR="009B2CE7" w:rsidRPr="001D47B8">
        <w:rPr>
          <w:color w:val="010101"/>
          <w:sz w:val="21"/>
          <w:lang w:val="tr-TR"/>
        </w:rPr>
        <w:t>kısıtlayıcı kurallar</w:t>
      </w:r>
      <w:r w:rsidR="00D53B49" w:rsidRPr="001D47B8">
        <w:rPr>
          <w:color w:val="010101"/>
          <w:sz w:val="21"/>
          <w:lang w:val="tr-TR"/>
        </w:rPr>
        <w:t xml:space="preserve"> koymak için gerek</w:t>
      </w:r>
      <w:r w:rsidR="006A29C4" w:rsidRPr="001D47B8">
        <w:rPr>
          <w:color w:val="010101"/>
          <w:sz w:val="21"/>
          <w:lang w:val="tr-TR"/>
        </w:rPr>
        <w:t>ç</w:t>
      </w:r>
      <w:r w:rsidR="00D53B49" w:rsidRPr="001D47B8">
        <w:rPr>
          <w:color w:val="010101"/>
          <w:sz w:val="21"/>
          <w:lang w:val="tr-TR"/>
        </w:rPr>
        <w:t>e olarak kullanılmaması gerektiği</w:t>
      </w:r>
      <w:r w:rsidR="006A29C4" w:rsidRPr="001D47B8">
        <w:rPr>
          <w:color w:val="010101"/>
          <w:sz w:val="21"/>
          <w:lang w:val="tr-TR"/>
        </w:rPr>
        <w:t xml:space="preserve"> görüşündedir. </w:t>
      </w:r>
    </w:p>
    <w:p w14:paraId="6E0155AE" w14:textId="77777777" w:rsidR="00045039" w:rsidRPr="001D47B8" w:rsidRDefault="00045039" w:rsidP="00045039">
      <w:pPr>
        <w:pStyle w:val="ListeParagraf"/>
        <w:tabs>
          <w:tab w:val="left" w:pos="670"/>
        </w:tabs>
        <w:spacing w:before="1" w:line="252" w:lineRule="auto"/>
        <w:ind w:left="126" w:right="322" w:firstLine="0"/>
        <w:rPr>
          <w:color w:val="010101"/>
          <w:sz w:val="21"/>
          <w:lang w:val="tr-TR"/>
        </w:rPr>
      </w:pPr>
    </w:p>
    <w:p w14:paraId="40922AD6" w14:textId="58C3A5E6" w:rsidR="001B3C12" w:rsidRPr="001D47B8" w:rsidRDefault="001C79EB" w:rsidP="003B2ECF">
      <w:pPr>
        <w:pStyle w:val="Balk2"/>
        <w:numPr>
          <w:ilvl w:val="0"/>
          <w:numId w:val="8"/>
        </w:numPr>
        <w:tabs>
          <w:tab w:val="left" w:pos="487"/>
        </w:tabs>
        <w:spacing w:before="4"/>
        <w:ind w:left="486"/>
        <w:jc w:val="both"/>
        <w:rPr>
          <w:sz w:val="23"/>
          <w:lang w:val="tr-TR"/>
        </w:rPr>
      </w:pPr>
      <w:r w:rsidRPr="001D47B8">
        <w:rPr>
          <w:color w:val="010101"/>
          <w:lang w:val="tr-TR"/>
        </w:rPr>
        <w:t xml:space="preserve">7262 sayılı Kanunun kabul edilmesinde izlenilen </w:t>
      </w:r>
      <w:r w:rsidR="006E06F5" w:rsidRPr="001D47B8">
        <w:rPr>
          <w:color w:val="010101"/>
          <w:lang w:val="tr-TR"/>
        </w:rPr>
        <w:t>usul</w:t>
      </w:r>
      <w:r w:rsidRPr="001D47B8">
        <w:rPr>
          <w:color w:val="010101"/>
          <w:lang w:val="tr-TR"/>
        </w:rPr>
        <w:t xml:space="preserve"> </w:t>
      </w:r>
    </w:p>
    <w:p w14:paraId="131A284C" w14:textId="6D88A527" w:rsidR="001A12D1" w:rsidRPr="001D47B8" w:rsidRDefault="001A12D1" w:rsidP="001A12D1">
      <w:pPr>
        <w:pStyle w:val="Balk2"/>
        <w:tabs>
          <w:tab w:val="left" w:pos="487"/>
        </w:tabs>
        <w:spacing w:before="4"/>
        <w:ind w:left="486"/>
        <w:jc w:val="both"/>
        <w:rPr>
          <w:color w:val="010101"/>
          <w:lang w:val="tr-TR"/>
        </w:rPr>
      </w:pPr>
    </w:p>
    <w:p w14:paraId="23A671D4" w14:textId="161EF95C" w:rsidR="00FB2112" w:rsidRPr="001D47B8" w:rsidRDefault="004F132F" w:rsidP="004C542E">
      <w:pPr>
        <w:pStyle w:val="ListeParagraf"/>
        <w:numPr>
          <w:ilvl w:val="0"/>
          <w:numId w:val="6"/>
        </w:numPr>
        <w:tabs>
          <w:tab w:val="left" w:pos="670"/>
        </w:tabs>
        <w:spacing w:line="252" w:lineRule="auto"/>
        <w:ind w:left="127" w:right="322" w:firstLine="0"/>
        <w:rPr>
          <w:color w:val="010101"/>
          <w:sz w:val="21"/>
          <w:lang w:val="tr-TR"/>
        </w:rPr>
      </w:pPr>
      <w:r w:rsidRPr="001D47B8">
        <w:rPr>
          <w:color w:val="010101"/>
          <w:sz w:val="21"/>
          <w:lang w:val="tr-TR"/>
        </w:rPr>
        <w:t>7262 sayılı Kanun hı</w:t>
      </w:r>
      <w:r w:rsidR="00FB2112" w:rsidRPr="001D47B8">
        <w:rPr>
          <w:color w:val="010101"/>
          <w:sz w:val="21"/>
          <w:lang w:val="tr-TR"/>
        </w:rPr>
        <w:t>zlı bir şekilde kabul edilmiştir. TBMM Adalet Komisyonun</w:t>
      </w:r>
      <w:r w:rsidR="0008495C" w:rsidRPr="001D47B8">
        <w:rPr>
          <w:color w:val="010101"/>
          <w:sz w:val="21"/>
          <w:lang w:val="tr-TR"/>
        </w:rPr>
        <w:t xml:space="preserve">da düzenlenen iki oturum geniş kapsamlı istişareler yapılmadan hızlandırılmıştır. </w:t>
      </w:r>
      <w:r w:rsidR="0075060D" w:rsidRPr="001D47B8">
        <w:rPr>
          <w:color w:val="010101"/>
          <w:sz w:val="21"/>
          <w:lang w:val="tr-TR"/>
        </w:rPr>
        <w:t xml:space="preserve">Örgütlenme Özgürlüğü Rehberinde yer alan </w:t>
      </w:r>
      <w:r w:rsidR="000815B6" w:rsidRPr="001D47B8">
        <w:rPr>
          <w:color w:val="010101"/>
          <w:sz w:val="21"/>
          <w:lang w:val="tr-TR"/>
        </w:rPr>
        <w:t>“</w:t>
      </w:r>
      <w:r w:rsidR="000815B6" w:rsidRPr="001D47B8">
        <w:rPr>
          <w:i/>
          <w:iCs/>
          <w:color w:val="010101"/>
          <w:sz w:val="21"/>
          <w:lang w:val="tr-TR"/>
        </w:rPr>
        <w:t>Dernekler</w:t>
      </w:r>
      <w:r w:rsidR="00E21B50" w:rsidRPr="001D47B8">
        <w:rPr>
          <w:i/>
          <w:iCs/>
          <w:color w:val="010101"/>
          <w:sz w:val="21"/>
          <w:lang w:val="tr-TR"/>
        </w:rPr>
        <w:t>e</w:t>
      </w:r>
      <w:r w:rsidR="000815B6" w:rsidRPr="001D47B8">
        <w:rPr>
          <w:i/>
          <w:iCs/>
          <w:color w:val="010101"/>
          <w:sz w:val="21"/>
          <w:lang w:val="tr-TR"/>
        </w:rPr>
        <w:t>, kendi faaliyetle</w:t>
      </w:r>
      <w:r w:rsidR="00283A6F" w:rsidRPr="001D47B8">
        <w:rPr>
          <w:i/>
          <w:iCs/>
          <w:color w:val="010101"/>
          <w:sz w:val="21"/>
          <w:lang w:val="tr-TR"/>
        </w:rPr>
        <w:t>rini</w:t>
      </w:r>
      <w:r w:rsidR="000815B6" w:rsidRPr="001D47B8">
        <w:rPr>
          <w:i/>
          <w:iCs/>
          <w:color w:val="010101"/>
          <w:sz w:val="21"/>
          <w:lang w:val="tr-TR"/>
        </w:rPr>
        <w:t xml:space="preserve"> ilgilendiren düzenlemeler ya da uygulamaların </w:t>
      </w:r>
      <w:r w:rsidR="00E21B50" w:rsidRPr="001D47B8">
        <w:rPr>
          <w:i/>
          <w:iCs/>
          <w:color w:val="010101"/>
          <w:sz w:val="21"/>
          <w:lang w:val="tr-TR"/>
        </w:rPr>
        <w:t>sunulması</w:t>
      </w:r>
      <w:r w:rsidR="00283A6F" w:rsidRPr="001D47B8">
        <w:rPr>
          <w:i/>
          <w:iCs/>
          <w:color w:val="010101"/>
          <w:sz w:val="21"/>
          <w:lang w:val="tr-TR"/>
        </w:rPr>
        <w:t xml:space="preserve"> ve uygulanması sürecinde </w:t>
      </w:r>
      <w:r w:rsidR="00E21B50" w:rsidRPr="001D47B8">
        <w:rPr>
          <w:i/>
          <w:iCs/>
          <w:color w:val="010101"/>
          <w:sz w:val="21"/>
          <w:lang w:val="tr-TR"/>
        </w:rPr>
        <w:t>danışılmalıdır</w:t>
      </w:r>
      <w:r w:rsidR="00E21B50" w:rsidRPr="001D47B8">
        <w:rPr>
          <w:color w:val="010101"/>
          <w:sz w:val="21"/>
          <w:lang w:val="tr-TR"/>
        </w:rPr>
        <w:t xml:space="preserve">” </w:t>
      </w:r>
      <w:r w:rsidR="00E25CA7" w:rsidRPr="001D47B8">
        <w:rPr>
          <w:rStyle w:val="DipnotBavurusu"/>
          <w:color w:val="010101"/>
          <w:sz w:val="21"/>
          <w:lang w:val="tr-TR"/>
        </w:rPr>
        <w:footnoteReference w:id="70"/>
      </w:r>
      <w:r w:rsidR="0075060D" w:rsidRPr="001D47B8">
        <w:rPr>
          <w:color w:val="010101"/>
          <w:sz w:val="21"/>
          <w:lang w:val="tr-TR"/>
        </w:rPr>
        <w:t xml:space="preserve">şeklindeki ilkeye </w:t>
      </w:r>
      <w:r w:rsidR="00E25CA7" w:rsidRPr="001D47B8">
        <w:rPr>
          <w:color w:val="010101"/>
          <w:sz w:val="21"/>
          <w:lang w:val="tr-TR"/>
        </w:rPr>
        <w:t>aykırı olarak,</w:t>
      </w:r>
      <w:r w:rsidR="003C4A41" w:rsidRPr="001D47B8">
        <w:rPr>
          <w:color w:val="010101"/>
          <w:sz w:val="21"/>
          <w:lang w:val="tr-TR"/>
        </w:rPr>
        <w:t xml:space="preserve"> sivil topluma ve diğer ilgili paydaşlara </w:t>
      </w:r>
      <w:r w:rsidR="00E25CA7" w:rsidRPr="001D47B8">
        <w:rPr>
          <w:color w:val="010101"/>
          <w:sz w:val="21"/>
          <w:lang w:val="tr-TR"/>
        </w:rPr>
        <w:t xml:space="preserve">sürece </w:t>
      </w:r>
      <w:r w:rsidR="003C4A41" w:rsidRPr="001D47B8">
        <w:rPr>
          <w:color w:val="010101"/>
          <w:sz w:val="21"/>
          <w:lang w:val="tr-TR"/>
        </w:rPr>
        <w:t xml:space="preserve">herhangi anlamlı bir katkıda bulunma şansı verilmemiştir. </w:t>
      </w:r>
      <w:r w:rsidR="00E25CA7" w:rsidRPr="001D47B8">
        <w:rPr>
          <w:color w:val="010101"/>
          <w:sz w:val="21"/>
          <w:lang w:val="tr-TR"/>
        </w:rPr>
        <w:t xml:space="preserve">Avrupa Konseyi </w:t>
      </w:r>
      <w:r w:rsidR="00A02C8A" w:rsidRPr="001D47B8">
        <w:rPr>
          <w:color w:val="010101"/>
          <w:sz w:val="21"/>
          <w:lang w:val="tr-TR"/>
        </w:rPr>
        <w:t xml:space="preserve">Bakanlar Komitesinin </w:t>
      </w:r>
      <w:r w:rsidR="00C66C86" w:rsidRPr="001D47B8">
        <w:rPr>
          <w:color w:val="010101"/>
          <w:sz w:val="21"/>
          <w:lang w:val="tr-TR"/>
        </w:rPr>
        <w:t xml:space="preserve">Avrupa’da Sivil Toplum Örgütlerinin Yasal Statüsü hakkında </w:t>
      </w:r>
      <w:r w:rsidR="00A02C8A" w:rsidRPr="001D47B8">
        <w:rPr>
          <w:color w:val="010101"/>
          <w:sz w:val="21"/>
          <w:lang w:val="tr-TR"/>
        </w:rPr>
        <w:t>2007(14) sayılı Tavsiyesi</w:t>
      </w:r>
      <w:r w:rsidR="00393CA5" w:rsidRPr="001D47B8">
        <w:rPr>
          <w:color w:val="010101"/>
          <w:sz w:val="21"/>
          <w:lang w:val="tr-TR"/>
        </w:rPr>
        <w:t>ne göre “</w:t>
      </w:r>
      <w:r w:rsidR="00EB5D68">
        <w:rPr>
          <w:i/>
          <w:iCs/>
          <w:color w:val="010101"/>
          <w:sz w:val="21"/>
          <w:lang w:val="tr-TR"/>
        </w:rPr>
        <w:t>STÖ’lerin</w:t>
      </w:r>
      <w:r w:rsidR="00393CA5" w:rsidRPr="001D47B8">
        <w:rPr>
          <w:i/>
          <w:iCs/>
          <w:color w:val="010101"/>
          <w:sz w:val="21"/>
          <w:lang w:val="tr-TR"/>
        </w:rPr>
        <w:t xml:space="preserve"> </w:t>
      </w:r>
      <w:r w:rsidR="003C7860" w:rsidRPr="001D47B8">
        <w:rPr>
          <w:i/>
          <w:iCs/>
          <w:color w:val="010101"/>
          <w:sz w:val="21"/>
          <w:lang w:val="tr-TR"/>
        </w:rPr>
        <w:t xml:space="preserve">kendi statülerini, finansmanını ya da faaliyet alanlarını etkileyen birincil ve ikincil </w:t>
      </w:r>
      <w:r w:rsidR="004F324F" w:rsidRPr="001D47B8">
        <w:rPr>
          <w:i/>
          <w:iCs/>
          <w:color w:val="010101"/>
          <w:sz w:val="21"/>
          <w:lang w:val="tr-TR"/>
        </w:rPr>
        <w:t xml:space="preserve">mevzuatın hazırlanması sürecinde </w:t>
      </w:r>
      <w:r w:rsidR="00EB5D68" w:rsidRPr="001D47B8">
        <w:rPr>
          <w:i/>
          <w:iCs/>
          <w:color w:val="010101"/>
          <w:sz w:val="21"/>
          <w:lang w:val="tr-TR"/>
        </w:rPr>
        <w:t xml:space="preserve">STÖ’ler ile </w:t>
      </w:r>
      <w:r w:rsidR="00F01EA9" w:rsidRPr="001D47B8">
        <w:rPr>
          <w:i/>
          <w:iCs/>
          <w:color w:val="010101"/>
          <w:sz w:val="21"/>
          <w:lang w:val="tr-TR"/>
        </w:rPr>
        <w:t>istişare edilmelidir</w:t>
      </w:r>
      <w:r w:rsidR="00975A22" w:rsidRPr="001D47B8">
        <w:rPr>
          <w:color w:val="010101"/>
          <w:sz w:val="21"/>
          <w:lang w:val="tr-TR"/>
        </w:rPr>
        <w:t xml:space="preserve">” (parag. 77). Ayrıca, </w:t>
      </w:r>
      <w:r w:rsidR="006E7DF6" w:rsidRPr="001D47B8">
        <w:rPr>
          <w:color w:val="010101"/>
          <w:sz w:val="21"/>
          <w:lang w:val="tr-TR"/>
        </w:rPr>
        <w:t>Tavsiyeye ilişkin Açıklayıcı Memorandumda “</w:t>
      </w:r>
      <w:r w:rsidR="00A77080" w:rsidRPr="001D47B8">
        <w:rPr>
          <w:i/>
          <w:iCs/>
          <w:color w:val="010101"/>
          <w:sz w:val="21"/>
          <w:lang w:val="tr-TR"/>
        </w:rPr>
        <w:t>STÖ’ler</w:t>
      </w:r>
      <w:r w:rsidR="009703D1" w:rsidRPr="001D47B8">
        <w:rPr>
          <w:i/>
          <w:iCs/>
          <w:color w:val="010101"/>
          <w:sz w:val="21"/>
          <w:lang w:val="tr-TR"/>
        </w:rPr>
        <w:t xml:space="preserve"> ile</w:t>
      </w:r>
      <w:r w:rsidR="00A77080" w:rsidRPr="001D47B8">
        <w:rPr>
          <w:i/>
          <w:iCs/>
          <w:color w:val="010101"/>
          <w:sz w:val="21"/>
          <w:lang w:val="tr-TR"/>
        </w:rPr>
        <w:t xml:space="preserve"> sadece hedefleri ile ilgili </w:t>
      </w:r>
      <w:r w:rsidR="00303578" w:rsidRPr="001D47B8">
        <w:rPr>
          <w:i/>
          <w:iCs/>
          <w:color w:val="010101"/>
          <w:sz w:val="21"/>
          <w:lang w:val="tr-TR"/>
        </w:rPr>
        <w:t>konularda değil, aynı zamanda bu hedeflere ulaşma becerilerini etkileme potansiyeli olan kanun değişiklikleri tek</w:t>
      </w:r>
      <w:r w:rsidR="008A17C9" w:rsidRPr="001D47B8">
        <w:rPr>
          <w:i/>
          <w:iCs/>
          <w:color w:val="010101"/>
          <w:sz w:val="21"/>
          <w:lang w:val="tr-TR"/>
        </w:rPr>
        <w:t>lifleri</w:t>
      </w:r>
      <w:r w:rsidR="009703D1" w:rsidRPr="001D47B8">
        <w:rPr>
          <w:i/>
          <w:iCs/>
          <w:color w:val="010101"/>
          <w:sz w:val="21"/>
          <w:lang w:val="tr-TR"/>
        </w:rPr>
        <w:t xml:space="preserve"> hakkında da</w:t>
      </w:r>
      <w:r w:rsidR="008A17C9" w:rsidRPr="001D47B8">
        <w:rPr>
          <w:i/>
          <w:iCs/>
          <w:color w:val="010101"/>
          <w:sz w:val="21"/>
          <w:lang w:val="tr-TR"/>
        </w:rPr>
        <w:t xml:space="preserve"> </w:t>
      </w:r>
      <w:r w:rsidR="009703D1" w:rsidRPr="001D47B8">
        <w:rPr>
          <w:i/>
          <w:iCs/>
          <w:color w:val="010101"/>
          <w:sz w:val="21"/>
          <w:lang w:val="tr-TR"/>
        </w:rPr>
        <w:t>istişare edilmesi</w:t>
      </w:r>
      <w:r w:rsidR="008A17C9" w:rsidRPr="001D47B8">
        <w:rPr>
          <w:i/>
          <w:iCs/>
          <w:color w:val="010101"/>
          <w:sz w:val="21"/>
          <w:lang w:val="tr-TR"/>
        </w:rPr>
        <w:t xml:space="preserve"> zaruridir</w:t>
      </w:r>
      <w:r w:rsidR="009703D1" w:rsidRPr="001D47B8">
        <w:rPr>
          <w:i/>
          <w:iCs/>
          <w:color w:val="010101"/>
          <w:sz w:val="21"/>
          <w:lang w:val="tr-TR"/>
        </w:rPr>
        <w:t>.</w:t>
      </w:r>
      <w:r w:rsidR="009703D1" w:rsidRPr="001D47B8">
        <w:rPr>
          <w:color w:val="010101"/>
          <w:sz w:val="21"/>
          <w:lang w:val="tr-TR"/>
        </w:rPr>
        <w:t xml:space="preserve"> </w:t>
      </w:r>
      <w:r w:rsidR="00AC5038" w:rsidRPr="00FD734F">
        <w:rPr>
          <w:i/>
          <w:iCs/>
          <w:color w:val="010101"/>
          <w:sz w:val="21"/>
          <w:lang w:val="tr-TR"/>
        </w:rPr>
        <w:t>İ</w:t>
      </w:r>
      <w:r w:rsidR="00F624D2" w:rsidRPr="00FD734F">
        <w:rPr>
          <w:i/>
          <w:iCs/>
          <w:color w:val="010101"/>
          <w:sz w:val="21"/>
          <w:lang w:val="tr-TR"/>
        </w:rPr>
        <w:t>stişare</w:t>
      </w:r>
      <w:r w:rsidR="00AC5038" w:rsidRPr="00FD734F">
        <w:rPr>
          <w:i/>
          <w:iCs/>
          <w:color w:val="010101"/>
          <w:sz w:val="21"/>
          <w:lang w:val="tr-TR"/>
        </w:rPr>
        <w:t xml:space="preserve"> yapılması</w:t>
      </w:r>
      <w:r w:rsidR="00F624D2" w:rsidRPr="00FD734F">
        <w:rPr>
          <w:i/>
          <w:iCs/>
          <w:color w:val="010101"/>
          <w:sz w:val="21"/>
          <w:lang w:val="tr-TR"/>
        </w:rPr>
        <w:t xml:space="preserve">, sadece </w:t>
      </w:r>
      <w:r w:rsidR="003370C0" w:rsidRPr="00FD734F">
        <w:rPr>
          <w:i/>
          <w:iCs/>
          <w:color w:val="010101"/>
          <w:sz w:val="21"/>
          <w:lang w:val="tr-TR"/>
        </w:rPr>
        <w:t>değişiklikler</w:t>
      </w:r>
      <w:r w:rsidR="00BB57D4" w:rsidRPr="00FD734F">
        <w:rPr>
          <w:i/>
          <w:iCs/>
          <w:color w:val="010101"/>
          <w:sz w:val="21"/>
          <w:lang w:val="tr-TR"/>
        </w:rPr>
        <w:t>den dolayı</w:t>
      </w:r>
      <w:r w:rsidR="003370C0" w:rsidRPr="00FD734F">
        <w:rPr>
          <w:i/>
          <w:iCs/>
          <w:color w:val="010101"/>
          <w:sz w:val="21"/>
          <w:lang w:val="tr-TR"/>
        </w:rPr>
        <w:t xml:space="preserve"> </w:t>
      </w:r>
      <w:r w:rsidR="005A2865" w:rsidRPr="00FD734F">
        <w:rPr>
          <w:i/>
          <w:iCs/>
          <w:color w:val="010101"/>
          <w:sz w:val="21"/>
          <w:lang w:val="tr-TR"/>
        </w:rPr>
        <w:t xml:space="preserve">STÖ’lerin </w:t>
      </w:r>
      <w:r w:rsidR="003370C0" w:rsidRPr="00FD734F">
        <w:rPr>
          <w:i/>
          <w:iCs/>
          <w:color w:val="010101"/>
          <w:sz w:val="21"/>
          <w:lang w:val="tr-TR"/>
        </w:rPr>
        <w:t>menfaatleri ve demokratik topluma yapabilecekleri önemli katkı</w:t>
      </w:r>
      <w:r w:rsidR="00BB57D4" w:rsidRPr="00FD734F">
        <w:rPr>
          <w:i/>
          <w:iCs/>
          <w:color w:val="010101"/>
          <w:sz w:val="21"/>
          <w:lang w:val="tr-TR"/>
        </w:rPr>
        <w:t xml:space="preserve"> doğrudan etkilenebileceği için değil, aynı zamanda </w:t>
      </w:r>
      <w:r w:rsidR="005A2865">
        <w:rPr>
          <w:i/>
          <w:iCs/>
          <w:color w:val="010101"/>
          <w:sz w:val="21"/>
          <w:lang w:val="tr-TR"/>
        </w:rPr>
        <w:t xml:space="preserve">STÖ’lerin </w:t>
      </w:r>
      <w:r w:rsidR="00F7400D" w:rsidRPr="00FD734F">
        <w:rPr>
          <w:i/>
          <w:iCs/>
          <w:color w:val="010101"/>
          <w:sz w:val="21"/>
          <w:lang w:val="tr-TR"/>
        </w:rPr>
        <w:t>operasyonel deneyimleri sayesinde teklif</w:t>
      </w:r>
      <w:r w:rsidR="000E6149" w:rsidRPr="00FD734F">
        <w:rPr>
          <w:i/>
          <w:iCs/>
          <w:color w:val="010101"/>
          <w:sz w:val="21"/>
          <w:lang w:val="tr-TR"/>
        </w:rPr>
        <w:t xml:space="preserve">in uygulanabilirliği hakkında </w:t>
      </w:r>
      <w:r w:rsidR="00B85CCC" w:rsidRPr="00FD734F">
        <w:rPr>
          <w:i/>
          <w:iCs/>
          <w:color w:val="010101"/>
          <w:sz w:val="21"/>
          <w:lang w:val="tr-TR"/>
        </w:rPr>
        <w:t xml:space="preserve">muhtemelen </w:t>
      </w:r>
      <w:r w:rsidR="000E6149" w:rsidRPr="00FD734F">
        <w:rPr>
          <w:i/>
          <w:iCs/>
          <w:color w:val="010101"/>
          <w:sz w:val="21"/>
          <w:lang w:val="tr-TR"/>
        </w:rPr>
        <w:t xml:space="preserve">faydalı </w:t>
      </w:r>
      <w:r w:rsidR="00663B82" w:rsidRPr="00FD734F">
        <w:rPr>
          <w:i/>
          <w:iCs/>
          <w:color w:val="010101"/>
          <w:sz w:val="21"/>
          <w:lang w:val="tr-TR"/>
        </w:rPr>
        <w:t>öngörü</w:t>
      </w:r>
      <w:r w:rsidR="004654AD" w:rsidRPr="00FD734F">
        <w:rPr>
          <w:i/>
          <w:iCs/>
          <w:color w:val="010101"/>
          <w:sz w:val="21"/>
          <w:lang w:val="tr-TR"/>
        </w:rPr>
        <w:t>ye sahip olmaları</w:t>
      </w:r>
      <w:r w:rsidR="00663B82" w:rsidRPr="00FD734F">
        <w:rPr>
          <w:i/>
          <w:iCs/>
          <w:color w:val="010101"/>
          <w:sz w:val="21"/>
          <w:lang w:val="tr-TR"/>
        </w:rPr>
        <w:t xml:space="preserve"> </w:t>
      </w:r>
      <w:r w:rsidR="00B85CCC" w:rsidRPr="00FD734F">
        <w:rPr>
          <w:i/>
          <w:iCs/>
          <w:color w:val="010101"/>
          <w:sz w:val="21"/>
          <w:lang w:val="tr-TR"/>
        </w:rPr>
        <w:t>nedeniyle gereklidir</w:t>
      </w:r>
      <w:r w:rsidR="00B85CCC" w:rsidRPr="001D47B8">
        <w:rPr>
          <w:color w:val="010101"/>
          <w:sz w:val="21"/>
          <w:lang w:val="tr-TR"/>
        </w:rPr>
        <w:t>.” (parag 139).</w:t>
      </w:r>
      <w:r w:rsidR="00E37CE6" w:rsidRPr="001D47B8">
        <w:rPr>
          <w:rStyle w:val="DipnotBavurusu"/>
          <w:color w:val="010101"/>
          <w:sz w:val="21"/>
          <w:lang w:val="tr-TR"/>
        </w:rPr>
        <w:footnoteReference w:id="71"/>
      </w:r>
      <w:r w:rsidR="005A2865">
        <w:rPr>
          <w:color w:val="010101"/>
          <w:sz w:val="21"/>
          <w:lang w:val="tr-TR"/>
        </w:rPr>
        <w:t xml:space="preserve"> </w:t>
      </w:r>
    </w:p>
    <w:p w14:paraId="7E77E9F3" w14:textId="77777777" w:rsidR="0075060D" w:rsidRPr="001D47B8" w:rsidRDefault="0075060D" w:rsidP="00FB2112">
      <w:pPr>
        <w:pStyle w:val="ListeParagraf"/>
        <w:tabs>
          <w:tab w:val="left" w:pos="670"/>
        </w:tabs>
        <w:spacing w:line="252" w:lineRule="auto"/>
        <w:ind w:left="127" w:right="322" w:firstLine="0"/>
        <w:rPr>
          <w:color w:val="010101"/>
          <w:sz w:val="21"/>
          <w:lang w:val="tr-TR"/>
        </w:rPr>
      </w:pPr>
    </w:p>
    <w:p w14:paraId="3992F66F" w14:textId="1B60ABDE" w:rsidR="00065259" w:rsidRDefault="00065259" w:rsidP="001C4B9F">
      <w:pPr>
        <w:pStyle w:val="ListeParagraf"/>
        <w:numPr>
          <w:ilvl w:val="0"/>
          <w:numId w:val="6"/>
        </w:numPr>
        <w:tabs>
          <w:tab w:val="left" w:pos="671"/>
        </w:tabs>
        <w:spacing w:line="252" w:lineRule="auto"/>
        <w:ind w:right="327" w:firstLine="4"/>
        <w:rPr>
          <w:color w:val="010101"/>
          <w:sz w:val="21"/>
          <w:lang w:val="tr-TR"/>
        </w:rPr>
      </w:pPr>
      <w:r>
        <w:rPr>
          <w:color w:val="010101"/>
          <w:sz w:val="21"/>
          <w:lang w:val="tr-TR"/>
        </w:rPr>
        <w:t>Komisyon</w:t>
      </w:r>
      <w:r w:rsidR="00897F47">
        <w:rPr>
          <w:color w:val="010101"/>
          <w:sz w:val="21"/>
          <w:lang w:val="tr-TR"/>
        </w:rPr>
        <w:t>, mevzuat sürecinin usule ilişkin bu unsurunu defalarca vurgulamıştır</w:t>
      </w:r>
      <w:r w:rsidR="00C300DC">
        <w:rPr>
          <w:color w:val="010101"/>
          <w:sz w:val="21"/>
          <w:lang w:val="tr-TR"/>
        </w:rPr>
        <w:t xml:space="preserve">: </w:t>
      </w:r>
      <w:r w:rsidR="004E55DF">
        <w:rPr>
          <w:color w:val="010101"/>
          <w:sz w:val="21"/>
          <w:lang w:val="tr-TR"/>
        </w:rPr>
        <w:t>mevzuatın kabul edilmesind</w:t>
      </w:r>
      <w:r w:rsidR="00266E18">
        <w:rPr>
          <w:color w:val="010101"/>
          <w:sz w:val="21"/>
          <w:lang w:val="tr-TR"/>
        </w:rPr>
        <w:t>en</w:t>
      </w:r>
      <w:r w:rsidR="004E55DF">
        <w:rPr>
          <w:color w:val="010101"/>
          <w:sz w:val="21"/>
          <w:lang w:val="tr-TR"/>
        </w:rPr>
        <w:t xml:space="preserve"> önce</w:t>
      </w:r>
      <w:r w:rsidR="00266E18">
        <w:rPr>
          <w:color w:val="010101"/>
          <w:sz w:val="21"/>
          <w:lang w:val="tr-TR"/>
        </w:rPr>
        <w:t xml:space="preserve"> sivil toplum örgütleriyle kamu istişaresi yapılması ve kamuoyun</w:t>
      </w:r>
      <w:r w:rsidR="006C24C0">
        <w:rPr>
          <w:color w:val="010101"/>
          <w:sz w:val="21"/>
          <w:lang w:val="tr-TR"/>
        </w:rPr>
        <w:t>da</w:t>
      </w:r>
      <w:r w:rsidR="00266E18">
        <w:rPr>
          <w:color w:val="010101"/>
          <w:sz w:val="21"/>
          <w:lang w:val="tr-TR"/>
        </w:rPr>
        <w:t xml:space="preserve"> güven</w:t>
      </w:r>
      <w:r w:rsidR="006C24C0">
        <w:rPr>
          <w:color w:val="010101"/>
          <w:sz w:val="21"/>
          <w:lang w:val="tr-TR"/>
        </w:rPr>
        <w:t xml:space="preserve"> oluşması. Dolayısıyla mevzuatın kabul </w:t>
      </w:r>
      <w:r w:rsidR="001A41EC">
        <w:rPr>
          <w:color w:val="010101"/>
          <w:sz w:val="21"/>
          <w:lang w:val="tr-TR"/>
        </w:rPr>
        <w:t>edilme</w:t>
      </w:r>
      <w:r w:rsidR="00F2568B">
        <w:rPr>
          <w:color w:val="010101"/>
          <w:sz w:val="21"/>
          <w:lang w:val="tr-TR"/>
        </w:rPr>
        <w:t>den</w:t>
      </w:r>
      <w:r w:rsidR="006C24C0">
        <w:rPr>
          <w:color w:val="010101"/>
          <w:sz w:val="21"/>
          <w:lang w:val="tr-TR"/>
        </w:rPr>
        <w:t xml:space="preserve"> önce sivil toplum örgütleri</w:t>
      </w:r>
      <w:r w:rsidR="00AC35CD">
        <w:rPr>
          <w:color w:val="010101"/>
          <w:sz w:val="21"/>
          <w:lang w:val="tr-TR"/>
        </w:rPr>
        <w:t xml:space="preserve"> ile istişare yapılması, Avrupa ülkelerinin yerel mevzuat </w:t>
      </w:r>
      <w:r w:rsidR="00E5334B">
        <w:rPr>
          <w:color w:val="010101"/>
          <w:sz w:val="21"/>
          <w:lang w:val="tr-TR"/>
        </w:rPr>
        <w:t>süreçlerinde uymaya çalışması gereken iyi uygulamaların bir parçasıdır.</w:t>
      </w:r>
      <w:r w:rsidR="00BE5CFB">
        <w:rPr>
          <w:rStyle w:val="DipnotBavurusu"/>
          <w:color w:val="010101"/>
          <w:sz w:val="21"/>
          <w:lang w:val="tr-TR"/>
        </w:rPr>
        <w:footnoteReference w:id="72"/>
      </w:r>
      <w:r w:rsidR="00E5334B">
        <w:rPr>
          <w:color w:val="010101"/>
          <w:sz w:val="21"/>
          <w:lang w:val="tr-TR"/>
        </w:rPr>
        <w:t xml:space="preserve"> </w:t>
      </w:r>
      <w:r w:rsidR="00F2568B">
        <w:rPr>
          <w:color w:val="010101"/>
          <w:sz w:val="21"/>
          <w:lang w:val="tr-TR"/>
        </w:rPr>
        <w:t xml:space="preserve">7262 </w:t>
      </w:r>
      <w:r w:rsidR="00324644">
        <w:rPr>
          <w:color w:val="010101"/>
          <w:sz w:val="21"/>
          <w:lang w:val="tr-TR"/>
        </w:rPr>
        <w:t>sayılı</w:t>
      </w:r>
      <w:r w:rsidR="00F2568B">
        <w:rPr>
          <w:color w:val="010101"/>
          <w:sz w:val="21"/>
          <w:lang w:val="tr-TR"/>
        </w:rPr>
        <w:t xml:space="preserve"> Kanunun hızlı bir şekilde kabul edil</w:t>
      </w:r>
      <w:r w:rsidR="00324644">
        <w:rPr>
          <w:color w:val="010101"/>
          <w:sz w:val="21"/>
          <w:lang w:val="tr-TR"/>
        </w:rPr>
        <w:t>işi</w:t>
      </w:r>
      <w:r w:rsidR="00BE5CFB">
        <w:rPr>
          <w:color w:val="010101"/>
          <w:sz w:val="21"/>
          <w:lang w:val="tr-TR"/>
        </w:rPr>
        <w:t>nde,</w:t>
      </w:r>
      <w:r w:rsidR="00F2568B">
        <w:rPr>
          <w:color w:val="010101"/>
          <w:sz w:val="21"/>
          <w:lang w:val="tr-TR"/>
        </w:rPr>
        <w:t xml:space="preserve"> yukarıda bahsedilen şartlara</w:t>
      </w:r>
      <w:r w:rsidR="00324644">
        <w:rPr>
          <w:color w:val="010101"/>
          <w:sz w:val="21"/>
          <w:lang w:val="tr-TR"/>
        </w:rPr>
        <w:t xml:space="preserve"> uy</w:t>
      </w:r>
      <w:r w:rsidR="00BE5CFB">
        <w:rPr>
          <w:color w:val="010101"/>
          <w:sz w:val="21"/>
          <w:lang w:val="tr-TR"/>
        </w:rPr>
        <w:t>ul</w:t>
      </w:r>
      <w:r w:rsidR="00324644">
        <w:rPr>
          <w:color w:val="010101"/>
          <w:sz w:val="21"/>
          <w:lang w:val="tr-TR"/>
        </w:rPr>
        <w:t xml:space="preserve">madığı görülmektedir. </w:t>
      </w:r>
    </w:p>
    <w:p w14:paraId="50F07915" w14:textId="77777777" w:rsidR="00FB017D" w:rsidRPr="00FB017D" w:rsidRDefault="00FB017D" w:rsidP="00FB017D">
      <w:pPr>
        <w:pStyle w:val="ListeParagraf"/>
        <w:rPr>
          <w:color w:val="010101"/>
          <w:sz w:val="21"/>
          <w:lang w:val="tr-TR"/>
        </w:rPr>
      </w:pPr>
    </w:p>
    <w:p w14:paraId="4BD4FEAB" w14:textId="77777777" w:rsidR="00FB017D" w:rsidRDefault="00FB017D" w:rsidP="00FB017D">
      <w:pPr>
        <w:pStyle w:val="Balk2"/>
      </w:pPr>
      <w:bookmarkStart w:id="11" w:name="_TOC_250000"/>
      <w:r>
        <w:rPr>
          <w:color w:val="010101"/>
          <w:w w:val="105"/>
          <w:lang w:val="tr-TR" w:bidi="tr-TR"/>
        </w:rPr>
        <w:t xml:space="preserve">IV. </w:t>
      </w:r>
      <w:bookmarkEnd w:id="11"/>
      <w:r>
        <w:rPr>
          <w:color w:val="010101"/>
          <w:w w:val="105"/>
          <w:lang w:val="tr-TR" w:bidi="tr-TR"/>
        </w:rPr>
        <w:t>Sonuç</w:t>
      </w:r>
    </w:p>
    <w:p w14:paraId="453AB35F" w14:textId="77777777" w:rsidR="00FB017D" w:rsidRDefault="00FB017D" w:rsidP="00FB017D">
      <w:pPr>
        <w:pStyle w:val="GvdeMetni"/>
        <w:spacing w:before="10"/>
        <w:rPr>
          <w:b/>
          <w:sz w:val="22"/>
        </w:rPr>
      </w:pPr>
    </w:p>
    <w:p w14:paraId="780027C3" w14:textId="77777777" w:rsidR="00FB017D" w:rsidRPr="00CD4D3F" w:rsidRDefault="00FB017D" w:rsidP="00FB017D">
      <w:pPr>
        <w:pStyle w:val="ListeParagraf"/>
        <w:numPr>
          <w:ilvl w:val="0"/>
          <w:numId w:val="6"/>
        </w:numPr>
        <w:tabs>
          <w:tab w:val="left" w:pos="671"/>
        </w:tabs>
        <w:spacing w:line="252" w:lineRule="auto"/>
        <w:ind w:right="326" w:firstLine="4"/>
        <w:rPr>
          <w:color w:val="010101"/>
          <w:sz w:val="21"/>
          <w:lang w:val="tr-TR"/>
        </w:rPr>
      </w:pPr>
      <w:r>
        <w:rPr>
          <w:color w:val="010101"/>
          <w:sz w:val="21"/>
          <w:lang w:val="tr-TR" w:bidi="tr-TR"/>
        </w:rPr>
        <w:t>Venedik Komisyonu, Türkiye'nin karşı karşıya kaldığı zor güvenlik durumunun ve yetkililerin terörle mücadelede finansmanına karşı alınacak tedbirler de dahil olmak üzere etkili tedbirler getirme arzusunun tamamen farkındadır. Ancak Komisyon, Türk makamlarına bu gibi durumlarda bile Üye Devletlerin terörle mücadele için her türlü adımı atarken uluslararası hukuk, özellikle uluslararası insan hakları hukuku, uluslararası mülteci hukuku ve uluslararası insani hukuk gibi tüm yükümlülüklerine uymak zorunda olduğunu hatırlatmak ister. İnsan haklarına ve Hukukun Üstünlüğüne saygı, her türlü başarılı terörle mücadele çabasının önemli bir parçasıdır.</w:t>
      </w:r>
    </w:p>
    <w:p w14:paraId="39026564" w14:textId="77777777" w:rsidR="00FB017D" w:rsidRPr="00CD4D3F" w:rsidRDefault="00FB017D" w:rsidP="00FB017D">
      <w:pPr>
        <w:pStyle w:val="GvdeMetni"/>
        <w:spacing w:before="1"/>
        <w:rPr>
          <w:sz w:val="22"/>
          <w:lang w:val="tr-TR"/>
        </w:rPr>
      </w:pPr>
    </w:p>
    <w:p w14:paraId="2BF8896B" w14:textId="77777777" w:rsidR="00FB017D" w:rsidRPr="00CD4D3F" w:rsidRDefault="00FB017D" w:rsidP="00FB017D">
      <w:pPr>
        <w:pStyle w:val="ListeParagraf"/>
        <w:numPr>
          <w:ilvl w:val="0"/>
          <w:numId w:val="6"/>
        </w:numPr>
        <w:tabs>
          <w:tab w:val="left" w:pos="671"/>
        </w:tabs>
        <w:spacing w:line="252" w:lineRule="auto"/>
        <w:ind w:right="322" w:firstLine="4"/>
        <w:rPr>
          <w:color w:val="010101"/>
          <w:sz w:val="21"/>
          <w:lang w:val="tr-TR"/>
        </w:rPr>
      </w:pPr>
      <w:r>
        <w:rPr>
          <w:color w:val="010101"/>
          <w:w w:val="105"/>
          <w:sz w:val="21"/>
          <w:lang w:val="tr-TR" w:bidi="tr-TR"/>
        </w:rPr>
        <w:t xml:space="preserve">Venedik Komisyonu, yasa koyucunun amacının </w:t>
      </w:r>
      <w:r>
        <w:rPr>
          <w:color w:val="010101"/>
          <w:sz w:val="21"/>
          <w:lang w:val="tr-TR" w:bidi="tr-TR"/>
        </w:rPr>
        <w:t xml:space="preserve">2019 FATF Türkiye raporundaki tavsiyelere ve kanunda belirtilen ilgili BMGK Kararlarına uymak olduğu konusunda bilgilendirilmiştir. Bununla birlikte, Venedik Komisyonu, yeni hükümlerin, amaçları ve kayda geçen faaliyetlerinden bağımsız olarak tüm dernekler için geçerli olması ve temel insan hakları, özellikle </w:t>
      </w:r>
      <w:r>
        <w:rPr>
          <w:color w:val="010101"/>
          <w:sz w:val="21"/>
          <w:lang w:val="tr-TR" w:bidi="tr-TR"/>
        </w:rPr>
        <w:lastRenderedPageBreak/>
        <w:t xml:space="preserve">de örgütlenme ve ifade özgürlüğü ve adil yargılanma hakkı açısından çok geniş sonuçlara yol açması nedeniyle, yasa koyucunun 7262 sayılı Kanunun 7-17 maddelerinde seçtiği çözümün bu kapsamın ötesine </w:t>
      </w:r>
      <w:r>
        <w:rPr>
          <w:color w:val="010101"/>
          <w:w w:val="105"/>
          <w:sz w:val="21"/>
          <w:lang w:val="tr-TR" w:bidi="tr-TR"/>
        </w:rPr>
        <w:t xml:space="preserve">geçtiğini endişe ile kayda geçmektedir. </w:t>
      </w:r>
    </w:p>
    <w:p w14:paraId="78BC8A69" w14:textId="77777777" w:rsidR="00FB017D" w:rsidRPr="00CD4D3F" w:rsidRDefault="00FB017D" w:rsidP="00FB017D">
      <w:pPr>
        <w:pStyle w:val="GvdeMetni"/>
        <w:rPr>
          <w:sz w:val="22"/>
          <w:lang w:val="tr-TR"/>
        </w:rPr>
      </w:pPr>
    </w:p>
    <w:p w14:paraId="7416D55A" w14:textId="77777777" w:rsidR="00FB017D" w:rsidRPr="00CD4D3F" w:rsidRDefault="00FB017D" w:rsidP="00FB017D">
      <w:pPr>
        <w:pStyle w:val="ListeParagraf"/>
        <w:numPr>
          <w:ilvl w:val="0"/>
          <w:numId w:val="6"/>
        </w:numPr>
        <w:tabs>
          <w:tab w:val="left" w:pos="671"/>
        </w:tabs>
        <w:spacing w:line="252" w:lineRule="auto"/>
        <w:ind w:left="124" w:right="321" w:firstLine="3"/>
        <w:rPr>
          <w:color w:val="010101"/>
          <w:sz w:val="21"/>
          <w:lang w:val="tr-TR"/>
        </w:rPr>
      </w:pPr>
      <w:r>
        <w:rPr>
          <w:color w:val="010101"/>
          <w:sz w:val="21"/>
          <w:lang w:val="tr-TR" w:bidi="tr-TR"/>
        </w:rPr>
        <w:t xml:space="preserve">Venedik Komisyonu, demokratik bakış açısından sorunlu şekilde, kanunun “zorlayıcı gücünün” kaderini belirleyebileceği toplumun gözünde adalet ve adil tutuma uygun olup olmadığına bağlı olması nedeniyle meşruluğunu ve kabul edilebilirliğini azaltarak, söz konusu kanunun sivil toplum ve diğer paydaşlarla herhangi bir istişarede bulunmadan aceleyle kabul edilmiş olmasını üzüntü ile karşılamaktadır.  Tüm paydaşlar ve sivil toplum ile istişareler, bir devletin uymak zorunda olduğu diğer taahhütlerden bağımsız </w:t>
      </w:r>
      <w:r w:rsidRPr="00CD4D3F">
        <w:rPr>
          <w:color w:val="000000" w:themeColor="text1"/>
          <w:sz w:val="21"/>
          <w:lang w:val="tr-TR" w:bidi="tr-TR"/>
        </w:rPr>
        <w:t xml:space="preserve">olarak gerçekleşmelidir. </w:t>
      </w:r>
    </w:p>
    <w:p w14:paraId="2B03DD99" w14:textId="77777777" w:rsidR="00FB017D" w:rsidRPr="00CD4D3F" w:rsidRDefault="00FB017D" w:rsidP="00FB017D">
      <w:pPr>
        <w:pStyle w:val="GvdeMetni"/>
        <w:spacing w:before="11"/>
        <w:rPr>
          <w:lang w:val="tr-TR"/>
        </w:rPr>
      </w:pPr>
    </w:p>
    <w:p w14:paraId="4E5912D1" w14:textId="77777777" w:rsidR="00FB017D" w:rsidRPr="00CD4D3F" w:rsidRDefault="00FB017D" w:rsidP="00FB017D">
      <w:pPr>
        <w:pStyle w:val="ListeParagraf"/>
        <w:numPr>
          <w:ilvl w:val="0"/>
          <w:numId w:val="6"/>
        </w:numPr>
        <w:tabs>
          <w:tab w:val="left" w:pos="666"/>
        </w:tabs>
        <w:spacing w:line="252" w:lineRule="auto"/>
        <w:ind w:left="124" w:right="322" w:firstLine="3"/>
        <w:rPr>
          <w:color w:val="010101"/>
          <w:sz w:val="21"/>
          <w:lang w:val="tr-TR"/>
        </w:rPr>
      </w:pPr>
      <w:r>
        <w:rPr>
          <w:color w:val="010101"/>
          <w:sz w:val="21"/>
          <w:lang w:val="tr-TR" w:bidi="tr-TR"/>
        </w:rPr>
        <w:t>Venedik Komisyonu, derneklerin yardım toplama faaliyetleriyle ilgili hükümlerin örgütlenme özgürlüklerinin ciddi bir şekilde kısıtlanmasıyla sonuçlanabileceği görüşündedir. Komisyon, fonların terör faaliyetlerini finanse etmek için kullanılma riski olduğunu kabul etmektedir.  Ancak yardım toplama ile ilgili yeni yasal hükümler,  ayrım gözetmeyen bir kapsamda ele alındıklarında, gereklilik ve orantılılık gereklerini  karşılam</w:t>
      </w:r>
      <w:r w:rsidRPr="00CD4D3F">
        <w:rPr>
          <w:color w:val="000000" w:themeColor="text1"/>
          <w:sz w:val="21"/>
          <w:lang w:val="tr-TR" w:bidi="tr-TR"/>
        </w:rPr>
        <w:t xml:space="preserve">ıyor gibi görünmektedir. </w:t>
      </w:r>
      <w:r>
        <w:rPr>
          <w:color w:val="010101"/>
          <w:sz w:val="21"/>
          <w:lang w:val="tr-TR" w:bidi="tr-TR"/>
        </w:rPr>
        <w:t>Öte yandan, Yardım Toplama Kanunu'nda yapılan değişikliklerin anlatım biçimindeki belirsizlik ve izin başvurularına dair açık ve nesnel ölçütlerin yokluğunda hükümetin çevrimiçi bağış toplama girişimleri üzerindeki kontrolü, yetkililerin kapsamlı şekilde yaptırımları uygulayabilmesi ile birlikte dikkate alındığında, STÖ'lerin meşru fon toplama faaliyetlerini olumsuz etkileyebilir ve bu nedenle örgütlenme özgürlüğü hakları ihlal edilebilir.</w:t>
      </w:r>
    </w:p>
    <w:p w14:paraId="4A33CCC4" w14:textId="77777777" w:rsidR="00FB017D" w:rsidRPr="00CD4D3F" w:rsidRDefault="00FB017D" w:rsidP="00FB017D">
      <w:pPr>
        <w:pStyle w:val="GvdeMetni"/>
        <w:rPr>
          <w:sz w:val="22"/>
          <w:lang w:val="tr-TR"/>
        </w:rPr>
      </w:pPr>
    </w:p>
    <w:p w14:paraId="754CF432" w14:textId="77777777" w:rsidR="00FB017D" w:rsidRPr="00CD4D3F" w:rsidRDefault="00FB017D" w:rsidP="00FB017D">
      <w:pPr>
        <w:pStyle w:val="ListeParagraf"/>
        <w:numPr>
          <w:ilvl w:val="0"/>
          <w:numId w:val="6"/>
        </w:numPr>
        <w:tabs>
          <w:tab w:val="left" w:pos="671"/>
        </w:tabs>
        <w:spacing w:before="1" w:line="252" w:lineRule="auto"/>
        <w:ind w:left="124" w:right="322" w:firstLine="3"/>
        <w:rPr>
          <w:lang w:val="tr-TR"/>
        </w:rPr>
      </w:pPr>
      <w:r>
        <w:rPr>
          <w:color w:val="010101"/>
          <w:sz w:val="21"/>
          <w:lang w:val="tr-TR" w:bidi="tr-TR"/>
        </w:rPr>
        <w:t>Risk değerlendirmesinde şeffaflığın bulunmaması ve bunun terör oluşumları tarafından finansmana açık olduğu belirlenen STÖ’ler yerine tüm sivil toplum sektörüne ayrım gözetmeksizin uygulanması,</w:t>
      </w:r>
      <w:r>
        <w:rPr>
          <w:color w:val="010101"/>
          <w:sz w:val="21"/>
          <w:szCs w:val="21"/>
          <w:lang w:val="tr-TR" w:bidi="tr-TR"/>
        </w:rPr>
        <w:t xml:space="preserve"> önerilen</w:t>
      </w:r>
      <w:r>
        <w:rPr>
          <w:color w:val="010101"/>
          <w:lang w:val="tr-TR" w:bidi="tr-TR"/>
        </w:rPr>
        <w:t xml:space="preserve"> denetimlerin, "risk değerlendirmesi" yapma bahanesiyle sivil toplum aktivizmini caydırma amacıyla kötüye kullanılmasına neden olabilir. Önerilen denetim sistemi, gerekli ve orantılı olanın sınırını aşmakta; getirilen önlemler aşırı geniş kapsamlı görünmektedir ve denetim yükümlülüklerinin ihlali nedeniyle artan yaptırımlar nedeniyle de STÖ'ler üzerinde soğutma etkisine sahip olacaktır. </w:t>
      </w:r>
    </w:p>
    <w:p w14:paraId="244116AE" w14:textId="77777777" w:rsidR="00FB017D" w:rsidRPr="00CD4D3F" w:rsidRDefault="00FB017D" w:rsidP="00FB017D">
      <w:pPr>
        <w:pStyle w:val="GvdeMetni"/>
        <w:spacing w:before="3"/>
        <w:rPr>
          <w:sz w:val="22"/>
          <w:lang w:val="tr-TR"/>
        </w:rPr>
      </w:pPr>
    </w:p>
    <w:p w14:paraId="700FD611" w14:textId="77777777" w:rsidR="00FB017D" w:rsidRPr="00CD4D3F" w:rsidRDefault="00FB017D" w:rsidP="00FB017D">
      <w:pPr>
        <w:pStyle w:val="ListeParagraf"/>
        <w:numPr>
          <w:ilvl w:val="0"/>
          <w:numId w:val="6"/>
        </w:numPr>
        <w:tabs>
          <w:tab w:val="left" w:pos="671"/>
        </w:tabs>
        <w:spacing w:line="252" w:lineRule="auto"/>
        <w:ind w:right="327" w:firstLine="4"/>
        <w:rPr>
          <w:color w:val="010101"/>
          <w:sz w:val="21"/>
          <w:lang w:val="tr-TR"/>
        </w:rPr>
      </w:pPr>
      <w:r>
        <w:rPr>
          <w:color w:val="010101"/>
          <w:sz w:val="21"/>
          <w:lang w:val="tr-TR" w:bidi="tr-TR"/>
        </w:rPr>
        <w:t>Dernekler Kanunu'nda yapılan değişiklikler, yetkililerin yönetim kurulu üyelerini adli inceleme yapılmadan görevden almalarını ve yerlerine ilgili dernek üyelerinin onayına ihtiyaç duymayan kayyumların atanmasını sağlamaktadır. Sonuç olarak, bir veya daha fazla kişinin dernek organlarına onay almadan ve dernek ile üyelerinin yararına hareket ettiklerine dair açık bir teminat olmaksızın yerleştirilmesi, derneklerin kendi işlerini yürütme hakkının ciddi bir ihlali anlamına gelmektedir.</w:t>
      </w:r>
    </w:p>
    <w:p w14:paraId="2A94479B" w14:textId="77777777" w:rsidR="00FB017D" w:rsidRPr="00CD4D3F" w:rsidRDefault="00FB017D" w:rsidP="00FB017D">
      <w:pPr>
        <w:pStyle w:val="GvdeMetni"/>
        <w:spacing w:before="5"/>
        <w:rPr>
          <w:lang w:val="tr-TR"/>
        </w:rPr>
      </w:pPr>
    </w:p>
    <w:p w14:paraId="158BE1D9" w14:textId="77777777" w:rsidR="00FB017D" w:rsidRPr="00CD4D3F" w:rsidRDefault="00FB017D" w:rsidP="00FB017D">
      <w:pPr>
        <w:pStyle w:val="ListeParagraf"/>
        <w:numPr>
          <w:ilvl w:val="0"/>
          <w:numId w:val="6"/>
        </w:numPr>
        <w:tabs>
          <w:tab w:val="left" w:pos="606"/>
        </w:tabs>
        <w:spacing w:line="252" w:lineRule="auto"/>
        <w:ind w:left="125" w:right="322" w:firstLine="2"/>
        <w:rPr>
          <w:color w:val="010101"/>
          <w:sz w:val="21"/>
          <w:lang w:val="tr-TR"/>
        </w:rPr>
      </w:pPr>
      <w:r>
        <w:rPr>
          <w:color w:val="010101"/>
          <w:sz w:val="21"/>
          <w:lang w:val="tr-TR" w:bidi="tr-TR"/>
        </w:rPr>
        <w:t>Bir derneğin feshine yol açan askıya alma kararı İçişleri Bakanı tarafından verilemez ve bunun için mahkeme kararına gerek duyulurken, bu tür bir karar sadece bir son çare tedbiri olarak, orantılılık ilkesine uygun ve yeterli adil yargılanma teminatı ile alınmalıdır.</w:t>
      </w:r>
    </w:p>
    <w:p w14:paraId="326401D2" w14:textId="77777777" w:rsidR="00FB017D" w:rsidRPr="00CD4D3F" w:rsidRDefault="00FB017D" w:rsidP="00FB017D">
      <w:pPr>
        <w:pStyle w:val="GvdeMetni"/>
        <w:spacing w:before="2"/>
        <w:rPr>
          <w:sz w:val="22"/>
          <w:lang w:val="tr-TR"/>
        </w:rPr>
      </w:pPr>
    </w:p>
    <w:p w14:paraId="41A6B3C6" w14:textId="77777777" w:rsidR="00FB017D" w:rsidRPr="00CD4D3F" w:rsidRDefault="00FB017D" w:rsidP="00FB017D">
      <w:pPr>
        <w:pStyle w:val="ListeParagraf"/>
        <w:numPr>
          <w:ilvl w:val="0"/>
          <w:numId w:val="6"/>
        </w:numPr>
        <w:tabs>
          <w:tab w:val="left" w:pos="668"/>
        </w:tabs>
        <w:spacing w:line="252" w:lineRule="auto"/>
        <w:ind w:left="124" w:right="317" w:firstLine="3"/>
        <w:rPr>
          <w:color w:val="010101"/>
          <w:sz w:val="21"/>
          <w:lang w:val="tr-TR"/>
        </w:rPr>
      </w:pPr>
      <w:r>
        <w:rPr>
          <w:color w:val="010101"/>
          <w:sz w:val="21"/>
          <w:lang w:val="tr-TR" w:bidi="tr-TR"/>
        </w:rPr>
        <w:t>Türkiye'deki faaliyetleri için, veri raporlama hükümleri de dahil, Türk hukukuna tabi olan yabancı dernekler, söz konusu değişikliklerdeki kusurlardan eşit derecede etkilenmektedir. Ayrıca, bunlara Türkiye'de herhangi bir işbirliği faaliyeti için izin alma yükümlülüğünün getirilmesi, gereklilik ve orantılılık gereklerini karşılamamaktadır.</w:t>
      </w:r>
    </w:p>
    <w:p w14:paraId="334B8EA5" w14:textId="77777777" w:rsidR="00FB017D" w:rsidRPr="00CD4D3F" w:rsidRDefault="00FB017D" w:rsidP="00FB017D">
      <w:pPr>
        <w:pStyle w:val="GvdeMetni"/>
        <w:spacing w:before="1"/>
        <w:rPr>
          <w:sz w:val="22"/>
          <w:lang w:val="tr-TR"/>
        </w:rPr>
      </w:pPr>
    </w:p>
    <w:p w14:paraId="74AC1001" w14:textId="77777777" w:rsidR="00FB017D" w:rsidRPr="00CD4D3F" w:rsidRDefault="00FB017D" w:rsidP="00FB017D">
      <w:pPr>
        <w:pStyle w:val="ListeParagraf"/>
        <w:numPr>
          <w:ilvl w:val="0"/>
          <w:numId w:val="6"/>
        </w:numPr>
        <w:tabs>
          <w:tab w:val="left" w:pos="671"/>
        </w:tabs>
        <w:ind w:left="670" w:hanging="544"/>
        <w:rPr>
          <w:color w:val="010101"/>
          <w:sz w:val="21"/>
          <w:lang w:val="tr-TR"/>
        </w:rPr>
      </w:pPr>
      <w:r>
        <w:rPr>
          <w:color w:val="010101"/>
          <w:sz w:val="21"/>
          <w:lang w:val="tr-TR" w:bidi="tr-TR"/>
        </w:rPr>
        <w:t>Venedik Komisyonu bu nedenle aşağıdaki önemli önerileri yapmaktadır:</w:t>
      </w:r>
    </w:p>
    <w:p w14:paraId="07EEDBD2" w14:textId="77777777" w:rsidR="00FB017D" w:rsidRPr="00CD4D3F" w:rsidRDefault="00FB017D" w:rsidP="00FB017D">
      <w:pPr>
        <w:pStyle w:val="GvdeMetni"/>
        <w:spacing w:before="3"/>
        <w:rPr>
          <w:sz w:val="23"/>
          <w:lang w:val="tr-TR"/>
        </w:rPr>
      </w:pPr>
    </w:p>
    <w:p w14:paraId="7173B8AA" w14:textId="77777777" w:rsidR="00FB017D" w:rsidRPr="00CD4D3F" w:rsidRDefault="00FB017D" w:rsidP="00FB017D">
      <w:pPr>
        <w:pStyle w:val="GvdeMetni"/>
        <w:spacing w:before="1" w:line="249" w:lineRule="auto"/>
        <w:ind w:left="848" w:right="329" w:hanging="1"/>
        <w:jc w:val="both"/>
        <w:rPr>
          <w:lang w:val="tr-TR"/>
        </w:rPr>
      </w:pPr>
      <w:r>
        <w:rPr>
          <w:color w:val="010101"/>
          <w:lang w:val="tr-TR" w:bidi="tr-TR"/>
        </w:rPr>
        <w:t>Derneklerin kaynak arama hakkına sadece AİHS Madde 11(2) ve ICCPR Madde 22(2)'de bahsi geçen şekliyle meşru bir amaca ulaşmak için demokratik bir toplumda kısıtlamanın gerekli olduğu durumlarda sınırlama getirilmesi;</w:t>
      </w:r>
    </w:p>
    <w:p w14:paraId="7F80467E" w14:textId="77777777" w:rsidR="00FB017D" w:rsidRPr="00CD4D3F" w:rsidRDefault="00FB017D" w:rsidP="00FB017D">
      <w:pPr>
        <w:pStyle w:val="GvdeMetni"/>
        <w:spacing w:before="2"/>
        <w:rPr>
          <w:sz w:val="22"/>
          <w:lang w:val="tr-TR"/>
        </w:rPr>
      </w:pPr>
    </w:p>
    <w:p w14:paraId="771D4FF9" w14:textId="77777777" w:rsidR="00FB017D" w:rsidRPr="00CD4D3F" w:rsidRDefault="00FB017D" w:rsidP="00FB017D">
      <w:pPr>
        <w:pStyle w:val="GvdeMetni"/>
        <w:spacing w:line="252" w:lineRule="auto"/>
        <w:ind w:left="848" w:right="327" w:hanging="1"/>
        <w:jc w:val="both"/>
        <w:rPr>
          <w:lang w:val="tr-TR"/>
        </w:rPr>
      </w:pPr>
      <w:r>
        <w:rPr>
          <w:color w:val="010101"/>
          <w:lang w:val="tr-TR" w:bidi="tr-TR"/>
        </w:rPr>
        <w:t>Müfettişlerin bağış toplama faaliyetlerinde bulunanlardan bilgi ve belge talep etme yetkisinin, sivil toplum kuruluşlarının ilişkilerinin, üyelerinin ve kurucularının gizlilik hakkına uygun olarak, sadece belirli bir denetim faaliyeti çerçevesinde ve denetim kapsamında konuyla ilgili olarak kullanılmasının sağlanması;</w:t>
      </w:r>
    </w:p>
    <w:p w14:paraId="3A91FB91" w14:textId="77777777" w:rsidR="00FB017D" w:rsidRPr="00CD4D3F" w:rsidRDefault="00FB017D" w:rsidP="00FB017D">
      <w:pPr>
        <w:pStyle w:val="GvdeMetni"/>
        <w:spacing w:before="2"/>
        <w:rPr>
          <w:sz w:val="22"/>
          <w:lang w:val="tr-TR"/>
        </w:rPr>
      </w:pPr>
    </w:p>
    <w:p w14:paraId="0D6CCA1D" w14:textId="77777777" w:rsidR="00FB017D" w:rsidRPr="00CD4D3F" w:rsidRDefault="00FB017D" w:rsidP="00FB017D">
      <w:pPr>
        <w:pStyle w:val="GvdeMetni"/>
        <w:spacing w:line="252" w:lineRule="auto"/>
        <w:ind w:left="848" w:right="322" w:hanging="1"/>
        <w:jc w:val="both"/>
        <w:rPr>
          <w:lang w:val="tr-TR"/>
        </w:rPr>
      </w:pPr>
      <w:r>
        <w:rPr>
          <w:color w:val="010101"/>
          <w:lang w:val="tr-TR" w:bidi="tr-TR"/>
        </w:rPr>
        <w:t>Terörle ilgili suçlardan hüküm giyenlerle ilgili olarak bir STÖ içinde yeniden yönetici pozisyonuna girme yasağını uygularken orantılılık ilkesine uygunluğun sağlanması;</w:t>
      </w:r>
    </w:p>
    <w:p w14:paraId="2192653F" w14:textId="77777777" w:rsidR="00FB017D" w:rsidRPr="00CD4D3F" w:rsidRDefault="00FB017D" w:rsidP="00FB017D">
      <w:pPr>
        <w:pStyle w:val="GvdeMetni"/>
        <w:rPr>
          <w:sz w:val="22"/>
          <w:lang w:val="tr-TR"/>
        </w:rPr>
      </w:pPr>
    </w:p>
    <w:p w14:paraId="0842E9E6" w14:textId="77777777" w:rsidR="00FB017D" w:rsidRPr="00CD4D3F" w:rsidRDefault="00FB017D" w:rsidP="00FB017D">
      <w:pPr>
        <w:pStyle w:val="GvdeMetni"/>
        <w:spacing w:line="252" w:lineRule="auto"/>
        <w:ind w:left="849" w:right="322" w:hanging="2"/>
        <w:jc w:val="both"/>
        <w:rPr>
          <w:lang w:val="tr-TR"/>
        </w:rPr>
      </w:pPr>
      <w:r>
        <w:rPr>
          <w:color w:val="010101"/>
          <w:lang w:val="tr-TR" w:bidi="tr-TR"/>
        </w:rPr>
        <w:t>Denetimlerin kötüye kullanılmasını önleme ve denetim yükümlülüklerinin ihlaline yönelik yaptırımların orantılı olarak uygulanmasını sağlama amacıyla derneklerin risk değerlendirmesine dayalı denetimlerini düzenleyen hükümlerin öngörülebilirliğinin ve erişilebilirliğinin sağlanması;</w:t>
      </w:r>
    </w:p>
    <w:p w14:paraId="0A13BF06" w14:textId="77777777" w:rsidR="00FB017D" w:rsidRPr="00CD4D3F" w:rsidRDefault="00FB017D" w:rsidP="00FB017D">
      <w:pPr>
        <w:pStyle w:val="GvdeMetni"/>
        <w:rPr>
          <w:sz w:val="22"/>
          <w:lang w:val="tr-TR"/>
        </w:rPr>
      </w:pPr>
    </w:p>
    <w:p w14:paraId="329411F0" w14:textId="77777777" w:rsidR="00FB017D" w:rsidRPr="00CD4D3F" w:rsidRDefault="00FB017D" w:rsidP="00FB017D">
      <w:pPr>
        <w:pStyle w:val="GvdeMetni"/>
        <w:spacing w:line="252" w:lineRule="auto"/>
        <w:ind w:left="849" w:right="314" w:hanging="2"/>
        <w:jc w:val="both"/>
        <w:rPr>
          <w:lang w:val="tr-TR"/>
        </w:rPr>
      </w:pPr>
      <w:r>
        <w:rPr>
          <w:color w:val="010101"/>
          <w:lang w:val="tr-TR" w:bidi="tr-TR"/>
        </w:rPr>
        <w:t>Yönetim kurulu üyelerinin görevden alınması ve yerlerine mahkeme tarafından atanan kayyumların getirilmesi konusunda, mahkemenin, atananların STÖ’nün çıkarı doğrultusunda hareket etmesini sağlamak amacıyla, STÖ üyeleri ve/veya yönetim kurulu ile kayyumların seçimi ile ilgili istişarelerde bulunmasının sağlanması;</w:t>
      </w:r>
    </w:p>
    <w:p w14:paraId="7580E5F9" w14:textId="77777777" w:rsidR="00FB017D" w:rsidRPr="00CD4D3F" w:rsidRDefault="00FB017D" w:rsidP="00FB017D">
      <w:pPr>
        <w:pStyle w:val="GvdeMetni"/>
        <w:spacing w:before="2"/>
        <w:rPr>
          <w:sz w:val="22"/>
          <w:lang w:val="tr-TR"/>
        </w:rPr>
      </w:pPr>
    </w:p>
    <w:p w14:paraId="6D036DBA" w14:textId="7F4D3CED" w:rsidR="00FB017D" w:rsidRPr="00CD4D3F" w:rsidRDefault="00FB017D" w:rsidP="00FB017D">
      <w:pPr>
        <w:pStyle w:val="GvdeMetni"/>
        <w:spacing w:line="249" w:lineRule="auto"/>
        <w:ind w:left="848" w:right="322" w:hanging="1"/>
        <w:jc w:val="both"/>
        <w:rPr>
          <w:lang w:val="tr-TR"/>
        </w:rPr>
      </w:pPr>
      <w:r>
        <w:rPr>
          <w:color w:val="010101"/>
          <w:lang w:val="tr-TR" w:bidi="tr-TR"/>
        </w:rPr>
        <w:t xml:space="preserve">Faaliyetlerin askıya alınmasına ve, </w:t>
      </w:r>
      <w:r w:rsidR="00334298">
        <w:rPr>
          <w:color w:val="010101"/>
          <w:lang w:val="tr-TR" w:bidi="tr-TR"/>
        </w:rPr>
        <w:t>evleviyetle (</w:t>
      </w:r>
      <w:r>
        <w:rPr>
          <w:i/>
          <w:color w:val="010101"/>
          <w:sz w:val="20"/>
          <w:lang w:val="tr-TR" w:bidi="tr-TR"/>
        </w:rPr>
        <w:t>a fortiori</w:t>
      </w:r>
      <w:r w:rsidR="00334298">
        <w:rPr>
          <w:i/>
          <w:color w:val="010101"/>
          <w:sz w:val="20"/>
          <w:lang w:val="tr-TR" w:bidi="tr-TR"/>
        </w:rPr>
        <w:t>)</w:t>
      </w:r>
      <w:r>
        <w:rPr>
          <w:i/>
          <w:color w:val="010101"/>
          <w:sz w:val="20"/>
          <w:lang w:val="tr-TR" w:bidi="tr-TR"/>
        </w:rPr>
        <w:t xml:space="preserve">, </w:t>
      </w:r>
      <w:r>
        <w:rPr>
          <w:color w:val="010101"/>
          <w:lang w:val="tr-TR" w:bidi="tr-TR"/>
        </w:rPr>
        <w:t xml:space="preserve">derneklerin sadece istisnai durumlarda ve </w:t>
      </w:r>
      <w:r w:rsidR="00334298">
        <w:rPr>
          <w:color w:val="010101"/>
          <w:lang w:val="tr-TR" w:bidi="tr-TR"/>
        </w:rPr>
        <w:t>son çare (</w:t>
      </w:r>
      <w:r w:rsidR="00334298">
        <w:rPr>
          <w:i/>
          <w:color w:val="010101"/>
          <w:sz w:val="20"/>
          <w:lang w:val="tr-TR" w:bidi="tr-TR"/>
        </w:rPr>
        <w:t>ultimum</w:t>
      </w:r>
      <w:r>
        <w:rPr>
          <w:color w:val="010101"/>
          <w:lang w:val="tr-TR" w:bidi="tr-TR"/>
        </w:rPr>
        <w:t xml:space="preserve"> remedium</w:t>
      </w:r>
      <w:r w:rsidR="00334298">
        <w:rPr>
          <w:color w:val="010101"/>
          <w:lang w:val="tr-TR" w:bidi="tr-TR"/>
        </w:rPr>
        <w:t>)</w:t>
      </w:r>
      <w:r>
        <w:rPr>
          <w:color w:val="010101"/>
          <w:lang w:val="tr-TR" w:bidi="tr-TR"/>
        </w:rPr>
        <w:t xml:space="preserve"> olarak, orantılılık ilkesine uygun şekilde yasaklanmasına veya dağıtılmasına izin verilmesi;</w:t>
      </w:r>
    </w:p>
    <w:p w14:paraId="3795648B" w14:textId="77777777" w:rsidR="00FB017D" w:rsidRPr="00CD4D3F" w:rsidRDefault="00FB017D" w:rsidP="00FB017D">
      <w:pPr>
        <w:pStyle w:val="GvdeMetni"/>
        <w:spacing w:before="7"/>
        <w:rPr>
          <w:sz w:val="22"/>
          <w:lang w:val="tr-TR"/>
        </w:rPr>
      </w:pPr>
    </w:p>
    <w:p w14:paraId="793EF897" w14:textId="77777777" w:rsidR="00FB017D" w:rsidRPr="00CD4D3F" w:rsidRDefault="00FB017D" w:rsidP="00FB017D">
      <w:pPr>
        <w:pStyle w:val="GvdeMetni"/>
        <w:spacing w:line="247" w:lineRule="auto"/>
        <w:ind w:left="846" w:right="327" w:firstLine="1"/>
        <w:jc w:val="both"/>
        <w:rPr>
          <w:lang w:val="tr-TR"/>
        </w:rPr>
      </w:pPr>
      <w:r>
        <w:rPr>
          <w:color w:val="010101"/>
          <w:lang w:val="tr-TR" w:bidi="tr-TR"/>
        </w:rPr>
        <w:t>Sadece ulusal derneklerin değil, Türkiye topraklarında faal yabancı derneklerin de örgütlenme özgürlüğünün uygun şekilde sağlanması.</w:t>
      </w:r>
    </w:p>
    <w:p w14:paraId="66AE316C" w14:textId="77777777" w:rsidR="00FB017D" w:rsidRDefault="00FB017D" w:rsidP="00FB017D">
      <w:pPr>
        <w:pStyle w:val="ListeParagraf"/>
        <w:tabs>
          <w:tab w:val="left" w:pos="671"/>
        </w:tabs>
        <w:spacing w:line="252" w:lineRule="auto"/>
        <w:ind w:left="127" w:right="327" w:firstLine="0"/>
        <w:rPr>
          <w:color w:val="010101"/>
          <w:sz w:val="21"/>
          <w:lang w:val="tr-TR"/>
        </w:rPr>
      </w:pPr>
    </w:p>
    <w:p w14:paraId="12521905" w14:textId="77777777" w:rsidR="00065259" w:rsidRDefault="00065259" w:rsidP="00065259">
      <w:pPr>
        <w:pStyle w:val="ListeParagraf"/>
        <w:tabs>
          <w:tab w:val="left" w:pos="671"/>
        </w:tabs>
        <w:spacing w:line="252" w:lineRule="auto"/>
        <w:ind w:left="127" w:right="327" w:firstLine="0"/>
        <w:rPr>
          <w:color w:val="010101"/>
          <w:sz w:val="21"/>
          <w:lang w:val="tr-TR"/>
        </w:rPr>
      </w:pPr>
    </w:p>
    <w:p w14:paraId="26E2677E" w14:textId="56A9141B" w:rsidR="008F5E5D" w:rsidRDefault="008F5E5D" w:rsidP="00065259">
      <w:pPr>
        <w:pStyle w:val="ListeParagraf"/>
        <w:tabs>
          <w:tab w:val="left" w:pos="671"/>
        </w:tabs>
        <w:spacing w:line="252" w:lineRule="auto"/>
        <w:ind w:left="127" w:right="327" w:firstLine="0"/>
        <w:rPr>
          <w:color w:val="010101"/>
          <w:sz w:val="21"/>
          <w:lang w:val="tr-TR"/>
        </w:rPr>
      </w:pPr>
    </w:p>
    <w:p w14:paraId="5AF1F434" w14:textId="77777777" w:rsidR="001B3C12" w:rsidRPr="001D47B8" w:rsidRDefault="001B3C12" w:rsidP="001C4B9F">
      <w:pPr>
        <w:pStyle w:val="GvdeMetni"/>
        <w:jc w:val="both"/>
        <w:rPr>
          <w:sz w:val="22"/>
          <w:lang w:val="tr-TR"/>
        </w:rPr>
      </w:pPr>
    </w:p>
    <w:sectPr w:rsidR="001B3C12" w:rsidRPr="001D47B8">
      <w:pgSz w:w="11910" w:h="16840"/>
      <w:pgMar w:top="1320" w:right="1080" w:bottom="280" w:left="1440"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BDD6" w14:textId="77777777" w:rsidR="003C393E" w:rsidRDefault="003C393E">
      <w:r>
        <w:separator/>
      </w:r>
    </w:p>
  </w:endnote>
  <w:endnote w:type="continuationSeparator" w:id="0">
    <w:p w14:paraId="4EF05BB8" w14:textId="77777777" w:rsidR="003C393E" w:rsidRDefault="003C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97067" w14:textId="77777777" w:rsidR="003C393E" w:rsidRDefault="003C393E">
      <w:r>
        <w:separator/>
      </w:r>
    </w:p>
  </w:footnote>
  <w:footnote w:type="continuationSeparator" w:id="0">
    <w:p w14:paraId="355F4695" w14:textId="77777777" w:rsidR="003C393E" w:rsidRDefault="003C393E">
      <w:r>
        <w:continuationSeparator/>
      </w:r>
    </w:p>
  </w:footnote>
  <w:footnote w:id="1">
    <w:p w14:paraId="7C2FCCB7" w14:textId="0EFC06EE" w:rsidR="00FB562C" w:rsidRPr="00283AB2" w:rsidRDefault="00FB562C">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2860 sayılı Yardım Toplama Kanunu, </w:t>
      </w:r>
      <w:r w:rsidRPr="00283AB2">
        <w:rPr>
          <w:color w:val="010101"/>
          <w:sz w:val="18"/>
          <w:szCs w:val="18"/>
          <w:lang w:val="tr-TR"/>
        </w:rPr>
        <w:t>CDL-REF(2021</w:t>
      </w:r>
      <w:r w:rsidRPr="00283AB2">
        <w:rPr>
          <w:color w:val="010101"/>
          <w:spacing w:val="-31"/>
          <w:sz w:val="18"/>
          <w:szCs w:val="18"/>
          <w:lang w:val="tr-TR"/>
        </w:rPr>
        <w:t xml:space="preserve"> </w:t>
      </w:r>
      <w:r w:rsidRPr="00283AB2">
        <w:rPr>
          <w:color w:val="010101"/>
          <w:sz w:val="18"/>
          <w:szCs w:val="18"/>
          <w:lang w:val="tr-TR"/>
        </w:rPr>
        <w:t>)036</w:t>
      </w:r>
    </w:p>
  </w:footnote>
  <w:footnote w:id="2">
    <w:p w14:paraId="49E1540C" w14:textId="18B7BC5F" w:rsidR="00227381" w:rsidRPr="00283AB2" w:rsidRDefault="00227381">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5253 sayılı Dernekler Kanunu, COL-REF (2021)037.</w:t>
      </w:r>
    </w:p>
  </w:footnote>
  <w:footnote w:id="3">
    <w:p w14:paraId="340852F1" w14:textId="1815B052" w:rsidR="009E6B67" w:rsidRPr="00283AB2" w:rsidRDefault="009E6B67">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7262 sayılı Kitle İmha Silahlarının Yayılmasının Finansmanının Önlenmesine İlişkin Kanun, CDL­ REF(2021)035.</w:t>
      </w:r>
    </w:p>
  </w:footnote>
  <w:footnote w:id="4">
    <w:p w14:paraId="603B363D" w14:textId="0BA32927" w:rsidR="00837570" w:rsidRPr="00283AB2" w:rsidRDefault="00837570">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061842" w:rsidRPr="00283AB2">
        <w:rPr>
          <w:sz w:val="18"/>
          <w:szCs w:val="18"/>
          <w:lang w:val="tr-TR"/>
        </w:rPr>
        <w:t>Bakınız</w:t>
      </w:r>
      <w:r w:rsidRPr="00283AB2">
        <w:rPr>
          <w:sz w:val="18"/>
          <w:szCs w:val="18"/>
          <w:lang w:val="tr-TR"/>
        </w:rPr>
        <w:t xml:space="preserve"> Venedik Komisyonu, </w:t>
      </w:r>
      <w:r w:rsidRPr="00283AB2">
        <w:rPr>
          <w:color w:val="010101"/>
          <w:sz w:val="18"/>
          <w:szCs w:val="18"/>
          <w:lang w:val="tr-TR"/>
        </w:rPr>
        <w:t>CDL-AD(2019)002</w:t>
      </w:r>
      <w:r w:rsidRPr="00283AB2">
        <w:rPr>
          <w:color w:val="010101"/>
          <w:spacing w:val="-6"/>
          <w:sz w:val="18"/>
          <w:szCs w:val="18"/>
          <w:lang w:val="tr-TR"/>
        </w:rPr>
        <w:t xml:space="preserve"> </w:t>
      </w:r>
      <w:r w:rsidRPr="00283AB2">
        <w:rPr>
          <w:color w:val="010101"/>
          <w:sz w:val="18"/>
          <w:szCs w:val="18"/>
          <w:lang w:val="tr-TR"/>
        </w:rPr>
        <w:t xml:space="preserve">- </w:t>
      </w:r>
      <w:r w:rsidR="00F87A41" w:rsidRPr="00283AB2">
        <w:rPr>
          <w:sz w:val="18"/>
          <w:szCs w:val="18"/>
          <w:lang w:val="tr-TR"/>
        </w:rPr>
        <w:t>Derneklere fon sağlanması hakkında rapor</w:t>
      </w:r>
      <w:r w:rsidRPr="00283AB2">
        <w:rPr>
          <w:color w:val="010101"/>
          <w:sz w:val="18"/>
          <w:szCs w:val="18"/>
          <w:lang w:val="tr-TR"/>
        </w:rPr>
        <w:t>, parag.40.</w:t>
      </w:r>
    </w:p>
  </w:footnote>
  <w:footnote w:id="5">
    <w:p w14:paraId="2B4DA9BB" w14:textId="62605330" w:rsidR="005B5D0E" w:rsidRPr="00283AB2" w:rsidRDefault="00222034" w:rsidP="00A31789">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061842" w:rsidRPr="00283AB2">
        <w:rPr>
          <w:sz w:val="18"/>
          <w:szCs w:val="18"/>
          <w:lang w:val="tr-TR"/>
        </w:rPr>
        <w:t>Bakınız</w:t>
      </w:r>
      <w:r w:rsidR="00D702B0" w:rsidRPr="00283AB2">
        <w:rPr>
          <w:sz w:val="18"/>
          <w:szCs w:val="18"/>
          <w:lang w:val="tr-TR"/>
        </w:rPr>
        <w:t xml:space="preserve"> AİH</w:t>
      </w:r>
      <w:r w:rsidR="009A4240" w:rsidRPr="00283AB2">
        <w:rPr>
          <w:sz w:val="18"/>
          <w:szCs w:val="18"/>
          <w:lang w:val="tr-TR"/>
        </w:rPr>
        <w:t xml:space="preserve">M, </w:t>
      </w:r>
      <w:r w:rsidR="009A4240" w:rsidRPr="00283AB2">
        <w:rPr>
          <w:i/>
          <w:color w:val="010101"/>
          <w:spacing w:val="-2"/>
          <w:sz w:val="18"/>
          <w:szCs w:val="18"/>
          <w:lang w:val="tr-TR"/>
        </w:rPr>
        <w:t>Kava</w:t>
      </w:r>
      <w:r w:rsidR="006A00BA" w:rsidRPr="00283AB2">
        <w:rPr>
          <w:i/>
          <w:color w:val="010101"/>
          <w:spacing w:val="-2"/>
          <w:sz w:val="18"/>
          <w:szCs w:val="18"/>
          <w:lang w:val="tr-TR"/>
        </w:rPr>
        <w:t>l</w:t>
      </w:r>
      <w:r w:rsidR="009A4240" w:rsidRPr="00283AB2">
        <w:rPr>
          <w:i/>
          <w:color w:val="010101"/>
          <w:spacing w:val="-2"/>
          <w:sz w:val="18"/>
          <w:szCs w:val="18"/>
          <w:lang w:val="tr-TR"/>
        </w:rPr>
        <w:t xml:space="preserve">a – Türkiye davası, </w:t>
      </w:r>
      <w:r w:rsidR="001E648D" w:rsidRPr="00283AB2">
        <w:rPr>
          <w:color w:val="010101"/>
          <w:spacing w:val="-1"/>
          <w:sz w:val="18"/>
          <w:szCs w:val="18"/>
          <w:lang w:val="tr-TR"/>
        </w:rPr>
        <w:t>başvuru</w:t>
      </w:r>
      <w:r w:rsidR="009A4240" w:rsidRPr="00283AB2">
        <w:rPr>
          <w:color w:val="010101"/>
          <w:spacing w:val="-1"/>
          <w:sz w:val="18"/>
          <w:szCs w:val="18"/>
          <w:lang w:val="tr-TR"/>
        </w:rPr>
        <w:t xml:space="preserve"> no. 28749/18; 10.12.2019</w:t>
      </w:r>
      <w:r w:rsidR="001E648D" w:rsidRPr="00283AB2">
        <w:rPr>
          <w:color w:val="010101"/>
          <w:spacing w:val="-1"/>
          <w:sz w:val="18"/>
          <w:szCs w:val="18"/>
          <w:lang w:val="tr-TR"/>
        </w:rPr>
        <w:t xml:space="preserve"> tarihli karar</w:t>
      </w:r>
      <w:r w:rsidR="009A4240" w:rsidRPr="00283AB2">
        <w:rPr>
          <w:color w:val="282828"/>
          <w:spacing w:val="-1"/>
          <w:sz w:val="18"/>
          <w:szCs w:val="18"/>
          <w:lang w:val="tr-TR"/>
        </w:rPr>
        <w:t xml:space="preserve">, </w:t>
      </w:r>
      <w:r w:rsidR="009A4240" w:rsidRPr="00283AB2">
        <w:rPr>
          <w:i/>
          <w:color w:val="010101"/>
          <w:spacing w:val="-1"/>
          <w:sz w:val="18"/>
          <w:szCs w:val="18"/>
          <w:lang w:val="tr-TR"/>
        </w:rPr>
        <w:t xml:space="preserve">Pi§kin </w:t>
      </w:r>
      <w:r w:rsidR="009A4240" w:rsidRPr="00283AB2">
        <w:rPr>
          <w:i/>
          <w:color w:val="010101"/>
          <w:spacing w:val="-2"/>
          <w:sz w:val="18"/>
          <w:szCs w:val="18"/>
          <w:lang w:val="tr-TR"/>
        </w:rPr>
        <w:t>– Türkiye davası</w:t>
      </w:r>
      <w:r w:rsidR="009A4240" w:rsidRPr="00283AB2">
        <w:rPr>
          <w:i/>
          <w:color w:val="282828"/>
          <w:spacing w:val="-1"/>
          <w:sz w:val="18"/>
          <w:szCs w:val="18"/>
          <w:lang w:val="tr-TR"/>
        </w:rPr>
        <w:t xml:space="preserve">, </w:t>
      </w:r>
      <w:r w:rsidR="001E648D" w:rsidRPr="00283AB2">
        <w:rPr>
          <w:color w:val="010101"/>
          <w:spacing w:val="-1"/>
          <w:sz w:val="18"/>
          <w:szCs w:val="18"/>
          <w:lang w:val="tr-TR"/>
        </w:rPr>
        <w:t>başvuru</w:t>
      </w:r>
      <w:r w:rsidR="009A4240" w:rsidRPr="00283AB2">
        <w:rPr>
          <w:color w:val="010101"/>
          <w:sz w:val="18"/>
          <w:szCs w:val="18"/>
          <w:lang w:val="tr-TR"/>
        </w:rPr>
        <w:t xml:space="preserve"> no.33399/18; 15</w:t>
      </w:r>
      <w:r w:rsidR="009A4240" w:rsidRPr="00283AB2">
        <w:rPr>
          <w:color w:val="282828"/>
          <w:sz w:val="18"/>
          <w:szCs w:val="18"/>
          <w:lang w:val="tr-TR"/>
        </w:rPr>
        <w:t>.</w:t>
      </w:r>
      <w:r w:rsidR="009A4240" w:rsidRPr="00283AB2">
        <w:rPr>
          <w:color w:val="010101"/>
          <w:sz w:val="18"/>
          <w:szCs w:val="18"/>
          <w:lang w:val="tr-TR"/>
        </w:rPr>
        <w:t>12</w:t>
      </w:r>
      <w:r w:rsidR="009A4240" w:rsidRPr="00283AB2">
        <w:rPr>
          <w:color w:val="282828"/>
          <w:sz w:val="18"/>
          <w:szCs w:val="18"/>
          <w:lang w:val="tr-TR"/>
        </w:rPr>
        <w:t>.</w:t>
      </w:r>
      <w:r w:rsidR="009A4240" w:rsidRPr="00283AB2">
        <w:rPr>
          <w:color w:val="010101"/>
          <w:sz w:val="18"/>
          <w:szCs w:val="18"/>
          <w:lang w:val="tr-TR"/>
        </w:rPr>
        <w:t>2020</w:t>
      </w:r>
      <w:r w:rsidR="001E648D" w:rsidRPr="00283AB2">
        <w:rPr>
          <w:color w:val="010101"/>
          <w:sz w:val="18"/>
          <w:szCs w:val="18"/>
          <w:lang w:val="tr-TR"/>
        </w:rPr>
        <w:t xml:space="preserve"> tarihli karar</w:t>
      </w:r>
      <w:r w:rsidR="00061842" w:rsidRPr="00283AB2">
        <w:rPr>
          <w:color w:val="010101"/>
          <w:sz w:val="18"/>
          <w:szCs w:val="18"/>
          <w:lang w:val="tr-TR"/>
        </w:rPr>
        <w:t xml:space="preserve">, bakınız ayrıca </w:t>
      </w:r>
      <w:r w:rsidR="00061842" w:rsidRPr="00283AB2">
        <w:rPr>
          <w:i/>
          <w:iCs/>
          <w:color w:val="010101"/>
          <w:sz w:val="18"/>
          <w:szCs w:val="18"/>
          <w:lang w:val="tr-TR"/>
        </w:rPr>
        <w:t>Avrupa Konseyi Parlamenter Meclisinin</w:t>
      </w:r>
      <w:r w:rsidR="00061842" w:rsidRPr="00283AB2">
        <w:rPr>
          <w:color w:val="010101"/>
          <w:sz w:val="18"/>
          <w:szCs w:val="18"/>
          <w:lang w:val="tr-TR"/>
        </w:rPr>
        <w:t xml:space="preserve"> </w:t>
      </w:r>
      <w:r w:rsidR="003900A3" w:rsidRPr="00283AB2">
        <w:rPr>
          <w:color w:val="010101"/>
          <w:sz w:val="18"/>
          <w:szCs w:val="18"/>
          <w:lang w:val="tr-TR"/>
        </w:rPr>
        <w:t xml:space="preserve">22 Nisan 2021 tarihinde kabul edilen </w:t>
      </w:r>
      <w:r w:rsidR="003900A3" w:rsidRPr="00283AB2">
        <w:rPr>
          <w:i/>
          <w:color w:val="010101"/>
          <w:sz w:val="18"/>
          <w:szCs w:val="18"/>
          <w:lang w:val="tr-TR"/>
        </w:rPr>
        <w:t xml:space="preserve">2376 (2021) </w:t>
      </w:r>
      <w:r w:rsidR="003900A3" w:rsidRPr="00283AB2">
        <w:rPr>
          <w:color w:val="010101"/>
          <w:sz w:val="18"/>
          <w:szCs w:val="18"/>
          <w:lang w:val="tr-TR"/>
        </w:rPr>
        <w:t xml:space="preserve">sayılı </w:t>
      </w:r>
      <w:r w:rsidR="00061842" w:rsidRPr="00283AB2">
        <w:rPr>
          <w:color w:val="010101"/>
          <w:sz w:val="18"/>
          <w:szCs w:val="18"/>
          <w:lang w:val="tr-TR"/>
        </w:rPr>
        <w:t>Kararı</w:t>
      </w:r>
      <w:r w:rsidR="00A31789" w:rsidRPr="00283AB2">
        <w:rPr>
          <w:color w:val="010101"/>
          <w:sz w:val="18"/>
          <w:szCs w:val="18"/>
          <w:lang w:val="tr-TR"/>
        </w:rPr>
        <w:t xml:space="preserve">, parag. 14, erişim adresi: </w:t>
      </w:r>
      <w:r w:rsidR="005B5D0E" w:rsidRPr="00283AB2">
        <w:rPr>
          <w:color w:val="1F1F1F"/>
          <w:spacing w:val="-1"/>
          <w:w w:val="105"/>
          <w:sz w:val="18"/>
          <w:szCs w:val="18"/>
          <w:u w:val="thick" w:color="313131"/>
          <w:lang w:val="tr-TR"/>
        </w:rPr>
        <w:t>https://pace</w:t>
      </w:r>
      <w:r w:rsidR="005B5D0E" w:rsidRPr="00283AB2">
        <w:rPr>
          <w:color w:val="1F1F1F"/>
          <w:spacing w:val="-14"/>
          <w:w w:val="105"/>
          <w:sz w:val="18"/>
          <w:szCs w:val="18"/>
          <w:u w:val="thick" w:color="313131"/>
          <w:lang w:val="tr-TR"/>
        </w:rPr>
        <w:t xml:space="preserve"> </w:t>
      </w:r>
      <w:r w:rsidR="005B5D0E" w:rsidRPr="00283AB2">
        <w:rPr>
          <w:color w:val="4B4B4B"/>
          <w:w w:val="105"/>
          <w:sz w:val="18"/>
          <w:szCs w:val="18"/>
          <w:u w:val="thick" w:color="313131"/>
          <w:lang w:val="tr-TR"/>
        </w:rPr>
        <w:t>.</w:t>
      </w:r>
      <w:r w:rsidR="005B5D0E" w:rsidRPr="00283AB2">
        <w:rPr>
          <w:color w:val="1F1F1F"/>
          <w:w w:val="105"/>
          <w:sz w:val="18"/>
          <w:szCs w:val="18"/>
          <w:u w:val="thick" w:color="313131"/>
          <w:lang w:val="tr-TR"/>
        </w:rPr>
        <w:t>coe.int/pdf/9ac20bc4b53b10363ada89a046f6f27b24d14e214bf91f522a494ef19e341c07</w:t>
      </w:r>
      <w:r w:rsidR="005B5D0E" w:rsidRPr="00283AB2">
        <w:rPr>
          <w:color w:val="313131"/>
          <w:w w:val="105"/>
          <w:sz w:val="18"/>
          <w:szCs w:val="18"/>
          <w:u w:val="thick" w:color="313131"/>
          <w:lang w:val="tr-TR"/>
        </w:rPr>
        <w:t>/resolution</w:t>
      </w:r>
    </w:p>
    <w:p w14:paraId="5D7534E3" w14:textId="1390BF6A" w:rsidR="005B5D0E" w:rsidRPr="00283AB2" w:rsidRDefault="005B5D0E" w:rsidP="005B5D0E">
      <w:pPr>
        <w:spacing w:before="1" w:line="247" w:lineRule="auto"/>
        <w:ind w:left="125" w:right="328" w:firstLine="1"/>
        <w:jc w:val="both"/>
        <w:rPr>
          <w:sz w:val="18"/>
          <w:szCs w:val="18"/>
          <w:lang w:val="tr-TR"/>
        </w:rPr>
      </w:pPr>
      <w:r w:rsidRPr="00283AB2">
        <w:rPr>
          <w:color w:val="313131"/>
          <w:spacing w:val="-1"/>
          <w:sz w:val="18"/>
          <w:szCs w:val="18"/>
          <w:u w:val="thick" w:color="646464"/>
          <w:lang w:val="tr-TR"/>
        </w:rPr>
        <w:t>%202376</w:t>
      </w:r>
      <w:r w:rsidRPr="00283AB2">
        <w:rPr>
          <w:color w:val="646464"/>
          <w:spacing w:val="-1"/>
          <w:sz w:val="18"/>
          <w:szCs w:val="18"/>
          <w:u w:val="thick" w:color="646464"/>
          <w:lang w:val="tr-TR"/>
        </w:rPr>
        <w:t>.</w:t>
      </w:r>
      <w:r w:rsidRPr="00283AB2">
        <w:rPr>
          <w:color w:val="1F1F1F"/>
          <w:spacing w:val="-1"/>
          <w:sz w:val="18"/>
          <w:szCs w:val="18"/>
          <w:u w:val="thick" w:color="646464"/>
          <w:lang w:val="tr-TR"/>
        </w:rPr>
        <w:t>pdf</w:t>
      </w:r>
      <w:r w:rsidRPr="00283AB2">
        <w:rPr>
          <w:color w:val="646464"/>
          <w:spacing w:val="-1"/>
          <w:sz w:val="18"/>
          <w:szCs w:val="18"/>
          <w:lang w:val="tr-TR"/>
        </w:rPr>
        <w:t xml:space="preserve">. </w:t>
      </w:r>
      <w:r w:rsidR="00585A26" w:rsidRPr="00283AB2">
        <w:rPr>
          <w:spacing w:val="-1"/>
          <w:sz w:val="18"/>
          <w:szCs w:val="18"/>
          <w:lang w:val="tr-TR"/>
        </w:rPr>
        <w:t xml:space="preserve">Bakınız ayrıca </w:t>
      </w:r>
      <w:r w:rsidR="0053596B" w:rsidRPr="00283AB2">
        <w:rPr>
          <w:spacing w:val="-1"/>
          <w:sz w:val="18"/>
          <w:szCs w:val="18"/>
          <w:lang w:val="tr-TR"/>
        </w:rPr>
        <w:t xml:space="preserve">AKPM </w:t>
      </w:r>
      <w:r w:rsidR="00585A26" w:rsidRPr="00283AB2">
        <w:rPr>
          <w:i/>
          <w:color w:val="010101"/>
          <w:sz w:val="18"/>
          <w:szCs w:val="18"/>
          <w:lang w:val="tr-TR"/>
        </w:rPr>
        <w:t xml:space="preserve">Avrupa Konseyi </w:t>
      </w:r>
      <w:r w:rsidR="008C1A57" w:rsidRPr="00283AB2">
        <w:rPr>
          <w:i/>
          <w:color w:val="010101"/>
          <w:sz w:val="18"/>
          <w:szCs w:val="18"/>
          <w:lang w:val="tr-TR"/>
        </w:rPr>
        <w:t>Üye</w:t>
      </w:r>
      <w:r w:rsidR="00C8431C" w:rsidRPr="00283AB2">
        <w:rPr>
          <w:i/>
          <w:color w:val="010101"/>
          <w:sz w:val="18"/>
          <w:szCs w:val="18"/>
          <w:lang w:val="tr-TR"/>
        </w:rPr>
        <w:t>si</w:t>
      </w:r>
      <w:r w:rsidR="008C1A57" w:rsidRPr="00283AB2">
        <w:rPr>
          <w:i/>
          <w:color w:val="010101"/>
          <w:sz w:val="18"/>
          <w:szCs w:val="18"/>
          <w:lang w:val="tr-TR"/>
        </w:rPr>
        <w:t xml:space="preserve"> Devletler</w:t>
      </w:r>
      <w:r w:rsidR="00C8431C" w:rsidRPr="00283AB2">
        <w:rPr>
          <w:i/>
          <w:color w:val="010101"/>
          <w:sz w:val="18"/>
          <w:szCs w:val="18"/>
          <w:lang w:val="tr-TR"/>
        </w:rPr>
        <w:t xml:space="preserve"> Tarafından</w:t>
      </w:r>
      <w:r w:rsidR="008C1A57" w:rsidRPr="00283AB2">
        <w:rPr>
          <w:i/>
          <w:color w:val="010101"/>
          <w:sz w:val="18"/>
          <w:szCs w:val="18"/>
          <w:lang w:val="tr-TR"/>
        </w:rPr>
        <w:t xml:space="preserve"> Yükümlülükleri</w:t>
      </w:r>
      <w:r w:rsidR="00C8431C" w:rsidRPr="00283AB2">
        <w:rPr>
          <w:i/>
          <w:color w:val="010101"/>
          <w:sz w:val="18"/>
          <w:szCs w:val="18"/>
          <w:lang w:val="tr-TR"/>
        </w:rPr>
        <w:t>n</w:t>
      </w:r>
      <w:r w:rsidR="008C1A57" w:rsidRPr="00283AB2">
        <w:rPr>
          <w:i/>
          <w:color w:val="010101"/>
          <w:sz w:val="18"/>
          <w:szCs w:val="18"/>
          <w:lang w:val="tr-TR"/>
        </w:rPr>
        <w:t xml:space="preserve"> ve Taahhütlerin Yerine Getirilmesi</w:t>
      </w:r>
      <w:r w:rsidR="00FC068C" w:rsidRPr="00283AB2">
        <w:rPr>
          <w:i/>
          <w:color w:val="010101"/>
          <w:sz w:val="18"/>
          <w:szCs w:val="18"/>
          <w:lang w:val="tr-TR"/>
        </w:rPr>
        <w:t xml:space="preserve">ni İzleme </w:t>
      </w:r>
      <w:r w:rsidR="008C1A57" w:rsidRPr="00283AB2">
        <w:rPr>
          <w:i/>
          <w:color w:val="010101"/>
          <w:sz w:val="18"/>
          <w:szCs w:val="18"/>
          <w:lang w:val="tr-TR"/>
        </w:rPr>
        <w:t xml:space="preserve">Komitesi (İzleme Komitesi) </w:t>
      </w:r>
      <w:r w:rsidR="0053259A" w:rsidRPr="00283AB2">
        <w:rPr>
          <w:i/>
          <w:color w:val="010101"/>
          <w:sz w:val="18"/>
          <w:szCs w:val="18"/>
          <w:lang w:val="tr-TR"/>
        </w:rPr>
        <w:t>tarafından kabul edilen Rapor (Doc. 15272) “'</w:t>
      </w:r>
      <w:r w:rsidR="00506E8A" w:rsidRPr="00283AB2">
        <w:rPr>
          <w:i/>
          <w:color w:val="010101"/>
          <w:sz w:val="18"/>
          <w:szCs w:val="18"/>
          <w:lang w:val="tr-TR"/>
        </w:rPr>
        <w:t xml:space="preserve">Türkiye’de demokratik </w:t>
      </w:r>
      <w:r w:rsidR="00B47963" w:rsidRPr="00283AB2">
        <w:rPr>
          <w:i/>
          <w:color w:val="010101"/>
          <w:sz w:val="18"/>
          <w:szCs w:val="18"/>
          <w:lang w:val="tr-TR"/>
        </w:rPr>
        <w:t>kurumların</w:t>
      </w:r>
      <w:r w:rsidR="00506E8A" w:rsidRPr="00283AB2">
        <w:rPr>
          <w:i/>
          <w:color w:val="010101"/>
          <w:sz w:val="18"/>
          <w:szCs w:val="18"/>
          <w:lang w:val="tr-TR"/>
        </w:rPr>
        <w:t xml:space="preserve"> işleyişi”</w:t>
      </w:r>
      <w:r w:rsidR="002263F3" w:rsidRPr="00283AB2">
        <w:rPr>
          <w:i/>
          <w:color w:val="010101"/>
          <w:sz w:val="18"/>
          <w:szCs w:val="18"/>
          <w:lang w:val="tr-TR"/>
        </w:rPr>
        <w:t xml:space="preserve">, </w:t>
      </w:r>
      <w:r w:rsidR="002263F3" w:rsidRPr="00283AB2">
        <w:rPr>
          <w:iCs/>
          <w:color w:val="010101"/>
          <w:sz w:val="18"/>
          <w:szCs w:val="18"/>
          <w:lang w:val="tr-TR"/>
        </w:rPr>
        <w:t>Bölüm 5.3 “</w:t>
      </w:r>
      <w:r w:rsidR="000D5F2E" w:rsidRPr="00283AB2">
        <w:rPr>
          <w:iCs/>
          <w:color w:val="010101"/>
          <w:sz w:val="18"/>
          <w:szCs w:val="18"/>
          <w:lang w:val="tr-TR"/>
        </w:rPr>
        <w:t>Baskı Altında Muhalif ve Eleştirel Sesler”</w:t>
      </w:r>
      <w:r w:rsidR="002263F3" w:rsidRPr="00283AB2">
        <w:rPr>
          <w:iCs/>
          <w:color w:val="010101"/>
          <w:sz w:val="18"/>
          <w:szCs w:val="18"/>
          <w:lang w:val="tr-TR"/>
        </w:rPr>
        <w:t xml:space="preserve">, erişim adresi: </w:t>
      </w:r>
      <w:r w:rsidRPr="00283AB2">
        <w:rPr>
          <w:color w:val="1F1F1F"/>
          <w:w w:val="110"/>
          <w:sz w:val="18"/>
          <w:szCs w:val="18"/>
          <w:u w:val="thick" w:color="1F1F1F"/>
          <w:lang w:val="tr-TR"/>
        </w:rPr>
        <w:t>h</w:t>
      </w:r>
      <w:r w:rsidRPr="00283AB2">
        <w:rPr>
          <w:color w:val="1F1F1F"/>
          <w:spacing w:val="-1"/>
          <w:w w:val="105"/>
          <w:sz w:val="18"/>
          <w:szCs w:val="18"/>
          <w:u w:val="thick" w:color="1F1F1F"/>
          <w:lang w:val="tr-TR"/>
        </w:rPr>
        <w:t>ttp</w:t>
      </w:r>
      <w:r w:rsidRPr="00283AB2">
        <w:rPr>
          <w:color w:val="1F1F1F"/>
          <w:spacing w:val="2"/>
          <w:w w:val="105"/>
          <w:sz w:val="18"/>
          <w:szCs w:val="18"/>
          <w:u w:val="thick" w:color="1F1F1F"/>
          <w:lang w:val="tr-TR"/>
        </w:rPr>
        <w:t>s</w:t>
      </w:r>
      <w:r w:rsidRPr="00283AB2">
        <w:rPr>
          <w:color w:val="4B4B4B"/>
          <w:spacing w:val="-3"/>
          <w:w w:val="109"/>
          <w:sz w:val="18"/>
          <w:szCs w:val="18"/>
          <w:u w:val="thick" w:color="1F1F1F"/>
          <w:lang w:val="tr-TR"/>
        </w:rPr>
        <w:t>:</w:t>
      </w:r>
      <w:hyperlink r:id="rId1">
        <w:r w:rsidRPr="00283AB2">
          <w:rPr>
            <w:color w:val="1F1F1F"/>
            <w:spacing w:val="-1"/>
            <w:w w:val="105"/>
            <w:sz w:val="18"/>
            <w:szCs w:val="18"/>
            <w:u w:val="thick" w:color="1F1F1F"/>
            <w:lang w:val="tr-TR"/>
          </w:rPr>
          <w:t>//ww</w:t>
        </w:r>
        <w:r w:rsidRPr="00283AB2">
          <w:rPr>
            <w:color w:val="1F1F1F"/>
            <w:spacing w:val="3"/>
            <w:w w:val="105"/>
            <w:sz w:val="18"/>
            <w:szCs w:val="18"/>
            <w:u w:val="thick" w:color="1F1F1F"/>
            <w:lang w:val="tr-TR"/>
          </w:rPr>
          <w:t>w</w:t>
        </w:r>
      </w:hyperlink>
      <w:r w:rsidRPr="00283AB2">
        <w:rPr>
          <w:color w:val="646464"/>
          <w:spacing w:val="4"/>
          <w:w w:val="101"/>
          <w:sz w:val="18"/>
          <w:szCs w:val="18"/>
          <w:u w:val="thick" w:color="1F1F1F"/>
          <w:lang w:val="tr-TR"/>
        </w:rPr>
        <w:t>.</w:t>
      </w:r>
      <w:hyperlink r:id="rId2">
        <w:r w:rsidRPr="00283AB2">
          <w:rPr>
            <w:color w:val="1F1F1F"/>
            <w:spacing w:val="-1"/>
            <w:w w:val="110"/>
            <w:sz w:val="18"/>
            <w:szCs w:val="18"/>
            <w:u w:val="thick" w:color="1F1F1F"/>
            <w:lang w:val="tr-TR"/>
          </w:rPr>
          <w:t>eco</w:t>
        </w:r>
        <w:r w:rsidRPr="00283AB2">
          <w:rPr>
            <w:color w:val="1F1F1F"/>
            <w:spacing w:val="-12"/>
            <w:w w:val="110"/>
            <w:sz w:val="18"/>
            <w:szCs w:val="18"/>
            <w:u w:val="thick" w:color="1F1F1F"/>
            <w:lang w:val="tr-TR"/>
          </w:rPr>
          <w:t>i</w:t>
        </w:r>
      </w:hyperlink>
      <w:r w:rsidRPr="00283AB2">
        <w:rPr>
          <w:color w:val="4B4B4B"/>
          <w:spacing w:val="-5"/>
          <w:w w:val="110"/>
          <w:sz w:val="18"/>
          <w:szCs w:val="18"/>
          <w:u w:val="thick" w:color="1F1F1F"/>
          <w:lang w:val="tr-TR"/>
        </w:rPr>
        <w:t>.</w:t>
      </w:r>
      <w:hyperlink r:id="rId3">
        <w:r w:rsidRPr="00283AB2">
          <w:rPr>
            <w:color w:val="1F1F1F"/>
            <w:spacing w:val="-1"/>
            <w:w w:val="110"/>
            <w:sz w:val="18"/>
            <w:szCs w:val="18"/>
            <w:u w:val="thick" w:color="1F1F1F"/>
            <w:lang w:val="tr-TR"/>
          </w:rPr>
          <w:t>net/en/file/local/2050294/do</w:t>
        </w:r>
        <w:r w:rsidRPr="00283AB2">
          <w:rPr>
            <w:color w:val="1F1F1F"/>
            <w:spacing w:val="-86"/>
            <w:w w:val="110"/>
            <w:sz w:val="18"/>
            <w:szCs w:val="18"/>
            <w:u w:val="thick" w:color="1F1F1F"/>
            <w:lang w:val="tr-TR"/>
          </w:rPr>
          <w:t>c</w:t>
        </w:r>
        <w:r w:rsidRPr="00283AB2">
          <w:rPr>
            <w:color w:val="4B4B4B"/>
            <w:w w:val="104"/>
            <w:sz w:val="18"/>
            <w:szCs w:val="18"/>
            <w:u w:val="thick" w:color="1F1F1F"/>
            <w:lang w:val="tr-TR"/>
          </w:rPr>
          <w:t>.</w:t>
        </w:r>
        <w:r w:rsidRPr="00283AB2">
          <w:rPr>
            <w:color w:val="1F1F1F"/>
            <w:spacing w:val="-1"/>
            <w:w w:val="104"/>
            <w:sz w:val="18"/>
            <w:szCs w:val="18"/>
            <w:u w:val="thick" w:color="1F1F1F"/>
            <w:lang w:val="tr-TR"/>
          </w:rPr>
          <w:t>+1527</w:t>
        </w:r>
        <w:r w:rsidRPr="00283AB2">
          <w:rPr>
            <w:color w:val="1F1F1F"/>
            <w:spacing w:val="9"/>
            <w:w w:val="104"/>
            <w:sz w:val="18"/>
            <w:szCs w:val="18"/>
            <w:u w:val="thick" w:color="1F1F1F"/>
            <w:lang w:val="tr-TR"/>
          </w:rPr>
          <w:t>2</w:t>
        </w:r>
        <w:r w:rsidRPr="00283AB2">
          <w:rPr>
            <w:color w:val="4B4B4B"/>
            <w:spacing w:val="1"/>
            <w:w w:val="108"/>
            <w:sz w:val="18"/>
            <w:szCs w:val="18"/>
            <w:u w:val="thick" w:color="1F1F1F"/>
            <w:lang w:val="tr-TR"/>
          </w:rPr>
          <w:t>.</w:t>
        </w:r>
        <w:r w:rsidRPr="00283AB2">
          <w:rPr>
            <w:color w:val="1F1F1F"/>
            <w:spacing w:val="-1"/>
            <w:w w:val="104"/>
            <w:sz w:val="18"/>
            <w:szCs w:val="18"/>
            <w:u w:val="thick" w:color="1F1F1F"/>
            <w:lang w:val="tr-TR"/>
          </w:rPr>
          <w:t>pdf</w:t>
        </w:r>
      </w:hyperlink>
    </w:p>
    <w:p w14:paraId="191F9D57" w14:textId="77777777" w:rsidR="005B5D0E" w:rsidRPr="00283AB2" w:rsidRDefault="005B5D0E">
      <w:pPr>
        <w:pStyle w:val="DipnotMetni"/>
        <w:rPr>
          <w:lang w:val="tr-TR"/>
        </w:rPr>
      </w:pPr>
    </w:p>
  </w:footnote>
  <w:footnote w:id="6">
    <w:p w14:paraId="011B1465" w14:textId="57BB7AF5" w:rsidR="009033D6" w:rsidRPr="00DA1422" w:rsidRDefault="009033D6">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E95D53" w:rsidRPr="00DA1422">
        <w:rPr>
          <w:sz w:val="18"/>
          <w:szCs w:val="18"/>
          <w:lang w:val="tr-TR"/>
        </w:rPr>
        <w:t>BM Güvenlik Konseyinin</w:t>
      </w:r>
      <w:r w:rsidR="00815C08" w:rsidRPr="00815C08">
        <w:rPr>
          <w:sz w:val="18"/>
          <w:szCs w:val="18"/>
          <w:lang w:val="tr-TR"/>
        </w:rPr>
        <w:t xml:space="preserve"> </w:t>
      </w:r>
      <w:r w:rsidR="00815C08">
        <w:rPr>
          <w:sz w:val="18"/>
          <w:szCs w:val="18"/>
          <w:lang w:val="tr-TR"/>
        </w:rPr>
        <w:t>b</w:t>
      </w:r>
      <w:r w:rsidR="00815C08" w:rsidRPr="00DA1422">
        <w:rPr>
          <w:sz w:val="18"/>
          <w:szCs w:val="18"/>
          <w:lang w:val="tr-TR"/>
        </w:rPr>
        <w:t>u konuda</w:t>
      </w:r>
      <w:r w:rsidR="00E95D53" w:rsidRPr="00DA1422">
        <w:rPr>
          <w:sz w:val="18"/>
          <w:szCs w:val="18"/>
          <w:lang w:val="tr-TR"/>
        </w:rPr>
        <w:t xml:space="preserve">, üç denetim mekanizmasına bağlı olarak üç dizi kararı bulunmaktadır: a) </w:t>
      </w:r>
      <w:r w:rsidR="00332719" w:rsidRPr="00DA1422">
        <w:rPr>
          <w:sz w:val="18"/>
          <w:szCs w:val="18"/>
          <w:lang w:val="tr-TR"/>
        </w:rPr>
        <w:t>El-Kaide, Taliban ve şim</w:t>
      </w:r>
      <w:r w:rsidR="00A77C29" w:rsidRPr="00DA1422">
        <w:rPr>
          <w:sz w:val="18"/>
          <w:szCs w:val="18"/>
          <w:lang w:val="tr-TR"/>
        </w:rPr>
        <w:t>di</w:t>
      </w:r>
      <w:r w:rsidR="00332719" w:rsidRPr="00DA1422">
        <w:rPr>
          <w:sz w:val="18"/>
          <w:szCs w:val="18"/>
          <w:lang w:val="tr-TR"/>
        </w:rPr>
        <w:t xml:space="preserve"> </w:t>
      </w:r>
      <w:r w:rsidR="00007A77">
        <w:rPr>
          <w:sz w:val="18"/>
          <w:szCs w:val="18"/>
          <w:lang w:val="tr-TR"/>
        </w:rPr>
        <w:t>I</w:t>
      </w:r>
      <w:r w:rsidR="00332719" w:rsidRPr="00DA1422">
        <w:rPr>
          <w:sz w:val="18"/>
          <w:szCs w:val="18"/>
          <w:lang w:val="tr-TR"/>
        </w:rPr>
        <w:t>ŞİD’e karşı yaptırım sistemini</w:t>
      </w:r>
      <w:r w:rsidR="00312052" w:rsidRPr="00DA1422">
        <w:rPr>
          <w:sz w:val="18"/>
          <w:szCs w:val="18"/>
          <w:lang w:val="tr-TR"/>
        </w:rPr>
        <w:t xml:space="preserve"> belirleyen ve </w:t>
      </w:r>
      <w:r w:rsidR="00A77C29" w:rsidRPr="00DA1422">
        <w:rPr>
          <w:sz w:val="18"/>
          <w:szCs w:val="18"/>
          <w:lang w:val="tr-TR"/>
        </w:rPr>
        <w:t xml:space="preserve">sistemin </w:t>
      </w:r>
      <w:r w:rsidR="00312052" w:rsidRPr="00DA1422">
        <w:rPr>
          <w:sz w:val="18"/>
          <w:szCs w:val="18"/>
          <w:lang w:val="tr-TR"/>
        </w:rPr>
        <w:t>uygulanışını izlemek üzere “1267 komitesini” kuran</w:t>
      </w:r>
      <w:r w:rsidR="00332719" w:rsidRPr="00DA1422">
        <w:rPr>
          <w:sz w:val="18"/>
          <w:szCs w:val="18"/>
          <w:lang w:val="tr-TR"/>
        </w:rPr>
        <w:t xml:space="preserve"> </w:t>
      </w:r>
      <w:r w:rsidR="002F5A4F" w:rsidRPr="00DA1422">
        <w:rPr>
          <w:sz w:val="18"/>
          <w:szCs w:val="18"/>
          <w:lang w:val="tr-TR"/>
        </w:rPr>
        <w:t>1267</w:t>
      </w:r>
      <w:r w:rsidR="00E55B53" w:rsidRPr="00DA1422">
        <w:rPr>
          <w:sz w:val="18"/>
          <w:szCs w:val="18"/>
          <w:lang w:val="tr-TR"/>
        </w:rPr>
        <w:t xml:space="preserve"> (1999)</w:t>
      </w:r>
      <w:r w:rsidR="002F5A4F" w:rsidRPr="00DA1422">
        <w:rPr>
          <w:sz w:val="18"/>
          <w:szCs w:val="18"/>
          <w:lang w:val="tr-TR"/>
        </w:rPr>
        <w:t xml:space="preserve"> sayılı BM Güvenlik Konseyi kararı ve </w:t>
      </w:r>
      <w:r w:rsidR="00E55B53" w:rsidRPr="00DA1422">
        <w:rPr>
          <w:sz w:val="18"/>
          <w:szCs w:val="18"/>
          <w:lang w:val="tr-TR"/>
        </w:rPr>
        <w:t xml:space="preserve">devamı niteliğindeki kararları, </w:t>
      </w:r>
      <w:r w:rsidR="00192F18" w:rsidRPr="00DA1422">
        <w:rPr>
          <w:sz w:val="18"/>
          <w:szCs w:val="18"/>
          <w:lang w:val="tr-TR"/>
        </w:rPr>
        <w:t xml:space="preserve">(https://undocs.org/en/S/RES/1267(1999)); b) </w:t>
      </w:r>
      <w:r w:rsidR="000E033F" w:rsidRPr="00DA1422">
        <w:rPr>
          <w:sz w:val="18"/>
          <w:szCs w:val="18"/>
          <w:lang w:val="tr-TR"/>
        </w:rPr>
        <w:t xml:space="preserve">BM Terörizmin Finansmanının Önlenmesine Dair Uluslararası Sözleşmesinde yer alan bazı hükümleri </w:t>
      </w:r>
      <w:r w:rsidR="007E0FBF">
        <w:rPr>
          <w:sz w:val="18"/>
          <w:szCs w:val="18"/>
          <w:lang w:val="tr-TR"/>
        </w:rPr>
        <w:t xml:space="preserve">temel </w:t>
      </w:r>
      <w:r w:rsidR="000E033F" w:rsidRPr="00DA1422">
        <w:rPr>
          <w:sz w:val="18"/>
          <w:szCs w:val="18"/>
          <w:lang w:val="tr-TR"/>
        </w:rPr>
        <w:t xml:space="preserve">alarak, </w:t>
      </w:r>
      <w:r w:rsidR="008B0959" w:rsidRPr="00DA1422">
        <w:rPr>
          <w:sz w:val="18"/>
          <w:szCs w:val="18"/>
          <w:lang w:val="tr-TR"/>
        </w:rPr>
        <w:t>CTC-</w:t>
      </w:r>
      <w:r w:rsidR="00D51DC2" w:rsidRPr="00DA1422">
        <w:rPr>
          <w:sz w:val="18"/>
          <w:szCs w:val="18"/>
          <w:lang w:val="tr-TR"/>
        </w:rPr>
        <w:t xml:space="preserve">BM Güvenlik </w:t>
      </w:r>
      <w:r w:rsidR="00AD257D" w:rsidRPr="00DA1422">
        <w:rPr>
          <w:sz w:val="18"/>
          <w:szCs w:val="18"/>
          <w:lang w:val="tr-TR"/>
        </w:rPr>
        <w:t xml:space="preserve">Konseyi </w:t>
      </w:r>
      <w:r w:rsidR="008B0959" w:rsidRPr="00DA1422">
        <w:rPr>
          <w:sz w:val="18"/>
          <w:szCs w:val="18"/>
          <w:lang w:val="tr-TR"/>
        </w:rPr>
        <w:t xml:space="preserve">Terörle Mücadele Komitesini kuran </w:t>
      </w:r>
      <w:r w:rsidR="00A44F32" w:rsidRPr="00DA1422">
        <w:rPr>
          <w:sz w:val="18"/>
          <w:szCs w:val="18"/>
          <w:lang w:val="tr-TR"/>
        </w:rPr>
        <w:t xml:space="preserve">ve terörizme karşı uygulanan </w:t>
      </w:r>
      <w:r w:rsidR="00925356" w:rsidRPr="00DA1422">
        <w:rPr>
          <w:sz w:val="18"/>
          <w:szCs w:val="18"/>
          <w:lang w:val="tr-TR"/>
        </w:rPr>
        <w:t xml:space="preserve">genel </w:t>
      </w:r>
      <w:r w:rsidR="00A44F32" w:rsidRPr="00DA1422">
        <w:rPr>
          <w:sz w:val="18"/>
          <w:szCs w:val="18"/>
          <w:lang w:val="tr-TR"/>
        </w:rPr>
        <w:t>yaptırımlar</w:t>
      </w:r>
      <w:r w:rsidR="00925356" w:rsidRPr="00DA1422">
        <w:rPr>
          <w:sz w:val="18"/>
          <w:szCs w:val="18"/>
          <w:lang w:val="tr-TR"/>
        </w:rPr>
        <w:t>a ilişkin</w:t>
      </w:r>
      <w:r w:rsidR="00A44F32" w:rsidRPr="00DA1422">
        <w:rPr>
          <w:sz w:val="18"/>
          <w:szCs w:val="18"/>
          <w:lang w:val="tr-TR"/>
        </w:rPr>
        <w:t xml:space="preserve"> </w:t>
      </w:r>
      <w:r w:rsidR="00192F18" w:rsidRPr="00DA1422">
        <w:rPr>
          <w:sz w:val="18"/>
          <w:szCs w:val="18"/>
          <w:lang w:val="tr-TR"/>
        </w:rPr>
        <w:t>1373 (2001) sayılı BM Güvenlik Konseyi kararı</w:t>
      </w:r>
      <w:r w:rsidR="00FA6180" w:rsidRPr="00DA1422">
        <w:rPr>
          <w:sz w:val="18"/>
          <w:szCs w:val="18"/>
          <w:lang w:val="tr-TR"/>
        </w:rPr>
        <w:t xml:space="preserve"> </w:t>
      </w:r>
      <w:r w:rsidR="00FA6180" w:rsidRPr="00DA1422">
        <w:rPr>
          <w:noProof/>
          <w:color w:val="010101"/>
          <w:w w:val="105"/>
          <w:sz w:val="17"/>
          <w:lang w:val="tr-TR"/>
        </w:rPr>
        <w:t>(</w:t>
      </w:r>
      <w:hyperlink r:id="rId4" w:history="1">
        <w:r w:rsidR="00FA6180" w:rsidRPr="00DA1422">
          <w:rPr>
            <w:rStyle w:val="Kpr"/>
            <w:noProof/>
            <w:w w:val="105"/>
            <w:sz w:val="17"/>
            <w:lang w:val="tr-TR"/>
          </w:rPr>
          <w:t>https://undocs.org/S/RES/1373(2001)</w:t>
        </w:r>
      </w:hyperlink>
      <w:r w:rsidR="00FA6180" w:rsidRPr="00DA1422">
        <w:rPr>
          <w:noProof/>
          <w:color w:val="010101"/>
          <w:w w:val="105"/>
          <w:sz w:val="17"/>
          <w:lang w:val="tr-TR"/>
        </w:rPr>
        <w:t>)</w:t>
      </w:r>
      <w:r w:rsidR="00FA6180" w:rsidRPr="00DA1422">
        <w:rPr>
          <w:noProof/>
          <w:color w:val="1F1F1F"/>
          <w:w w:val="105"/>
          <w:sz w:val="17"/>
          <w:lang w:val="tr-TR"/>
        </w:rPr>
        <w:t xml:space="preserve">, </w:t>
      </w:r>
      <w:r w:rsidR="007814FC" w:rsidRPr="00DA1422">
        <w:rPr>
          <w:sz w:val="18"/>
          <w:szCs w:val="18"/>
          <w:lang w:val="tr-TR"/>
        </w:rPr>
        <w:t xml:space="preserve">ve c) </w:t>
      </w:r>
      <w:r w:rsidR="00AD257D" w:rsidRPr="00DA1422">
        <w:rPr>
          <w:sz w:val="18"/>
          <w:szCs w:val="18"/>
          <w:lang w:val="tr-TR"/>
        </w:rPr>
        <w:t xml:space="preserve">kitle imha silahlarının yayılmasına karşı bir rejim oluşturan ve “1540 Komitesi” kuran </w:t>
      </w:r>
      <w:r w:rsidR="00AD257D" w:rsidRPr="00DA1422">
        <w:rPr>
          <w:noProof/>
          <w:color w:val="010101"/>
          <w:w w:val="105"/>
          <w:sz w:val="17"/>
          <w:lang w:val="tr-TR"/>
        </w:rPr>
        <w:t xml:space="preserve">1540(2004) </w:t>
      </w:r>
      <w:r w:rsidR="00AD257D" w:rsidRPr="00DA1422">
        <w:rPr>
          <w:sz w:val="18"/>
          <w:szCs w:val="18"/>
          <w:lang w:val="tr-TR"/>
        </w:rPr>
        <w:t xml:space="preserve">sayılı BM Güvenlik Konseyi </w:t>
      </w:r>
      <w:r w:rsidR="00F8117E" w:rsidRPr="00DA1422">
        <w:rPr>
          <w:sz w:val="18"/>
          <w:szCs w:val="18"/>
          <w:lang w:val="tr-TR"/>
        </w:rPr>
        <w:t xml:space="preserve">kararı ve devamı </w:t>
      </w:r>
      <w:r w:rsidR="00646840" w:rsidRPr="00DA1422">
        <w:rPr>
          <w:sz w:val="18"/>
          <w:szCs w:val="18"/>
          <w:lang w:val="tr-TR"/>
        </w:rPr>
        <w:t>niteliğindeki</w:t>
      </w:r>
      <w:r w:rsidR="00F8117E" w:rsidRPr="00DA1422">
        <w:rPr>
          <w:sz w:val="18"/>
          <w:szCs w:val="18"/>
          <w:lang w:val="tr-TR"/>
        </w:rPr>
        <w:t xml:space="preserve"> karar</w:t>
      </w:r>
      <w:r w:rsidR="00F8117E" w:rsidRPr="00DA1422">
        <w:rPr>
          <w:noProof/>
          <w:color w:val="010101"/>
          <w:w w:val="105"/>
          <w:sz w:val="17"/>
          <w:lang w:val="tr-TR"/>
        </w:rPr>
        <w:t xml:space="preserve"> (</w:t>
      </w:r>
      <w:hyperlink r:id="rId5" w:history="1">
        <w:r w:rsidR="00A77C29" w:rsidRPr="00DA1422">
          <w:rPr>
            <w:rStyle w:val="Kpr"/>
            <w:noProof/>
            <w:w w:val="105"/>
            <w:sz w:val="17"/>
            <w:lang w:val="tr-TR"/>
          </w:rPr>
          <w:t>https://undocs.org/S/RES/1540(2004)</w:t>
        </w:r>
      </w:hyperlink>
      <w:r w:rsidR="00F8117E" w:rsidRPr="00DA1422">
        <w:rPr>
          <w:noProof/>
          <w:color w:val="010101"/>
          <w:w w:val="105"/>
          <w:sz w:val="17"/>
          <w:lang w:val="tr-TR"/>
        </w:rPr>
        <w:t>)</w:t>
      </w:r>
      <w:r w:rsidR="00A77C29" w:rsidRPr="00DA1422">
        <w:rPr>
          <w:noProof/>
          <w:color w:val="313131"/>
          <w:w w:val="105"/>
          <w:sz w:val="17"/>
          <w:lang w:val="tr-TR"/>
        </w:rPr>
        <w:t xml:space="preserve">. </w:t>
      </w:r>
    </w:p>
  </w:footnote>
  <w:footnote w:id="7">
    <w:p w14:paraId="6C69F00C" w14:textId="6543507E" w:rsidR="00006631" w:rsidRPr="00DA1422" w:rsidRDefault="00006631">
      <w:pPr>
        <w:pStyle w:val="DipnotMetni"/>
        <w:rPr>
          <w:sz w:val="18"/>
          <w:szCs w:val="18"/>
          <w:lang w:val="tr-TR"/>
        </w:rPr>
      </w:pPr>
      <w:r w:rsidRPr="00DA1422">
        <w:rPr>
          <w:rStyle w:val="DipnotBavurusu"/>
          <w:lang w:val="tr-TR"/>
        </w:rPr>
        <w:footnoteRef/>
      </w:r>
      <w:r w:rsidRPr="00DA1422">
        <w:rPr>
          <w:lang w:val="tr-TR"/>
        </w:rPr>
        <w:t xml:space="preserve"> </w:t>
      </w:r>
      <w:r w:rsidRPr="00DA1422">
        <w:rPr>
          <w:sz w:val="18"/>
          <w:szCs w:val="18"/>
          <w:lang w:val="tr-TR"/>
        </w:rPr>
        <w:t xml:space="preserve">2462(2019) sayılı BM Güvenlik Konseyi Kararı, erişim adresi: </w:t>
      </w:r>
      <w:r w:rsidRPr="00DA1422">
        <w:rPr>
          <w:sz w:val="18"/>
          <w:szCs w:val="18"/>
          <w:u w:val="single"/>
          <w:lang w:val="tr-TR"/>
        </w:rPr>
        <w:t>https://undocs.org/S/RES/2462(2019)</w:t>
      </w:r>
    </w:p>
  </w:footnote>
  <w:footnote w:id="8">
    <w:p w14:paraId="6D2C7892" w14:textId="3732C001" w:rsidR="00BA1483" w:rsidRPr="00DA1422" w:rsidRDefault="00BA1483">
      <w:pPr>
        <w:pStyle w:val="DipnotMetni"/>
        <w:rPr>
          <w:sz w:val="18"/>
          <w:szCs w:val="18"/>
          <w:u w:val="single"/>
          <w:lang w:val="tr-TR"/>
        </w:rPr>
      </w:pPr>
      <w:r w:rsidRPr="00DA1422">
        <w:rPr>
          <w:rStyle w:val="DipnotBavurusu"/>
          <w:lang w:val="tr-TR"/>
        </w:rPr>
        <w:footnoteRef/>
      </w:r>
      <w:r w:rsidRPr="00DA1422">
        <w:rPr>
          <w:lang w:val="tr-TR"/>
        </w:rPr>
        <w:t xml:space="preserve"> </w:t>
      </w:r>
      <w:r w:rsidRPr="00DA1422">
        <w:rPr>
          <w:sz w:val="18"/>
          <w:szCs w:val="18"/>
          <w:lang w:val="tr-TR"/>
        </w:rPr>
        <w:t xml:space="preserve">Bakınız Ekim 2020’de güncellenen Kara Para Aklama ve Terörizmin </w:t>
      </w:r>
      <w:r w:rsidR="00571550" w:rsidRPr="00DA1422">
        <w:rPr>
          <w:sz w:val="18"/>
          <w:szCs w:val="18"/>
          <w:lang w:val="tr-TR"/>
        </w:rPr>
        <w:t xml:space="preserve">ve Yayılmasının Finansmanı </w:t>
      </w:r>
      <w:r w:rsidRPr="00DA1422">
        <w:rPr>
          <w:sz w:val="18"/>
          <w:szCs w:val="18"/>
          <w:lang w:val="tr-TR"/>
        </w:rPr>
        <w:t xml:space="preserve">ile Mücadelede Uluslararası Standartlar (FATF Tavsiyeleri), erişim adresi: </w:t>
      </w:r>
      <w:r w:rsidRPr="00DA1422">
        <w:rPr>
          <w:sz w:val="18"/>
          <w:szCs w:val="18"/>
          <w:u w:val="single"/>
          <w:lang w:val="tr-TR"/>
        </w:rPr>
        <w:t>Documents - Financial Action Task Force (FATF) (fatf-gafi.org)</w:t>
      </w:r>
    </w:p>
  </w:footnote>
  <w:footnote w:id="9">
    <w:p w14:paraId="4D617999" w14:textId="4AA929B8" w:rsidR="00357AF9" w:rsidRPr="00DA1422" w:rsidRDefault="00357AF9">
      <w:pPr>
        <w:pStyle w:val="DipnotMetni"/>
        <w:rPr>
          <w:sz w:val="18"/>
          <w:szCs w:val="18"/>
          <w:u w:val="single"/>
          <w:lang w:val="tr-TR"/>
        </w:rPr>
      </w:pPr>
      <w:r w:rsidRPr="00DA1422">
        <w:rPr>
          <w:rStyle w:val="DipnotBavurusu"/>
          <w:lang w:val="tr-TR"/>
        </w:rPr>
        <w:footnoteRef/>
      </w:r>
      <w:r w:rsidRPr="00DA1422">
        <w:rPr>
          <w:lang w:val="tr-TR"/>
        </w:rPr>
        <w:t xml:space="preserve"> </w:t>
      </w:r>
      <w:r w:rsidRPr="00DA1422">
        <w:rPr>
          <w:sz w:val="18"/>
          <w:szCs w:val="18"/>
          <w:lang w:val="tr-TR"/>
        </w:rPr>
        <w:t xml:space="preserve">Bakınız Kara Para Aklama ve Terörizmin Finansmanı ile Mücadelede Tedbirler, Türkiye, </w:t>
      </w:r>
      <w:r w:rsidR="00646840">
        <w:rPr>
          <w:sz w:val="18"/>
          <w:szCs w:val="18"/>
          <w:lang w:val="tr-TR"/>
        </w:rPr>
        <w:t>Karşılıklı</w:t>
      </w:r>
      <w:r w:rsidRPr="00DA1422">
        <w:rPr>
          <w:sz w:val="18"/>
          <w:szCs w:val="18"/>
          <w:lang w:val="tr-TR"/>
        </w:rPr>
        <w:t xml:space="preserve"> Değerlendirme Raporu, erişim adresi: </w:t>
      </w:r>
      <w:r w:rsidRPr="00DA1422">
        <w:rPr>
          <w:sz w:val="18"/>
          <w:szCs w:val="18"/>
          <w:u w:val="single"/>
          <w:lang w:val="tr-TR"/>
        </w:rPr>
        <w:t>Mutual-Evaluation-Repo rt-Turkey-2019.pdf (fatf-gafi.org)</w:t>
      </w:r>
    </w:p>
  </w:footnote>
  <w:footnote w:id="10">
    <w:p w14:paraId="61C05701" w14:textId="5B9FBF58" w:rsidR="00BD7E5C" w:rsidRPr="008D4FA6" w:rsidRDefault="00BD7E5C">
      <w:pPr>
        <w:pStyle w:val="DipnotMetni"/>
        <w:rPr>
          <w:sz w:val="18"/>
          <w:szCs w:val="18"/>
          <w:lang w:val="tr-TR"/>
        </w:rPr>
      </w:pPr>
      <w:r w:rsidRPr="00283AB2">
        <w:rPr>
          <w:rStyle w:val="DipnotBavurusu"/>
          <w:lang w:val="tr-TR"/>
        </w:rPr>
        <w:footnoteRef/>
      </w:r>
      <w:r w:rsidRPr="00283AB2">
        <w:rPr>
          <w:lang w:val="tr-TR"/>
        </w:rPr>
        <w:t xml:space="preserve"> </w:t>
      </w:r>
      <w:r w:rsidRPr="008D4FA6">
        <w:rPr>
          <w:sz w:val="18"/>
          <w:szCs w:val="18"/>
          <w:lang w:val="tr-TR"/>
        </w:rPr>
        <w:t>Bakınız a.g.e. sayfa 181-182. FATF’nın 8 sayılı tavsiyesi: “</w:t>
      </w:r>
      <w:r w:rsidR="00EC7827" w:rsidRPr="008D4FA6">
        <w:rPr>
          <w:sz w:val="18"/>
          <w:szCs w:val="18"/>
          <w:lang w:val="tr-TR"/>
        </w:rPr>
        <w:t>Ülkeler, terörizmin fina</w:t>
      </w:r>
      <w:r w:rsidR="00DD23E0" w:rsidRPr="008D4FA6">
        <w:rPr>
          <w:sz w:val="18"/>
          <w:szCs w:val="18"/>
          <w:lang w:val="tr-TR"/>
        </w:rPr>
        <w:t>n</w:t>
      </w:r>
      <w:r w:rsidR="00EC7827" w:rsidRPr="008D4FA6">
        <w:rPr>
          <w:sz w:val="18"/>
          <w:szCs w:val="18"/>
          <w:lang w:val="tr-TR"/>
        </w:rPr>
        <w:t xml:space="preserve">smanı amacıyla istismar edilmeye karşı zafiyeti olduğunu tespit ettikleri kar amacı gütmeyen kuruluşlar ile ilgili kanunların ve düzenlemelerin yeterliliğini incelemelidir. Ülkeler, bu kuruluşları terörizmin finansmanı amaçlı istismardan korumak için, risk temelli yaklaşıma uygun olarak odaklı ve ölçülü tedbirler uygulamalıdır. TF amaçlı istismarlar, (a) meşru kuruluş kisvesi altında </w:t>
      </w:r>
      <w:r w:rsidR="00DD23E0" w:rsidRPr="008D4FA6">
        <w:rPr>
          <w:sz w:val="18"/>
          <w:szCs w:val="18"/>
          <w:lang w:val="tr-TR"/>
        </w:rPr>
        <w:t>hareket</w:t>
      </w:r>
      <w:r w:rsidR="00EC7827" w:rsidRPr="008D4FA6">
        <w:rPr>
          <w:sz w:val="18"/>
          <w:szCs w:val="18"/>
          <w:lang w:val="tr-TR"/>
        </w:rPr>
        <w:t xml:space="preserve"> eden terör örgütleri; (b) malvarlığı dondurma tedbirlerinden kaçmak vs. gibi amaçlar </w:t>
      </w:r>
      <w:r w:rsidR="00DD23E0" w:rsidRPr="008D4FA6">
        <w:rPr>
          <w:sz w:val="18"/>
          <w:szCs w:val="18"/>
          <w:lang w:val="tr-TR"/>
        </w:rPr>
        <w:t>dâhil</w:t>
      </w:r>
      <w:r w:rsidR="00EC7827" w:rsidRPr="008D4FA6">
        <w:rPr>
          <w:sz w:val="18"/>
          <w:szCs w:val="18"/>
          <w:lang w:val="tr-TR"/>
        </w:rPr>
        <w:t>, meşru kuruluşların terörizmin finansmanı amacıyla araç olarak kullanılması; ve (c)  meşru amaçlar için kullanılması planlanan fonların gizlice terör örgütlerine aktarıldığının saklanması şeklinde olabilir.”</w:t>
      </w:r>
    </w:p>
  </w:footnote>
  <w:footnote w:id="11">
    <w:p w14:paraId="7A5569FB" w14:textId="3F4192FE" w:rsidR="00220C31" w:rsidRPr="008D4FA6" w:rsidRDefault="00220C31" w:rsidP="00220C31">
      <w:pPr>
        <w:pStyle w:val="DipnotMetni"/>
        <w:rPr>
          <w:sz w:val="18"/>
          <w:szCs w:val="18"/>
          <w:lang w:val="tr-TR"/>
        </w:rPr>
      </w:pPr>
      <w:r w:rsidRPr="008D4FA6">
        <w:rPr>
          <w:rStyle w:val="DipnotBavurusu"/>
          <w:sz w:val="18"/>
          <w:szCs w:val="18"/>
          <w:lang w:val="tr-TR"/>
        </w:rPr>
        <w:footnoteRef/>
      </w:r>
      <w:r w:rsidRPr="008D4FA6">
        <w:rPr>
          <w:sz w:val="18"/>
          <w:szCs w:val="18"/>
          <w:lang w:val="tr-TR"/>
        </w:rPr>
        <w:t xml:space="preserve"> Bakınız Transitional lnstitute/Statewatch, Counter-Terrorism, 'Policy Laundering' and the FATF: Legalising Surveillance, Regulating Civil Society, erişim adresi: </w:t>
      </w:r>
      <w:hyperlink r:id="rId6" w:history="1">
        <w:r w:rsidRPr="008D4FA6">
          <w:rPr>
            <w:rStyle w:val="Kpr"/>
            <w:sz w:val="18"/>
            <w:szCs w:val="18"/>
            <w:lang w:val="tr-TR"/>
          </w:rPr>
          <w:t>https://www.statewatch.org/media/documents/analyses/no-171- fafp-report.pdf</w:t>
        </w:r>
      </w:hyperlink>
      <w:r w:rsidRPr="008D4FA6">
        <w:rPr>
          <w:sz w:val="18"/>
          <w:szCs w:val="18"/>
          <w:lang w:val="tr-TR"/>
        </w:rPr>
        <w:t>: Bakınız ayrıca Charity and Security Network, FATF and Human Rights, erişim adresi: https://charityandsecuri ty.orq/issue-briefs/fatf human rights/</w:t>
      </w:r>
    </w:p>
  </w:footnote>
  <w:footnote w:id="12">
    <w:p w14:paraId="27D6ACDB" w14:textId="6C6B28F0" w:rsidR="00220C31" w:rsidRPr="008D4FA6" w:rsidRDefault="00220C31">
      <w:pPr>
        <w:pStyle w:val="DipnotMetni"/>
        <w:rPr>
          <w:sz w:val="18"/>
          <w:szCs w:val="18"/>
          <w:lang w:val="tr-TR"/>
        </w:rPr>
      </w:pPr>
      <w:r w:rsidRPr="008D4FA6">
        <w:rPr>
          <w:rStyle w:val="DipnotBavurusu"/>
          <w:sz w:val="18"/>
          <w:szCs w:val="18"/>
          <w:lang w:val="tr-TR"/>
        </w:rPr>
        <w:footnoteRef/>
      </w:r>
      <w:r w:rsidRPr="008D4FA6">
        <w:rPr>
          <w:sz w:val="18"/>
          <w:szCs w:val="18"/>
          <w:lang w:val="tr-TR"/>
        </w:rPr>
        <w:t xml:space="preserve"> Bakınız a.g.e., s 7. </w:t>
      </w:r>
    </w:p>
  </w:footnote>
  <w:footnote w:id="13">
    <w:p w14:paraId="3EDD1B33" w14:textId="7B03072B" w:rsidR="00703C68" w:rsidRPr="008D4FA6" w:rsidRDefault="00703C68">
      <w:pPr>
        <w:pStyle w:val="DipnotMetni"/>
        <w:rPr>
          <w:sz w:val="18"/>
          <w:szCs w:val="18"/>
          <w:u w:val="single"/>
          <w:lang w:val="tr-TR"/>
        </w:rPr>
      </w:pPr>
      <w:r w:rsidRPr="008D4FA6">
        <w:rPr>
          <w:rStyle w:val="DipnotBavurusu"/>
          <w:sz w:val="18"/>
          <w:szCs w:val="18"/>
          <w:lang w:val="tr-TR"/>
        </w:rPr>
        <w:footnoteRef/>
      </w:r>
      <w:r w:rsidRPr="008D4FA6">
        <w:rPr>
          <w:sz w:val="18"/>
          <w:szCs w:val="18"/>
          <w:lang w:val="tr-TR"/>
        </w:rPr>
        <w:t xml:space="preserve"> Erişim adresi: </w:t>
      </w:r>
      <w:r w:rsidRPr="008D4FA6">
        <w:rPr>
          <w:sz w:val="18"/>
          <w:szCs w:val="18"/>
          <w:u w:val="single"/>
          <w:lang w:val="tr-TR"/>
        </w:rPr>
        <w:t>2-3261.pdf (tbmm.gov.tr)</w:t>
      </w:r>
    </w:p>
  </w:footnote>
  <w:footnote w:id="14">
    <w:p w14:paraId="3DBF0C4C" w14:textId="0B05B7E6" w:rsidR="00703C68" w:rsidRPr="008D4FA6" w:rsidRDefault="00703C68">
      <w:pPr>
        <w:pStyle w:val="DipnotMetni"/>
        <w:rPr>
          <w:sz w:val="18"/>
          <w:szCs w:val="18"/>
          <w:lang w:val="tr-TR"/>
        </w:rPr>
      </w:pPr>
      <w:r w:rsidRPr="008D4FA6">
        <w:rPr>
          <w:rStyle w:val="DipnotBavurusu"/>
          <w:sz w:val="18"/>
          <w:szCs w:val="18"/>
          <w:lang w:val="tr-TR"/>
        </w:rPr>
        <w:footnoteRef/>
      </w:r>
      <w:r w:rsidRPr="008D4FA6">
        <w:rPr>
          <w:sz w:val="18"/>
          <w:szCs w:val="18"/>
          <w:lang w:val="tr-TR"/>
        </w:rPr>
        <w:t xml:space="preserve"> Erişim adresi: https://www.resmiqazete.qov.tr/eskiler/2020/12/20201231M</w:t>
      </w:r>
      <w:r w:rsidR="00400392">
        <w:rPr>
          <w:sz w:val="18"/>
          <w:szCs w:val="18"/>
          <w:lang w:val="tr-TR"/>
        </w:rPr>
        <w:t>5</w:t>
      </w:r>
      <w:r w:rsidRPr="008D4FA6">
        <w:rPr>
          <w:sz w:val="18"/>
          <w:szCs w:val="18"/>
          <w:lang w:val="tr-TR"/>
        </w:rPr>
        <w:t>-19.htm</w:t>
      </w:r>
    </w:p>
  </w:footnote>
  <w:footnote w:id="15">
    <w:p w14:paraId="0B841D1B" w14:textId="59D3C9CD" w:rsidR="00CF50DD" w:rsidRPr="00283AB2" w:rsidRDefault="00CF50DD" w:rsidP="008C5C33">
      <w:pPr>
        <w:spacing w:line="242" w:lineRule="auto"/>
        <w:jc w:val="both"/>
        <w:rPr>
          <w:u w:val="single"/>
          <w:lang w:val="tr-TR"/>
        </w:rPr>
      </w:pPr>
      <w:r w:rsidRPr="00283AB2">
        <w:rPr>
          <w:rStyle w:val="DipnotBavurusu"/>
          <w:lang w:val="tr-TR"/>
        </w:rPr>
        <w:footnoteRef/>
      </w:r>
      <w:r w:rsidRPr="00283AB2">
        <w:rPr>
          <w:lang w:val="tr-TR"/>
        </w:rPr>
        <w:t xml:space="preserve"> </w:t>
      </w:r>
      <w:r w:rsidRPr="008D4FA6">
        <w:rPr>
          <w:sz w:val="18"/>
          <w:szCs w:val="18"/>
          <w:lang w:val="tr-TR"/>
        </w:rPr>
        <w:t>Terörle mücadelede insan haklarının ve temel özgürlüklerin geliştirilmesi ve korunmasına ilişkin Özel Raportör; Barışçıl toplantı ve örgütlenme özgürlüğü haklarına ilişkin Özel Raportör; ve İnsan hakları savunucularının durumuna ilişkin Özel</w:t>
      </w:r>
      <w:r w:rsidRPr="00283AB2">
        <w:rPr>
          <w:sz w:val="17"/>
          <w:lang w:val="tr-TR"/>
        </w:rPr>
        <w:t xml:space="preserve"> Raportörün yetki ve görevlerine bakınız. </w:t>
      </w:r>
      <w:r w:rsidRPr="00283AB2">
        <w:rPr>
          <w:color w:val="010101"/>
          <w:sz w:val="17"/>
          <w:lang w:val="tr-TR"/>
        </w:rPr>
        <w:t>OL</w:t>
      </w:r>
      <w:r w:rsidRPr="00283AB2">
        <w:rPr>
          <w:color w:val="010101"/>
          <w:spacing w:val="11"/>
          <w:sz w:val="17"/>
          <w:lang w:val="tr-TR"/>
        </w:rPr>
        <w:t xml:space="preserve"> </w:t>
      </w:r>
      <w:r w:rsidRPr="00283AB2">
        <w:rPr>
          <w:color w:val="010101"/>
          <w:sz w:val="17"/>
          <w:lang w:val="tr-TR"/>
        </w:rPr>
        <w:t>TUR</w:t>
      </w:r>
      <w:r w:rsidRPr="00283AB2">
        <w:rPr>
          <w:color w:val="010101"/>
          <w:spacing w:val="14"/>
          <w:sz w:val="17"/>
          <w:lang w:val="tr-TR"/>
        </w:rPr>
        <w:t xml:space="preserve"> </w:t>
      </w:r>
      <w:r w:rsidRPr="00283AB2">
        <w:rPr>
          <w:color w:val="010101"/>
          <w:sz w:val="17"/>
          <w:lang w:val="tr-TR"/>
        </w:rPr>
        <w:t>3/2021</w:t>
      </w:r>
      <w:r w:rsidRPr="00283AB2">
        <w:rPr>
          <w:color w:val="1D1D1D"/>
          <w:sz w:val="17"/>
          <w:lang w:val="tr-TR"/>
        </w:rPr>
        <w:t>,</w:t>
      </w:r>
      <w:r w:rsidRPr="00283AB2">
        <w:rPr>
          <w:color w:val="1D1D1D"/>
          <w:spacing w:val="2"/>
          <w:sz w:val="17"/>
          <w:lang w:val="tr-TR"/>
        </w:rPr>
        <w:t xml:space="preserve"> </w:t>
      </w:r>
      <w:r w:rsidRPr="00283AB2">
        <w:rPr>
          <w:color w:val="010101"/>
          <w:sz w:val="17"/>
          <w:lang w:val="tr-TR"/>
        </w:rPr>
        <w:t>Ill.</w:t>
      </w:r>
      <w:r w:rsidRPr="00283AB2">
        <w:rPr>
          <w:color w:val="010101"/>
          <w:spacing w:val="-5"/>
          <w:sz w:val="17"/>
          <w:lang w:val="tr-TR"/>
        </w:rPr>
        <w:t xml:space="preserve"> </w:t>
      </w:r>
      <w:r w:rsidRPr="00283AB2">
        <w:rPr>
          <w:color w:val="010101"/>
          <w:sz w:val="17"/>
          <w:lang w:val="tr-TR"/>
        </w:rPr>
        <w:t>i</w:t>
      </w:r>
      <w:r w:rsidRPr="00283AB2">
        <w:rPr>
          <w:color w:val="1D1D1D"/>
          <w:sz w:val="17"/>
          <w:lang w:val="tr-TR"/>
        </w:rPr>
        <w:t>,</w:t>
      </w:r>
      <w:r w:rsidRPr="00283AB2">
        <w:rPr>
          <w:color w:val="1D1D1D"/>
          <w:spacing w:val="-5"/>
          <w:sz w:val="17"/>
          <w:lang w:val="tr-TR"/>
        </w:rPr>
        <w:t xml:space="preserve"> </w:t>
      </w:r>
      <w:r w:rsidRPr="00283AB2">
        <w:rPr>
          <w:color w:val="010101"/>
          <w:sz w:val="17"/>
          <w:lang w:val="tr-TR"/>
        </w:rPr>
        <w:t>11</w:t>
      </w:r>
      <w:r w:rsidR="008C5C33" w:rsidRPr="00283AB2">
        <w:rPr>
          <w:color w:val="010101"/>
          <w:sz w:val="17"/>
          <w:lang w:val="tr-TR"/>
        </w:rPr>
        <w:t xml:space="preserve"> Şubat 2011. Bakınız ayrıca: </w:t>
      </w:r>
      <w:r w:rsidR="003E39CE" w:rsidRPr="00283AB2">
        <w:rPr>
          <w:i/>
          <w:iCs/>
          <w:color w:val="010101"/>
          <w:sz w:val="17"/>
          <w:lang w:val="tr-TR"/>
        </w:rPr>
        <w:t>Mali Eylem Görev Gücü Tavsiyelerinin Uygulanması ve Türkiye’de Sivil Topluma Etkilerinin İncelenmesi</w:t>
      </w:r>
      <w:r w:rsidR="003E39CE" w:rsidRPr="00283AB2">
        <w:rPr>
          <w:color w:val="010101"/>
          <w:sz w:val="17"/>
          <w:lang w:val="tr-TR"/>
        </w:rPr>
        <w:t xml:space="preserve">, Türkiye Üçüncü Sektör Vakfı, TÜSEV, Şubat 2021, s. 18, erişim adresi: </w:t>
      </w:r>
      <w:r w:rsidR="003E39CE" w:rsidRPr="00283AB2">
        <w:rPr>
          <w:color w:val="010101"/>
          <w:sz w:val="17"/>
          <w:u w:val="single"/>
          <w:lang w:val="tr-TR"/>
        </w:rPr>
        <w:t xml:space="preserve">https://www.tusev.org.tr/usrfiles/images/MaliEylemGorevGucuSivilToplumEN 26022021.pdf </w:t>
      </w:r>
    </w:p>
  </w:footnote>
  <w:footnote w:id="16">
    <w:p w14:paraId="1B7F1261" w14:textId="35AA052F" w:rsidR="008C5C33" w:rsidRPr="00283AB2" w:rsidRDefault="008C5C33" w:rsidP="008C5C33">
      <w:pPr>
        <w:pStyle w:val="DipnotMetni"/>
        <w:rPr>
          <w:sz w:val="17"/>
          <w:szCs w:val="22"/>
          <w:lang w:val="tr-TR"/>
        </w:rPr>
      </w:pPr>
      <w:r w:rsidRPr="00283AB2">
        <w:rPr>
          <w:rStyle w:val="DipnotBavurusu"/>
          <w:lang w:val="tr-TR"/>
        </w:rPr>
        <w:footnoteRef/>
      </w:r>
      <w:r w:rsidRPr="00283AB2">
        <w:rPr>
          <w:lang w:val="tr-TR"/>
        </w:rPr>
        <w:t xml:space="preserve"> </w:t>
      </w:r>
      <w:r w:rsidRPr="00283AB2">
        <w:rPr>
          <w:sz w:val="17"/>
          <w:szCs w:val="22"/>
          <w:lang w:val="tr-TR"/>
        </w:rPr>
        <w:t>BM Güvenlik Konseyinin şu kararlarına atıfta bulunulmuştur: BM Güvenlik Konseyi Kararı no</w:t>
      </w:r>
      <w:r w:rsidR="00F14E68">
        <w:rPr>
          <w:sz w:val="17"/>
          <w:szCs w:val="22"/>
          <w:lang w:val="tr-TR"/>
        </w:rPr>
        <w:t>.</w:t>
      </w:r>
      <w:r w:rsidRPr="00283AB2">
        <w:rPr>
          <w:sz w:val="17"/>
          <w:szCs w:val="22"/>
          <w:lang w:val="tr-TR"/>
        </w:rPr>
        <w:t xml:space="preserve"> 1267 (1999) ve devamı niteliğindeki kararlar 1988 (2011),1989 (2011) , 2253 (2015) and 1373 (2001) .</w:t>
      </w:r>
    </w:p>
  </w:footnote>
  <w:footnote w:id="17">
    <w:p w14:paraId="13D8D3C9" w14:textId="6879D52C" w:rsidR="00E22BF1" w:rsidRPr="00283AB2" w:rsidRDefault="00E22BF1">
      <w:pPr>
        <w:pStyle w:val="DipnotMetni"/>
        <w:rPr>
          <w:sz w:val="17"/>
          <w:szCs w:val="22"/>
          <w:lang w:val="tr-TR"/>
        </w:rPr>
      </w:pPr>
      <w:r w:rsidRPr="00283AB2">
        <w:rPr>
          <w:rStyle w:val="DipnotBavurusu"/>
          <w:lang w:val="tr-TR"/>
        </w:rPr>
        <w:footnoteRef/>
      </w:r>
      <w:r w:rsidRPr="00283AB2">
        <w:rPr>
          <w:lang w:val="tr-TR"/>
        </w:rPr>
        <w:t xml:space="preserve"> </w:t>
      </w:r>
      <w:r w:rsidRPr="00283AB2">
        <w:rPr>
          <w:sz w:val="17"/>
          <w:szCs w:val="22"/>
          <w:lang w:val="tr-TR"/>
        </w:rPr>
        <w:t>Bakınız üstteki no</w:t>
      </w:r>
      <w:r w:rsidR="00DD6B68" w:rsidRPr="00283AB2">
        <w:rPr>
          <w:sz w:val="17"/>
          <w:szCs w:val="22"/>
          <w:lang w:val="tr-TR"/>
        </w:rPr>
        <w:t>t</w:t>
      </w:r>
      <w:r w:rsidRPr="00283AB2">
        <w:rPr>
          <w:sz w:val="17"/>
          <w:szCs w:val="22"/>
          <w:lang w:val="tr-TR"/>
        </w:rPr>
        <w:t xml:space="preserve"> (not 9).</w:t>
      </w:r>
    </w:p>
  </w:footnote>
  <w:footnote w:id="18">
    <w:p w14:paraId="38BD0E71" w14:textId="7CFC1158" w:rsidR="00DD6B68" w:rsidRPr="00283AB2" w:rsidRDefault="00DD6B68">
      <w:pPr>
        <w:pStyle w:val="DipnotMetni"/>
        <w:rPr>
          <w:sz w:val="17"/>
          <w:szCs w:val="22"/>
          <w:u w:val="single"/>
          <w:lang w:val="tr-TR"/>
        </w:rPr>
      </w:pPr>
      <w:r w:rsidRPr="00283AB2">
        <w:rPr>
          <w:rStyle w:val="DipnotBavurusu"/>
          <w:lang w:val="tr-TR"/>
        </w:rPr>
        <w:footnoteRef/>
      </w:r>
      <w:r w:rsidRPr="00283AB2">
        <w:rPr>
          <w:lang w:val="tr-TR"/>
        </w:rPr>
        <w:t xml:space="preserve"> </w:t>
      </w:r>
      <w:r w:rsidRPr="00283AB2">
        <w:rPr>
          <w:sz w:val="17"/>
          <w:szCs w:val="22"/>
          <w:lang w:val="tr-TR"/>
        </w:rPr>
        <w:t xml:space="preserve">Bakınız </w:t>
      </w:r>
      <w:r w:rsidRPr="00283AB2">
        <w:rPr>
          <w:i/>
          <w:iCs/>
          <w:sz w:val="17"/>
          <w:szCs w:val="22"/>
          <w:lang w:val="tr-TR"/>
        </w:rPr>
        <w:t>üstteki not (not 15). Avrupa Konseyi Parlamenter Meclisinin</w:t>
      </w:r>
      <w:r w:rsidRPr="00283AB2">
        <w:rPr>
          <w:sz w:val="17"/>
          <w:szCs w:val="22"/>
          <w:lang w:val="tr-TR"/>
        </w:rPr>
        <w:t xml:space="preserve"> </w:t>
      </w:r>
      <w:r w:rsidRPr="00283AB2">
        <w:rPr>
          <w:i/>
          <w:iCs/>
          <w:sz w:val="17"/>
          <w:szCs w:val="22"/>
          <w:lang w:val="tr-TR"/>
        </w:rPr>
        <w:t>22 Nisan 2021 tarihli</w:t>
      </w:r>
      <w:r w:rsidRPr="00283AB2">
        <w:rPr>
          <w:sz w:val="17"/>
          <w:szCs w:val="22"/>
          <w:lang w:val="tr-TR"/>
        </w:rPr>
        <w:t xml:space="preserve"> </w:t>
      </w:r>
      <w:r w:rsidRPr="00283AB2">
        <w:rPr>
          <w:i/>
          <w:color w:val="010101"/>
          <w:w w:val="105"/>
          <w:sz w:val="17"/>
          <w:lang w:val="tr-TR"/>
        </w:rPr>
        <w:t xml:space="preserve">2376 (2021) sayılı Kararı, parag. 23.3, </w:t>
      </w:r>
      <w:r w:rsidRPr="00283AB2">
        <w:rPr>
          <w:sz w:val="17"/>
          <w:szCs w:val="22"/>
          <w:lang w:val="tr-TR"/>
        </w:rPr>
        <w:t>Bakınız</w:t>
      </w:r>
      <w:r w:rsidR="003172A6" w:rsidRPr="00283AB2">
        <w:rPr>
          <w:sz w:val="17"/>
          <w:szCs w:val="22"/>
          <w:lang w:val="tr-TR"/>
        </w:rPr>
        <w:t xml:space="preserve"> ayrıca,</w:t>
      </w:r>
      <w:r w:rsidRPr="00283AB2">
        <w:rPr>
          <w:sz w:val="17"/>
          <w:szCs w:val="22"/>
          <w:lang w:val="tr-TR"/>
        </w:rPr>
        <w:t xml:space="preserve"> </w:t>
      </w:r>
      <w:r w:rsidR="003172A6" w:rsidRPr="00283AB2">
        <w:rPr>
          <w:sz w:val="17"/>
          <w:szCs w:val="22"/>
          <w:lang w:val="tr-TR"/>
        </w:rPr>
        <w:t xml:space="preserve">kanun teklifinin anayasaya aykırı olduğu ve örgütlenme hakkının ihlali anlamına geldiği gerekçesi ile 694 STK tarafından imzalanan dilekçe, erişim adresi: </w:t>
      </w:r>
      <w:r w:rsidR="003172A6" w:rsidRPr="00283AB2">
        <w:rPr>
          <w:sz w:val="17"/>
          <w:szCs w:val="22"/>
          <w:u w:val="single"/>
          <w:lang w:val="tr-TR"/>
        </w:rPr>
        <w:t>https://siviltoplumsusturulamaz.org/</w:t>
      </w:r>
    </w:p>
  </w:footnote>
  <w:footnote w:id="19">
    <w:p w14:paraId="72C7AAD9" w14:textId="51A8DC65" w:rsidR="00D868FD" w:rsidRPr="00283AB2" w:rsidRDefault="00D868FD">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Bakanlar Komitesinin Avrupa’da sivil toplum örgütlerinin yasal statüsü hakkında Tavsiye Kararı, </w:t>
      </w:r>
      <w:r w:rsidRPr="00283AB2">
        <w:rPr>
          <w:color w:val="010101"/>
          <w:spacing w:val="-1"/>
          <w:sz w:val="18"/>
          <w:szCs w:val="18"/>
          <w:lang w:val="tr-TR"/>
        </w:rPr>
        <w:t xml:space="preserve">CM/Rec(2007)14, önsöz, parag 2. </w:t>
      </w:r>
    </w:p>
  </w:footnote>
  <w:footnote w:id="20">
    <w:p w14:paraId="57F8DC98" w14:textId="46E9054E" w:rsidR="00016D65" w:rsidRPr="00283AB2" w:rsidRDefault="00016D65">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Venedik Komisyonu, CDL-AD(2011 )035, Azerbaycan Cumhuriyetinde sivil toplum örgütlerine ilişkin mevzuatın insan hakları standartlarına uygunluğu hakkında Görüş, parag. 41</w:t>
      </w:r>
    </w:p>
  </w:footnote>
  <w:footnote w:id="21">
    <w:p w14:paraId="0BFBE28F" w14:textId="230B7FA7" w:rsidR="00124CC0" w:rsidRPr="00283AB2" w:rsidRDefault="00124CC0">
      <w:pPr>
        <w:pStyle w:val="DipnotMetni"/>
        <w:rPr>
          <w:sz w:val="18"/>
          <w:szCs w:val="18"/>
          <w:lang w:val="tr-TR"/>
        </w:rPr>
      </w:pPr>
      <w:r w:rsidRPr="00283AB2">
        <w:rPr>
          <w:rStyle w:val="DipnotBavurusu"/>
          <w:lang w:val="tr-TR"/>
        </w:rPr>
        <w:footnoteRef/>
      </w:r>
      <w:r w:rsidRPr="00283AB2">
        <w:rPr>
          <w:lang w:val="tr-TR"/>
        </w:rPr>
        <w:t xml:space="preserve"> </w:t>
      </w:r>
      <w:r w:rsidRPr="00283AB2">
        <w:rPr>
          <w:sz w:val="18"/>
          <w:szCs w:val="18"/>
          <w:lang w:val="tr-TR"/>
        </w:rPr>
        <w:t xml:space="preserve">Bakınız Venedik Komisyonu, CDL-AD(2011 )036-Belarus Cumhuriyetinde kayıt dışı derneklerin haklarına ilişkin ceza kanununun 193-1. maddesinin evrensel insan hakları standartlarına uygunluğu hakkında Görüş, parag 72. </w:t>
      </w:r>
    </w:p>
  </w:footnote>
  <w:footnote w:id="22">
    <w:p w14:paraId="3B516147" w14:textId="5317FCC8" w:rsidR="00052161" w:rsidRPr="00283AB2" w:rsidRDefault="00052161">
      <w:pPr>
        <w:pStyle w:val="DipnotMetni"/>
        <w:rPr>
          <w:sz w:val="18"/>
          <w:szCs w:val="18"/>
          <w:lang w:val="tr-TR"/>
        </w:rPr>
      </w:pPr>
      <w:r w:rsidRPr="00283AB2">
        <w:rPr>
          <w:rStyle w:val="DipnotBavurusu"/>
          <w:lang w:val="tr-TR"/>
        </w:rPr>
        <w:footnoteRef/>
      </w:r>
      <w:r w:rsidRPr="00283AB2">
        <w:rPr>
          <w:lang w:val="tr-TR"/>
        </w:rPr>
        <w:t xml:space="preserve"> </w:t>
      </w:r>
      <w:r w:rsidRPr="00283AB2">
        <w:rPr>
          <w:sz w:val="18"/>
          <w:szCs w:val="18"/>
          <w:lang w:val="tr-TR"/>
        </w:rPr>
        <w:t xml:space="preserve">Bakınız CDL-AD(2014)046, AGİT Demokratik Kurumlar ve İnsan Hakları Ofisi (AGİT/DKIHO) ve Venedik Komisyonu tarafından yayınlanan 2014 tarihli Örgütlenme Özgürlüğü Ortak Rehberi, parag. 71-75. </w:t>
      </w:r>
    </w:p>
  </w:footnote>
  <w:footnote w:id="23">
    <w:p w14:paraId="45D2B322" w14:textId="77734046" w:rsidR="00052161" w:rsidRPr="00283AB2" w:rsidRDefault="00052161" w:rsidP="00052161">
      <w:pPr>
        <w:pStyle w:val="DipnotMetni"/>
        <w:rPr>
          <w:sz w:val="18"/>
          <w:szCs w:val="18"/>
          <w:lang w:val="tr-TR"/>
        </w:rPr>
      </w:pPr>
      <w:r w:rsidRPr="00283AB2">
        <w:rPr>
          <w:rStyle w:val="DipnotBavurusu"/>
          <w:lang w:val="tr-TR"/>
        </w:rPr>
        <w:footnoteRef/>
      </w:r>
      <w:r w:rsidRPr="00283AB2">
        <w:rPr>
          <w:lang w:val="tr-TR"/>
        </w:rPr>
        <w:t xml:space="preserve"> </w:t>
      </w:r>
      <w:r w:rsidRPr="00283AB2">
        <w:rPr>
          <w:sz w:val="18"/>
          <w:szCs w:val="18"/>
          <w:lang w:val="tr-TR"/>
        </w:rPr>
        <w:t>Bakınız AİHM, Cumhuriyet halk partisi – Türkiye davası, başvuru no.19920/13; 26.04.2016 tarihli karar, parag. 86, 97 ve 105.</w:t>
      </w:r>
    </w:p>
  </w:footnote>
  <w:footnote w:id="24">
    <w:p w14:paraId="5886EAA5" w14:textId="344880B4" w:rsidR="00211F9F" w:rsidRPr="00283AB2" w:rsidRDefault="00211F9F">
      <w:pPr>
        <w:pStyle w:val="DipnotMetni"/>
        <w:rPr>
          <w:sz w:val="18"/>
          <w:szCs w:val="18"/>
          <w:lang w:val="tr-TR"/>
        </w:rPr>
      </w:pPr>
      <w:r w:rsidRPr="00283AB2">
        <w:rPr>
          <w:rStyle w:val="DipnotBavurusu"/>
          <w:lang w:val="tr-TR"/>
        </w:rPr>
        <w:footnoteRef/>
      </w:r>
      <w:r w:rsidRPr="00283AB2">
        <w:rPr>
          <w:lang w:val="tr-TR"/>
        </w:rPr>
        <w:t xml:space="preserve"> </w:t>
      </w:r>
      <w:r w:rsidRPr="00283AB2">
        <w:rPr>
          <w:sz w:val="18"/>
          <w:szCs w:val="18"/>
          <w:lang w:val="tr-TR"/>
        </w:rPr>
        <w:t xml:space="preserve">Bakınız Uluslararası Çalışma Örgütü (ILO), </w:t>
      </w:r>
      <w:r w:rsidRPr="00283AB2">
        <w:rPr>
          <w:color w:val="010101"/>
          <w:w w:val="95"/>
          <w:sz w:val="18"/>
          <w:szCs w:val="18"/>
          <w:lang w:val="tr-TR"/>
        </w:rPr>
        <w:t>Digest</w:t>
      </w:r>
      <w:r w:rsidRPr="00283AB2">
        <w:rPr>
          <w:color w:val="010101"/>
          <w:spacing w:val="1"/>
          <w:w w:val="95"/>
          <w:sz w:val="18"/>
          <w:szCs w:val="18"/>
          <w:lang w:val="tr-TR"/>
        </w:rPr>
        <w:t xml:space="preserve"> </w:t>
      </w:r>
      <w:r w:rsidRPr="00283AB2">
        <w:rPr>
          <w:color w:val="010101"/>
          <w:w w:val="95"/>
          <w:sz w:val="18"/>
          <w:szCs w:val="18"/>
          <w:lang w:val="tr-TR"/>
        </w:rPr>
        <w:t>of</w:t>
      </w:r>
      <w:r w:rsidRPr="00283AB2">
        <w:rPr>
          <w:color w:val="010101"/>
          <w:spacing w:val="1"/>
          <w:w w:val="95"/>
          <w:sz w:val="18"/>
          <w:szCs w:val="18"/>
          <w:lang w:val="tr-TR"/>
        </w:rPr>
        <w:t xml:space="preserve"> </w:t>
      </w:r>
      <w:r w:rsidRPr="00283AB2">
        <w:rPr>
          <w:color w:val="010101"/>
          <w:w w:val="95"/>
          <w:sz w:val="18"/>
          <w:szCs w:val="18"/>
          <w:lang w:val="tr-TR"/>
        </w:rPr>
        <w:t>decisions</w:t>
      </w:r>
      <w:r w:rsidRPr="00283AB2">
        <w:rPr>
          <w:color w:val="010101"/>
          <w:spacing w:val="1"/>
          <w:w w:val="95"/>
          <w:sz w:val="18"/>
          <w:szCs w:val="18"/>
          <w:lang w:val="tr-TR"/>
        </w:rPr>
        <w:t xml:space="preserve"> </w:t>
      </w:r>
      <w:r w:rsidRPr="00283AB2">
        <w:rPr>
          <w:color w:val="010101"/>
          <w:w w:val="95"/>
          <w:sz w:val="18"/>
          <w:szCs w:val="18"/>
          <w:lang w:val="tr-TR"/>
        </w:rPr>
        <w:t>and</w:t>
      </w:r>
      <w:r w:rsidRPr="00283AB2">
        <w:rPr>
          <w:color w:val="010101"/>
          <w:spacing w:val="1"/>
          <w:w w:val="95"/>
          <w:sz w:val="18"/>
          <w:szCs w:val="18"/>
          <w:lang w:val="tr-TR"/>
        </w:rPr>
        <w:t xml:space="preserve"> </w:t>
      </w:r>
      <w:r w:rsidRPr="00283AB2">
        <w:rPr>
          <w:color w:val="010101"/>
          <w:w w:val="95"/>
          <w:sz w:val="18"/>
          <w:szCs w:val="18"/>
          <w:lang w:val="tr-TR"/>
        </w:rPr>
        <w:t>principles</w:t>
      </w:r>
      <w:r w:rsidRPr="00283AB2">
        <w:rPr>
          <w:color w:val="010101"/>
          <w:spacing w:val="1"/>
          <w:w w:val="95"/>
          <w:sz w:val="18"/>
          <w:szCs w:val="18"/>
          <w:lang w:val="tr-TR"/>
        </w:rPr>
        <w:t xml:space="preserve"> </w:t>
      </w:r>
      <w:r w:rsidRPr="00283AB2">
        <w:rPr>
          <w:color w:val="010101"/>
          <w:w w:val="95"/>
          <w:sz w:val="18"/>
          <w:szCs w:val="18"/>
          <w:lang w:val="tr-TR"/>
        </w:rPr>
        <w:t>of</w:t>
      </w:r>
      <w:r w:rsidRPr="00283AB2">
        <w:rPr>
          <w:color w:val="010101"/>
          <w:spacing w:val="1"/>
          <w:w w:val="95"/>
          <w:sz w:val="18"/>
          <w:szCs w:val="18"/>
          <w:lang w:val="tr-TR"/>
        </w:rPr>
        <w:t xml:space="preserve"> </w:t>
      </w:r>
      <w:r w:rsidRPr="00283AB2">
        <w:rPr>
          <w:color w:val="010101"/>
          <w:w w:val="95"/>
          <w:sz w:val="18"/>
          <w:szCs w:val="18"/>
          <w:lang w:val="tr-TR"/>
        </w:rPr>
        <w:t>the</w:t>
      </w:r>
      <w:r w:rsidRPr="00283AB2">
        <w:rPr>
          <w:color w:val="010101"/>
          <w:spacing w:val="1"/>
          <w:w w:val="95"/>
          <w:sz w:val="18"/>
          <w:szCs w:val="18"/>
          <w:lang w:val="tr-TR"/>
        </w:rPr>
        <w:t xml:space="preserve"> </w:t>
      </w:r>
      <w:r w:rsidRPr="00283AB2">
        <w:rPr>
          <w:color w:val="010101"/>
          <w:w w:val="95"/>
          <w:sz w:val="18"/>
          <w:szCs w:val="18"/>
          <w:lang w:val="tr-TR"/>
        </w:rPr>
        <w:t>Freedom</w:t>
      </w:r>
      <w:r w:rsidRPr="00283AB2">
        <w:rPr>
          <w:color w:val="010101"/>
          <w:spacing w:val="1"/>
          <w:w w:val="95"/>
          <w:sz w:val="18"/>
          <w:szCs w:val="18"/>
          <w:lang w:val="tr-TR"/>
        </w:rPr>
        <w:t xml:space="preserve"> </w:t>
      </w:r>
      <w:r w:rsidRPr="00283AB2">
        <w:rPr>
          <w:color w:val="010101"/>
          <w:w w:val="95"/>
          <w:sz w:val="18"/>
          <w:szCs w:val="18"/>
          <w:lang w:val="tr-TR"/>
        </w:rPr>
        <w:t>of</w:t>
      </w:r>
      <w:r w:rsidRPr="00283AB2">
        <w:rPr>
          <w:color w:val="010101"/>
          <w:spacing w:val="1"/>
          <w:w w:val="95"/>
          <w:sz w:val="18"/>
          <w:szCs w:val="18"/>
          <w:lang w:val="tr-TR"/>
        </w:rPr>
        <w:t xml:space="preserve"> </w:t>
      </w:r>
      <w:r w:rsidRPr="00283AB2">
        <w:rPr>
          <w:color w:val="010101"/>
          <w:w w:val="95"/>
          <w:sz w:val="18"/>
          <w:szCs w:val="18"/>
          <w:lang w:val="tr-TR"/>
        </w:rPr>
        <w:t>Association, ILO Yönetim Kurulu</w:t>
      </w:r>
      <w:r w:rsidR="00413D4A" w:rsidRPr="00283AB2">
        <w:rPr>
          <w:color w:val="010101"/>
          <w:w w:val="95"/>
          <w:sz w:val="18"/>
          <w:szCs w:val="18"/>
          <w:lang w:val="tr-TR"/>
        </w:rPr>
        <w:t>na bağlı</w:t>
      </w:r>
      <w:r w:rsidRPr="00283AB2">
        <w:rPr>
          <w:color w:val="010101"/>
          <w:w w:val="95"/>
          <w:sz w:val="18"/>
          <w:szCs w:val="18"/>
          <w:lang w:val="tr-TR"/>
        </w:rPr>
        <w:t xml:space="preserve"> Komite, beşinci (düzenlenmiş) baskısı, 2006, parag. 1072</w:t>
      </w:r>
    </w:p>
  </w:footnote>
  <w:footnote w:id="25">
    <w:p w14:paraId="0AD09CD8" w14:textId="290894E3" w:rsidR="00413D4A" w:rsidRPr="00283AB2" w:rsidRDefault="00413D4A" w:rsidP="00413D4A">
      <w:pPr>
        <w:spacing w:line="206" w:lineRule="exact"/>
        <w:ind w:right="342"/>
        <w:jc w:val="both"/>
        <w:rPr>
          <w:iCs/>
          <w:lang w:val="tr-TR"/>
        </w:rPr>
      </w:pPr>
      <w:r w:rsidRPr="00283AB2">
        <w:rPr>
          <w:rStyle w:val="DipnotBavurusu"/>
          <w:lang w:val="tr-TR"/>
        </w:rPr>
        <w:footnoteRef/>
      </w:r>
      <w:r w:rsidRPr="00283AB2">
        <w:rPr>
          <w:lang w:val="tr-TR"/>
        </w:rPr>
        <w:t xml:space="preserve"> </w:t>
      </w:r>
      <w:r w:rsidRPr="00283AB2">
        <w:rPr>
          <w:sz w:val="18"/>
          <w:szCs w:val="18"/>
          <w:lang w:val="tr-TR"/>
        </w:rPr>
        <w:t xml:space="preserve">Bakınız Bakanlar Komitesi, </w:t>
      </w:r>
      <w:r w:rsidRPr="00283AB2">
        <w:rPr>
          <w:i/>
          <w:color w:val="010101"/>
          <w:sz w:val="18"/>
          <w:szCs w:val="18"/>
          <w:lang w:val="tr-TR"/>
        </w:rPr>
        <w:t>CM/Rec</w:t>
      </w:r>
      <w:r w:rsidRPr="00283AB2">
        <w:rPr>
          <w:i/>
          <w:color w:val="010101"/>
          <w:sz w:val="17"/>
          <w:lang w:val="tr-TR"/>
        </w:rPr>
        <w:t xml:space="preserve">(2007)14, </w:t>
      </w:r>
      <w:r w:rsidRPr="00283AB2">
        <w:rPr>
          <w:color w:val="010101"/>
          <w:sz w:val="18"/>
          <w:lang w:val="tr-TR"/>
        </w:rPr>
        <w:t xml:space="preserve">parag. 76 ve 77; bakınız ayrıca BM Genel Kurulu, </w:t>
      </w:r>
      <w:r w:rsidRPr="00283AB2">
        <w:rPr>
          <w:i/>
          <w:color w:val="010101"/>
          <w:sz w:val="17"/>
          <w:lang w:val="tr-TR"/>
        </w:rPr>
        <w:t>Declaration</w:t>
      </w:r>
      <w:r w:rsidRPr="00283AB2">
        <w:rPr>
          <w:i/>
          <w:color w:val="010101"/>
          <w:spacing w:val="1"/>
          <w:sz w:val="17"/>
          <w:lang w:val="tr-TR"/>
        </w:rPr>
        <w:t xml:space="preserve"> </w:t>
      </w:r>
      <w:r w:rsidRPr="00283AB2">
        <w:rPr>
          <w:i/>
          <w:color w:val="010101"/>
          <w:w w:val="105"/>
          <w:sz w:val="17"/>
          <w:lang w:val="tr-TR"/>
        </w:rPr>
        <w:t>on</w:t>
      </w:r>
      <w:r w:rsidRPr="00283AB2">
        <w:rPr>
          <w:i/>
          <w:color w:val="010101"/>
          <w:spacing w:val="-6"/>
          <w:w w:val="105"/>
          <w:sz w:val="17"/>
          <w:lang w:val="tr-TR"/>
        </w:rPr>
        <w:t xml:space="preserve"> </w:t>
      </w:r>
      <w:r w:rsidRPr="00283AB2">
        <w:rPr>
          <w:i/>
          <w:color w:val="010101"/>
          <w:w w:val="105"/>
          <w:sz w:val="17"/>
          <w:lang w:val="tr-TR"/>
        </w:rPr>
        <w:t>the</w:t>
      </w:r>
      <w:r w:rsidRPr="00283AB2">
        <w:rPr>
          <w:i/>
          <w:color w:val="010101"/>
          <w:spacing w:val="-4"/>
          <w:w w:val="105"/>
          <w:sz w:val="17"/>
          <w:lang w:val="tr-TR"/>
        </w:rPr>
        <w:t xml:space="preserve"> </w:t>
      </w:r>
      <w:r w:rsidRPr="00283AB2">
        <w:rPr>
          <w:i/>
          <w:color w:val="010101"/>
          <w:w w:val="105"/>
          <w:sz w:val="17"/>
          <w:lang w:val="tr-TR"/>
        </w:rPr>
        <w:t>Right</w:t>
      </w:r>
      <w:r w:rsidRPr="00283AB2">
        <w:rPr>
          <w:i/>
          <w:color w:val="010101"/>
          <w:spacing w:val="-3"/>
          <w:w w:val="105"/>
          <w:sz w:val="17"/>
          <w:lang w:val="tr-TR"/>
        </w:rPr>
        <w:t xml:space="preserve"> </w:t>
      </w:r>
      <w:r w:rsidRPr="00283AB2">
        <w:rPr>
          <w:i/>
          <w:color w:val="010101"/>
          <w:w w:val="105"/>
          <w:sz w:val="17"/>
          <w:lang w:val="tr-TR"/>
        </w:rPr>
        <w:t>and</w:t>
      </w:r>
      <w:r w:rsidRPr="00283AB2">
        <w:rPr>
          <w:i/>
          <w:color w:val="010101"/>
          <w:spacing w:val="-4"/>
          <w:w w:val="105"/>
          <w:sz w:val="17"/>
          <w:lang w:val="tr-TR"/>
        </w:rPr>
        <w:t xml:space="preserve"> </w:t>
      </w:r>
      <w:r w:rsidRPr="00283AB2">
        <w:rPr>
          <w:i/>
          <w:color w:val="010101"/>
          <w:w w:val="105"/>
          <w:sz w:val="17"/>
          <w:lang w:val="tr-TR"/>
        </w:rPr>
        <w:t>Responsibility</w:t>
      </w:r>
      <w:r w:rsidRPr="00283AB2">
        <w:rPr>
          <w:i/>
          <w:color w:val="010101"/>
          <w:spacing w:val="-3"/>
          <w:w w:val="105"/>
          <w:sz w:val="17"/>
          <w:lang w:val="tr-TR"/>
        </w:rPr>
        <w:t xml:space="preserve"> </w:t>
      </w:r>
      <w:r w:rsidRPr="00283AB2">
        <w:rPr>
          <w:i/>
          <w:color w:val="010101"/>
          <w:w w:val="105"/>
          <w:sz w:val="17"/>
          <w:lang w:val="tr-TR"/>
        </w:rPr>
        <w:t>of</w:t>
      </w:r>
      <w:r w:rsidRPr="00283AB2">
        <w:rPr>
          <w:i/>
          <w:color w:val="010101"/>
          <w:spacing w:val="-3"/>
          <w:w w:val="105"/>
          <w:sz w:val="17"/>
          <w:lang w:val="tr-TR"/>
        </w:rPr>
        <w:t xml:space="preserve"> </w:t>
      </w:r>
      <w:r w:rsidRPr="00283AB2">
        <w:rPr>
          <w:i/>
          <w:color w:val="010101"/>
          <w:w w:val="105"/>
          <w:sz w:val="17"/>
          <w:lang w:val="tr-TR"/>
        </w:rPr>
        <w:t>Individuals</w:t>
      </w:r>
      <w:r w:rsidRPr="00283AB2">
        <w:rPr>
          <w:i/>
          <w:color w:val="313131"/>
          <w:w w:val="105"/>
          <w:sz w:val="17"/>
          <w:lang w:val="tr-TR"/>
        </w:rPr>
        <w:t>,</w:t>
      </w:r>
      <w:r w:rsidRPr="00283AB2">
        <w:rPr>
          <w:i/>
          <w:color w:val="313131"/>
          <w:spacing w:val="-1"/>
          <w:w w:val="105"/>
          <w:sz w:val="17"/>
          <w:lang w:val="tr-TR"/>
        </w:rPr>
        <w:t xml:space="preserve"> </w:t>
      </w:r>
      <w:r w:rsidRPr="00283AB2">
        <w:rPr>
          <w:i/>
          <w:color w:val="010101"/>
          <w:w w:val="105"/>
          <w:sz w:val="17"/>
          <w:lang w:val="tr-TR"/>
        </w:rPr>
        <w:t>Groups</w:t>
      </w:r>
      <w:r w:rsidRPr="00283AB2">
        <w:rPr>
          <w:i/>
          <w:color w:val="010101"/>
          <w:spacing w:val="1"/>
          <w:w w:val="105"/>
          <w:sz w:val="17"/>
          <w:lang w:val="tr-TR"/>
        </w:rPr>
        <w:t xml:space="preserve"> </w:t>
      </w:r>
      <w:r w:rsidRPr="00283AB2">
        <w:rPr>
          <w:i/>
          <w:color w:val="010101"/>
          <w:w w:val="105"/>
          <w:sz w:val="17"/>
          <w:lang w:val="tr-TR"/>
        </w:rPr>
        <w:t>and</w:t>
      </w:r>
      <w:r w:rsidRPr="00283AB2">
        <w:rPr>
          <w:i/>
          <w:color w:val="010101"/>
          <w:spacing w:val="-1"/>
          <w:w w:val="105"/>
          <w:sz w:val="17"/>
          <w:lang w:val="tr-TR"/>
        </w:rPr>
        <w:t xml:space="preserve"> </w:t>
      </w:r>
      <w:r w:rsidRPr="00283AB2">
        <w:rPr>
          <w:i/>
          <w:color w:val="010101"/>
          <w:w w:val="105"/>
          <w:sz w:val="17"/>
          <w:lang w:val="tr-TR"/>
        </w:rPr>
        <w:t>Organs</w:t>
      </w:r>
      <w:r w:rsidRPr="00283AB2">
        <w:rPr>
          <w:i/>
          <w:color w:val="010101"/>
          <w:spacing w:val="-1"/>
          <w:w w:val="105"/>
          <w:sz w:val="17"/>
          <w:lang w:val="tr-TR"/>
        </w:rPr>
        <w:t xml:space="preserve"> </w:t>
      </w:r>
      <w:r w:rsidRPr="00283AB2">
        <w:rPr>
          <w:i/>
          <w:color w:val="010101"/>
          <w:w w:val="105"/>
          <w:sz w:val="17"/>
          <w:lang w:val="tr-TR"/>
        </w:rPr>
        <w:t>of</w:t>
      </w:r>
      <w:r w:rsidRPr="00283AB2">
        <w:rPr>
          <w:i/>
          <w:color w:val="010101"/>
          <w:spacing w:val="-5"/>
          <w:w w:val="105"/>
          <w:sz w:val="17"/>
          <w:lang w:val="tr-TR"/>
        </w:rPr>
        <w:t xml:space="preserve"> </w:t>
      </w:r>
      <w:r w:rsidRPr="00283AB2">
        <w:rPr>
          <w:i/>
          <w:color w:val="010101"/>
          <w:w w:val="105"/>
          <w:sz w:val="17"/>
          <w:lang w:val="tr-TR"/>
        </w:rPr>
        <w:t>Society</w:t>
      </w:r>
      <w:r w:rsidRPr="00283AB2">
        <w:rPr>
          <w:i/>
          <w:color w:val="010101"/>
          <w:spacing w:val="8"/>
          <w:w w:val="105"/>
          <w:sz w:val="17"/>
          <w:lang w:val="tr-TR"/>
        </w:rPr>
        <w:t xml:space="preserve"> </w:t>
      </w:r>
      <w:r w:rsidRPr="00283AB2">
        <w:rPr>
          <w:i/>
          <w:color w:val="010101"/>
          <w:w w:val="105"/>
          <w:sz w:val="17"/>
          <w:lang w:val="tr-TR"/>
        </w:rPr>
        <w:t>to</w:t>
      </w:r>
      <w:r w:rsidRPr="00283AB2">
        <w:rPr>
          <w:i/>
          <w:color w:val="010101"/>
          <w:spacing w:val="-7"/>
          <w:w w:val="105"/>
          <w:sz w:val="17"/>
          <w:lang w:val="tr-TR"/>
        </w:rPr>
        <w:t xml:space="preserve"> </w:t>
      </w:r>
      <w:r w:rsidRPr="00283AB2">
        <w:rPr>
          <w:i/>
          <w:color w:val="010101"/>
          <w:w w:val="105"/>
          <w:sz w:val="17"/>
          <w:lang w:val="tr-TR"/>
        </w:rPr>
        <w:t>Promote</w:t>
      </w:r>
      <w:r w:rsidRPr="00283AB2">
        <w:rPr>
          <w:i/>
          <w:color w:val="010101"/>
          <w:spacing w:val="-3"/>
          <w:w w:val="105"/>
          <w:sz w:val="17"/>
          <w:lang w:val="tr-TR"/>
        </w:rPr>
        <w:t xml:space="preserve"> </w:t>
      </w:r>
      <w:r w:rsidRPr="00283AB2">
        <w:rPr>
          <w:i/>
          <w:color w:val="010101"/>
          <w:w w:val="105"/>
          <w:sz w:val="17"/>
          <w:lang w:val="tr-TR"/>
        </w:rPr>
        <w:t>and</w:t>
      </w:r>
      <w:r w:rsidRPr="00283AB2">
        <w:rPr>
          <w:i/>
          <w:color w:val="010101"/>
          <w:spacing w:val="-2"/>
          <w:w w:val="105"/>
          <w:sz w:val="17"/>
          <w:lang w:val="tr-TR"/>
        </w:rPr>
        <w:t xml:space="preserve"> </w:t>
      </w:r>
      <w:r w:rsidRPr="00283AB2">
        <w:rPr>
          <w:i/>
          <w:color w:val="010101"/>
          <w:w w:val="105"/>
          <w:sz w:val="17"/>
          <w:lang w:val="tr-TR"/>
        </w:rPr>
        <w:t>Protect</w:t>
      </w:r>
      <w:r w:rsidRPr="00283AB2">
        <w:rPr>
          <w:i/>
          <w:color w:val="010101"/>
          <w:spacing w:val="2"/>
          <w:w w:val="105"/>
          <w:sz w:val="17"/>
          <w:lang w:val="tr-TR"/>
        </w:rPr>
        <w:t xml:space="preserve"> </w:t>
      </w:r>
      <w:r w:rsidRPr="00283AB2">
        <w:rPr>
          <w:i/>
          <w:color w:val="010101"/>
          <w:w w:val="105"/>
          <w:sz w:val="17"/>
          <w:lang w:val="tr-TR"/>
        </w:rPr>
        <w:t>Universally Recognized</w:t>
      </w:r>
      <w:r w:rsidRPr="00283AB2">
        <w:rPr>
          <w:i/>
          <w:color w:val="010101"/>
          <w:spacing w:val="-3"/>
          <w:w w:val="105"/>
          <w:sz w:val="17"/>
          <w:lang w:val="tr-TR"/>
        </w:rPr>
        <w:t xml:space="preserve"> </w:t>
      </w:r>
      <w:r w:rsidRPr="00283AB2">
        <w:rPr>
          <w:i/>
          <w:color w:val="010101"/>
          <w:w w:val="105"/>
          <w:sz w:val="17"/>
          <w:lang w:val="tr-TR"/>
        </w:rPr>
        <w:t>Human</w:t>
      </w:r>
      <w:r w:rsidRPr="00283AB2">
        <w:rPr>
          <w:i/>
          <w:color w:val="010101"/>
          <w:spacing w:val="-6"/>
          <w:w w:val="105"/>
          <w:sz w:val="17"/>
          <w:lang w:val="tr-TR"/>
        </w:rPr>
        <w:t xml:space="preserve"> </w:t>
      </w:r>
      <w:r w:rsidRPr="00283AB2">
        <w:rPr>
          <w:i/>
          <w:color w:val="010101"/>
          <w:w w:val="105"/>
          <w:sz w:val="17"/>
          <w:lang w:val="tr-TR"/>
        </w:rPr>
        <w:t>Rights</w:t>
      </w:r>
      <w:r w:rsidRPr="00283AB2">
        <w:rPr>
          <w:i/>
          <w:color w:val="010101"/>
          <w:spacing w:val="-3"/>
          <w:w w:val="105"/>
          <w:sz w:val="17"/>
          <w:lang w:val="tr-TR"/>
        </w:rPr>
        <w:t xml:space="preserve"> </w:t>
      </w:r>
      <w:r w:rsidRPr="00283AB2">
        <w:rPr>
          <w:i/>
          <w:color w:val="010101"/>
          <w:w w:val="105"/>
          <w:sz w:val="17"/>
          <w:lang w:val="tr-TR"/>
        </w:rPr>
        <w:t>and</w:t>
      </w:r>
      <w:r w:rsidRPr="00283AB2">
        <w:rPr>
          <w:i/>
          <w:color w:val="010101"/>
          <w:spacing w:val="-6"/>
          <w:w w:val="105"/>
          <w:sz w:val="17"/>
          <w:lang w:val="tr-TR"/>
        </w:rPr>
        <w:t xml:space="preserve"> </w:t>
      </w:r>
      <w:r w:rsidRPr="00283AB2">
        <w:rPr>
          <w:i/>
          <w:color w:val="010101"/>
          <w:w w:val="105"/>
          <w:sz w:val="17"/>
          <w:lang w:val="tr-TR"/>
        </w:rPr>
        <w:t>Fundamental</w:t>
      </w:r>
      <w:r w:rsidRPr="00283AB2">
        <w:rPr>
          <w:i/>
          <w:color w:val="010101"/>
          <w:spacing w:val="3"/>
          <w:w w:val="105"/>
          <w:sz w:val="17"/>
          <w:lang w:val="tr-TR"/>
        </w:rPr>
        <w:t xml:space="preserve"> </w:t>
      </w:r>
      <w:r w:rsidRPr="00283AB2">
        <w:rPr>
          <w:i/>
          <w:color w:val="010101"/>
          <w:w w:val="105"/>
          <w:sz w:val="17"/>
          <w:lang w:val="tr-TR"/>
        </w:rPr>
        <w:t xml:space="preserve">Freedoms, </w:t>
      </w:r>
      <w:r w:rsidRPr="00283AB2">
        <w:rPr>
          <w:iCs/>
          <w:color w:val="010101"/>
          <w:w w:val="105"/>
          <w:sz w:val="17"/>
          <w:lang w:val="tr-TR"/>
        </w:rPr>
        <w:t xml:space="preserve">8. madde. </w:t>
      </w:r>
    </w:p>
  </w:footnote>
  <w:footnote w:id="26">
    <w:p w14:paraId="70D01664" w14:textId="46EF671F" w:rsidR="00121190" w:rsidRPr="00283AB2" w:rsidRDefault="00121190">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w:t>
      </w:r>
      <w:r w:rsidRPr="00283AB2">
        <w:rPr>
          <w:i/>
          <w:iCs/>
          <w:sz w:val="18"/>
          <w:szCs w:val="18"/>
          <w:lang w:val="tr-TR"/>
        </w:rPr>
        <w:t>Ortak Rehber,</w:t>
      </w:r>
      <w:r w:rsidRPr="00283AB2">
        <w:rPr>
          <w:sz w:val="18"/>
          <w:szCs w:val="18"/>
          <w:lang w:val="tr-TR"/>
        </w:rPr>
        <w:t xml:space="preserve"> parag. 169 ve 171</w:t>
      </w:r>
    </w:p>
  </w:footnote>
  <w:footnote w:id="27">
    <w:p w14:paraId="1BC4D23D" w14:textId="46CA879B" w:rsidR="00173444" w:rsidRPr="00283AB2" w:rsidRDefault="00173444">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a.g.e, parag. </w:t>
      </w:r>
      <w:r w:rsidRPr="00283AB2">
        <w:rPr>
          <w:color w:val="010101"/>
          <w:sz w:val="18"/>
          <w:szCs w:val="18"/>
          <w:lang w:val="tr-TR"/>
        </w:rPr>
        <w:t>174</w:t>
      </w:r>
      <w:r w:rsidRPr="00283AB2">
        <w:rPr>
          <w:color w:val="010101"/>
          <w:spacing w:val="7"/>
          <w:sz w:val="18"/>
          <w:szCs w:val="18"/>
          <w:lang w:val="tr-TR"/>
        </w:rPr>
        <w:t xml:space="preserve"> </w:t>
      </w:r>
      <w:r w:rsidRPr="00283AB2">
        <w:rPr>
          <w:color w:val="010101"/>
          <w:sz w:val="18"/>
          <w:szCs w:val="18"/>
          <w:lang w:val="tr-TR"/>
        </w:rPr>
        <w:t>ve</w:t>
      </w:r>
      <w:r w:rsidRPr="00283AB2">
        <w:rPr>
          <w:color w:val="010101"/>
          <w:spacing w:val="6"/>
          <w:sz w:val="18"/>
          <w:szCs w:val="18"/>
          <w:lang w:val="tr-TR"/>
        </w:rPr>
        <w:t xml:space="preserve"> </w:t>
      </w:r>
      <w:r w:rsidRPr="00283AB2">
        <w:rPr>
          <w:color w:val="010101"/>
          <w:sz w:val="18"/>
          <w:szCs w:val="18"/>
          <w:lang w:val="tr-TR"/>
        </w:rPr>
        <w:t>177</w:t>
      </w:r>
    </w:p>
  </w:footnote>
  <w:footnote w:id="28">
    <w:p w14:paraId="0D68F118" w14:textId="27F76556" w:rsidR="00BA5620" w:rsidRPr="00283AB2" w:rsidRDefault="00BA5620">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w:t>
      </w:r>
      <w:r w:rsidRPr="00283AB2">
        <w:rPr>
          <w:i/>
          <w:iCs/>
          <w:sz w:val="18"/>
          <w:szCs w:val="18"/>
          <w:lang w:val="tr-TR"/>
        </w:rPr>
        <w:t xml:space="preserve">Ortak Rehber, </w:t>
      </w:r>
      <w:r w:rsidRPr="00283AB2">
        <w:rPr>
          <w:sz w:val="18"/>
          <w:szCs w:val="18"/>
          <w:lang w:val="tr-TR"/>
        </w:rPr>
        <w:t>ilke 7, parag. 32; Bakınız ayrıca Bakanlar Komitesi CM/Rec(2007)14, parag. 50.</w:t>
      </w:r>
    </w:p>
  </w:footnote>
  <w:footnote w:id="29">
    <w:p w14:paraId="5906F668" w14:textId="57FBDA0E" w:rsidR="00BA5620" w:rsidRPr="00283AB2" w:rsidRDefault="00BA5620" w:rsidP="00BA5620">
      <w:pPr>
        <w:spacing w:line="214" w:lineRule="exact"/>
        <w:jc w:val="both"/>
        <w:rPr>
          <w:sz w:val="18"/>
          <w:szCs w:val="18"/>
          <w:lang w:val="tr-TR"/>
        </w:rPr>
      </w:pPr>
      <w:r w:rsidRPr="00283AB2">
        <w:rPr>
          <w:rStyle w:val="DipnotBavurusu"/>
          <w:sz w:val="18"/>
          <w:szCs w:val="18"/>
          <w:lang w:val="tr-TR"/>
        </w:rPr>
        <w:footnoteRef/>
      </w:r>
      <w:r w:rsidRPr="00283AB2">
        <w:rPr>
          <w:sz w:val="18"/>
          <w:szCs w:val="18"/>
          <w:lang w:val="tr-TR"/>
        </w:rPr>
        <w:t xml:space="preserve"> Bakınız Venedik Komisyonu, CDL-AD(2019)002 – Derneklere fon sağlanması hakkında rapor, parag.18.</w:t>
      </w:r>
    </w:p>
  </w:footnote>
  <w:footnote w:id="30">
    <w:p w14:paraId="0935E311" w14:textId="4AA72F9C" w:rsidR="00BA5620" w:rsidRPr="00283AB2" w:rsidRDefault="00BA5620">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a.g.e., parag 139.</w:t>
      </w:r>
    </w:p>
  </w:footnote>
  <w:footnote w:id="31">
    <w:p w14:paraId="04A34E85" w14:textId="36BA91DF" w:rsidR="001E5772" w:rsidRPr="00283AB2" w:rsidRDefault="001E5772">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Her iki sözleşmede kısıtlamaların yapılabilmesi için benzer gerekçeler sunulmaktadır. “Ulusal güvenlik ya da kamu güvenliği, kamu düzeni, kamu sağlığının ya da ahlakının korunması ya da </w:t>
      </w:r>
      <w:r w:rsidR="002B1DCE" w:rsidRPr="00283AB2">
        <w:rPr>
          <w:sz w:val="18"/>
          <w:szCs w:val="18"/>
          <w:lang w:val="tr-TR"/>
        </w:rPr>
        <w:t>başkalarının</w:t>
      </w:r>
      <w:r w:rsidRPr="00283AB2">
        <w:rPr>
          <w:sz w:val="18"/>
          <w:szCs w:val="18"/>
          <w:lang w:val="tr-TR"/>
        </w:rPr>
        <w:t xml:space="preserve"> hak ve özgürlüklerinin korunması”.</w:t>
      </w:r>
    </w:p>
  </w:footnote>
  <w:footnote w:id="32">
    <w:p w14:paraId="4E9BCF01" w14:textId="5431C6DC" w:rsidR="001E5772" w:rsidRPr="00283AB2" w:rsidRDefault="001E5772" w:rsidP="00795F46">
      <w:pPr>
        <w:spacing w:line="207" w:lineRule="exact"/>
        <w:jc w:val="both"/>
        <w:rPr>
          <w:sz w:val="18"/>
          <w:szCs w:val="18"/>
          <w:lang w:val="tr-TR"/>
        </w:rPr>
      </w:pPr>
      <w:r w:rsidRPr="00283AB2">
        <w:rPr>
          <w:rStyle w:val="DipnotBavurusu"/>
          <w:sz w:val="18"/>
          <w:szCs w:val="18"/>
          <w:lang w:val="tr-TR"/>
        </w:rPr>
        <w:footnoteRef/>
      </w:r>
      <w:r w:rsidRPr="00283AB2">
        <w:rPr>
          <w:sz w:val="18"/>
          <w:szCs w:val="18"/>
          <w:lang w:val="tr-TR"/>
        </w:rPr>
        <w:t xml:space="preserve"> Bakınız Venedik Komisyonu, CDL-</w:t>
      </w:r>
      <w:r w:rsidRPr="00283AB2">
        <w:rPr>
          <w:color w:val="010101"/>
          <w:w w:val="105"/>
          <w:sz w:val="18"/>
          <w:szCs w:val="18"/>
          <w:lang w:val="tr-TR"/>
        </w:rPr>
        <w:t>AD(2019)002</w:t>
      </w:r>
      <w:r w:rsidRPr="00283AB2">
        <w:rPr>
          <w:color w:val="010101"/>
          <w:spacing w:val="-4"/>
          <w:w w:val="105"/>
          <w:sz w:val="18"/>
          <w:szCs w:val="18"/>
          <w:lang w:val="tr-TR"/>
        </w:rPr>
        <w:t xml:space="preserve"> </w:t>
      </w:r>
      <w:r w:rsidRPr="00283AB2">
        <w:rPr>
          <w:color w:val="010101"/>
          <w:w w:val="105"/>
          <w:sz w:val="18"/>
          <w:szCs w:val="18"/>
          <w:lang w:val="tr-TR"/>
        </w:rPr>
        <w:t>-</w:t>
      </w:r>
      <w:r w:rsidRPr="00283AB2">
        <w:rPr>
          <w:color w:val="010101"/>
          <w:spacing w:val="1"/>
          <w:w w:val="105"/>
          <w:sz w:val="18"/>
          <w:szCs w:val="18"/>
          <w:lang w:val="tr-TR"/>
        </w:rPr>
        <w:t xml:space="preserve"> </w:t>
      </w:r>
      <w:r w:rsidR="00510905" w:rsidRPr="00283AB2">
        <w:rPr>
          <w:sz w:val="18"/>
          <w:szCs w:val="18"/>
          <w:lang w:val="tr-TR"/>
        </w:rPr>
        <w:t>Derneklere fon sağlanması hakkında rapor</w:t>
      </w:r>
      <w:r w:rsidRPr="00283AB2">
        <w:rPr>
          <w:color w:val="010101"/>
          <w:w w:val="105"/>
          <w:sz w:val="18"/>
          <w:szCs w:val="18"/>
          <w:lang w:val="tr-TR"/>
        </w:rPr>
        <w:t>,</w:t>
      </w:r>
      <w:r w:rsidRPr="00283AB2">
        <w:rPr>
          <w:color w:val="010101"/>
          <w:spacing w:val="12"/>
          <w:w w:val="105"/>
          <w:sz w:val="18"/>
          <w:szCs w:val="18"/>
          <w:lang w:val="tr-TR"/>
        </w:rPr>
        <w:t xml:space="preserve"> </w:t>
      </w:r>
      <w:r w:rsidRPr="00283AB2">
        <w:rPr>
          <w:color w:val="010101"/>
          <w:w w:val="105"/>
          <w:sz w:val="18"/>
          <w:szCs w:val="18"/>
          <w:lang w:val="tr-TR"/>
        </w:rPr>
        <w:t>parag</w:t>
      </w:r>
      <w:r w:rsidRPr="00283AB2">
        <w:rPr>
          <w:color w:val="313131"/>
          <w:w w:val="105"/>
          <w:sz w:val="18"/>
          <w:szCs w:val="18"/>
          <w:lang w:val="tr-TR"/>
        </w:rPr>
        <w:t>.</w:t>
      </w:r>
      <w:r w:rsidRPr="00283AB2">
        <w:rPr>
          <w:color w:val="313131"/>
          <w:spacing w:val="-4"/>
          <w:w w:val="105"/>
          <w:sz w:val="18"/>
          <w:szCs w:val="18"/>
          <w:lang w:val="tr-TR"/>
        </w:rPr>
        <w:t xml:space="preserve"> </w:t>
      </w:r>
      <w:r w:rsidRPr="00283AB2">
        <w:rPr>
          <w:color w:val="010101"/>
          <w:w w:val="105"/>
          <w:sz w:val="18"/>
          <w:szCs w:val="18"/>
          <w:lang w:val="tr-TR"/>
        </w:rPr>
        <w:t>9.</w:t>
      </w:r>
    </w:p>
  </w:footnote>
  <w:footnote w:id="33">
    <w:p w14:paraId="449841E4" w14:textId="56CBF4F8" w:rsidR="00510905" w:rsidRPr="00283AB2" w:rsidRDefault="00510905" w:rsidP="00795F46">
      <w:pPr>
        <w:spacing w:line="259" w:lineRule="auto"/>
        <w:ind w:right="76"/>
        <w:jc w:val="both"/>
        <w:rPr>
          <w:sz w:val="18"/>
          <w:szCs w:val="18"/>
          <w:lang w:val="tr-TR"/>
        </w:rPr>
      </w:pPr>
      <w:r w:rsidRPr="00283AB2">
        <w:rPr>
          <w:rStyle w:val="DipnotBavurusu"/>
          <w:sz w:val="18"/>
          <w:szCs w:val="18"/>
          <w:lang w:val="tr-TR"/>
        </w:rPr>
        <w:footnoteRef/>
      </w:r>
      <w:r w:rsidRPr="00283AB2">
        <w:rPr>
          <w:sz w:val="18"/>
          <w:szCs w:val="18"/>
          <w:lang w:val="tr-TR"/>
        </w:rPr>
        <w:t xml:space="preserve"> </w:t>
      </w:r>
      <w:r w:rsidRPr="00283AB2">
        <w:rPr>
          <w:color w:val="010101"/>
          <w:w w:val="105"/>
          <w:sz w:val="18"/>
          <w:szCs w:val="18"/>
          <w:lang w:val="tr-TR"/>
        </w:rPr>
        <w:t xml:space="preserve">Bakınız Ortak Rehber, İlke 10, bakınız ayrıca Venedik Komisyonu, </w:t>
      </w:r>
      <w:r w:rsidRPr="00283AB2">
        <w:rPr>
          <w:color w:val="010101"/>
          <w:spacing w:val="1"/>
          <w:w w:val="105"/>
          <w:sz w:val="18"/>
          <w:szCs w:val="18"/>
          <w:lang w:val="tr-TR"/>
        </w:rPr>
        <w:t xml:space="preserve"> </w:t>
      </w:r>
      <w:r w:rsidRPr="00283AB2">
        <w:rPr>
          <w:color w:val="010101"/>
          <w:w w:val="105"/>
          <w:sz w:val="18"/>
          <w:szCs w:val="18"/>
          <w:lang w:val="tr-TR"/>
        </w:rPr>
        <w:t xml:space="preserve">DL-AD(2019)002 - </w:t>
      </w:r>
      <w:r w:rsidRPr="00283AB2">
        <w:rPr>
          <w:sz w:val="18"/>
          <w:szCs w:val="18"/>
          <w:lang w:val="tr-TR"/>
        </w:rPr>
        <w:t>Derneklere fon sağlanması hakkında rapor</w:t>
      </w:r>
      <w:r w:rsidRPr="00283AB2">
        <w:rPr>
          <w:color w:val="010101"/>
          <w:w w:val="105"/>
          <w:sz w:val="18"/>
          <w:szCs w:val="18"/>
          <w:lang w:val="tr-TR"/>
        </w:rPr>
        <w:t>,</w:t>
      </w:r>
      <w:r w:rsidRPr="00283AB2">
        <w:rPr>
          <w:color w:val="010101"/>
          <w:spacing w:val="12"/>
          <w:w w:val="105"/>
          <w:sz w:val="18"/>
          <w:szCs w:val="18"/>
          <w:lang w:val="tr-TR"/>
        </w:rPr>
        <w:t xml:space="preserve"> </w:t>
      </w:r>
      <w:r w:rsidRPr="00283AB2">
        <w:rPr>
          <w:color w:val="010101"/>
          <w:w w:val="105"/>
          <w:sz w:val="18"/>
          <w:szCs w:val="18"/>
          <w:lang w:val="tr-TR"/>
        </w:rPr>
        <w:t>parag</w:t>
      </w:r>
      <w:r w:rsidRPr="00283AB2">
        <w:rPr>
          <w:color w:val="010101"/>
          <w:spacing w:val="4"/>
          <w:w w:val="105"/>
          <w:sz w:val="18"/>
          <w:szCs w:val="18"/>
          <w:lang w:val="tr-TR"/>
        </w:rPr>
        <w:t xml:space="preserve"> </w:t>
      </w:r>
      <w:r w:rsidRPr="00283AB2">
        <w:rPr>
          <w:color w:val="010101"/>
          <w:w w:val="105"/>
          <w:sz w:val="18"/>
          <w:szCs w:val="18"/>
          <w:lang w:val="tr-TR"/>
        </w:rPr>
        <w:t>147</w:t>
      </w:r>
      <w:r w:rsidRPr="00283AB2">
        <w:rPr>
          <w:color w:val="525252"/>
          <w:w w:val="105"/>
          <w:sz w:val="18"/>
          <w:szCs w:val="18"/>
          <w:lang w:val="tr-TR"/>
        </w:rPr>
        <w:t>.</w:t>
      </w:r>
    </w:p>
  </w:footnote>
  <w:footnote w:id="34">
    <w:p w14:paraId="25EE9B22" w14:textId="1FC5C0A1" w:rsidR="00322E9A" w:rsidRPr="00283AB2" w:rsidRDefault="00322E9A">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Ortak Rehber, parag. 113-115. Bakınız ayrıca Venedik Komisyonu, </w:t>
      </w:r>
      <w:r w:rsidRPr="00283AB2">
        <w:rPr>
          <w:color w:val="010101"/>
          <w:sz w:val="18"/>
          <w:szCs w:val="18"/>
          <w:lang w:val="tr-TR"/>
        </w:rPr>
        <w:t>CDL-AD(2019)002</w:t>
      </w:r>
      <w:r w:rsidRPr="00283AB2">
        <w:rPr>
          <w:sz w:val="18"/>
          <w:szCs w:val="18"/>
          <w:lang w:val="tr-TR"/>
        </w:rPr>
        <w:t xml:space="preserve"> Derneklere fon sağlanması hakkında rapor</w:t>
      </w:r>
      <w:r w:rsidRPr="00283AB2">
        <w:rPr>
          <w:color w:val="010101"/>
          <w:w w:val="105"/>
          <w:sz w:val="18"/>
          <w:szCs w:val="18"/>
          <w:lang w:val="tr-TR"/>
        </w:rPr>
        <w:t>,</w:t>
      </w:r>
      <w:r w:rsidRPr="00283AB2">
        <w:rPr>
          <w:color w:val="010101"/>
          <w:spacing w:val="12"/>
          <w:w w:val="105"/>
          <w:sz w:val="18"/>
          <w:szCs w:val="18"/>
          <w:lang w:val="tr-TR"/>
        </w:rPr>
        <w:t xml:space="preserve"> </w:t>
      </w:r>
      <w:r w:rsidRPr="00283AB2">
        <w:rPr>
          <w:color w:val="010101"/>
          <w:w w:val="105"/>
          <w:sz w:val="18"/>
          <w:szCs w:val="18"/>
          <w:lang w:val="tr-TR"/>
        </w:rPr>
        <w:t>parag</w:t>
      </w:r>
      <w:r w:rsidRPr="00283AB2">
        <w:rPr>
          <w:color w:val="010101"/>
          <w:spacing w:val="4"/>
          <w:w w:val="105"/>
          <w:sz w:val="18"/>
          <w:szCs w:val="18"/>
          <w:lang w:val="tr-TR"/>
        </w:rPr>
        <w:t xml:space="preserve"> </w:t>
      </w:r>
      <w:r w:rsidRPr="00283AB2">
        <w:rPr>
          <w:color w:val="010101"/>
          <w:w w:val="105"/>
          <w:sz w:val="18"/>
          <w:szCs w:val="18"/>
          <w:lang w:val="tr-TR"/>
        </w:rPr>
        <w:t xml:space="preserve">116. Bakınız AİHM, </w:t>
      </w:r>
      <w:r w:rsidRPr="00283AB2">
        <w:rPr>
          <w:i/>
          <w:color w:val="010101"/>
          <w:sz w:val="18"/>
          <w:szCs w:val="18"/>
          <w:lang w:val="tr-TR"/>
        </w:rPr>
        <w:t xml:space="preserve">Tebieti Muhafize Cemiyyeti ve lsrafilov – Azerbaycan davası, </w:t>
      </w:r>
      <w:r w:rsidRPr="00283AB2">
        <w:rPr>
          <w:iCs/>
          <w:color w:val="010101"/>
          <w:sz w:val="18"/>
          <w:szCs w:val="18"/>
          <w:lang w:val="tr-TR"/>
        </w:rPr>
        <w:t>başvuru no.</w:t>
      </w:r>
      <w:r w:rsidRPr="00283AB2">
        <w:rPr>
          <w:i/>
          <w:color w:val="010101"/>
          <w:sz w:val="18"/>
          <w:szCs w:val="18"/>
          <w:lang w:val="tr-TR"/>
        </w:rPr>
        <w:t xml:space="preserve"> </w:t>
      </w:r>
      <w:r w:rsidRPr="00283AB2">
        <w:rPr>
          <w:color w:val="010101"/>
          <w:sz w:val="18"/>
          <w:szCs w:val="18"/>
          <w:lang w:val="tr-TR"/>
        </w:rPr>
        <w:t>37083</w:t>
      </w:r>
      <w:r w:rsidRPr="00283AB2">
        <w:rPr>
          <w:color w:val="1F1F1F"/>
          <w:sz w:val="18"/>
          <w:szCs w:val="18"/>
          <w:lang w:val="tr-TR"/>
        </w:rPr>
        <w:t>/</w:t>
      </w:r>
      <w:r w:rsidRPr="00283AB2">
        <w:rPr>
          <w:color w:val="010101"/>
          <w:sz w:val="18"/>
          <w:szCs w:val="18"/>
          <w:lang w:val="tr-TR"/>
        </w:rPr>
        <w:t xml:space="preserve">03, 8 Ekim 2009 tarihli karar, parag. 82 ve 83. </w:t>
      </w:r>
    </w:p>
  </w:footnote>
  <w:footnote w:id="35">
    <w:p w14:paraId="31B2A7CE" w14:textId="2B62396F" w:rsidR="009640A9" w:rsidRPr="00283AB2" w:rsidRDefault="009640A9">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AİHM, Aliyev ve diğerleri- Azerbaycan davası, başvuru no.28736/05, 18 Aralık 2008 tarihli karar, parag. 35.</w:t>
      </w:r>
    </w:p>
  </w:footnote>
  <w:footnote w:id="36">
    <w:p w14:paraId="340246AF" w14:textId="34657A9B" w:rsidR="002B1DCE" w:rsidRPr="00283AB2" w:rsidRDefault="002B1DCE" w:rsidP="002B1DCE">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ör. AİHS (Madde 8.2; Madde 9.2, Madde 10.2 ve Madde 11.2), ICCPR (Madde 18.3, Madde 19.3 a ve b, Madde 21, Madde 22.2).</w:t>
      </w:r>
    </w:p>
  </w:footnote>
  <w:footnote w:id="37">
    <w:p w14:paraId="576E0F87" w14:textId="48AEFCEE" w:rsidR="00E255E1" w:rsidRPr="00283AB2" w:rsidRDefault="00E255E1">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Venedik Komisyonu, CDL-AD(2019)002 - </w:t>
      </w:r>
      <w:r w:rsidRPr="00283AB2">
        <w:rPr>
          <w:i/>
          <w:iCs/>
          <w:sz w:val="18"/>
          <w:szCs w:val="18"/>
          <w:lang w:val="tr-TR"/>
        </w:rPr>
        <w:t>Derneklere fon sağlanması hakkında rapor</w:t>
      </w:r>
      <w:r w:rsidRPr="00283AB2">
        <w:rPr>
          <w:sz w:val="18"/>
          <w:szCs w:val="18"/>
          <w:lang w:val="tr-TR"/>
        </w:rPr>
        <w:t>, B.</w:t>
      </w:r>
    </w:p>
  </w:footnote>
  <w:footnote w:id="38">
    <w:p w14:paraId="73D756AC" w14:textId="50159D01" w:rsidR="00A4236B" w:rsidRPr="00283AB2" w:rsidRDefault="00A4236B">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Ortak Rehber, parag. 263</w:t>
      </w:r>
    </w:p>
  </w:footnote>
  <w:footnote w:id="39">
    <w:p w14:paraId="58FEB204" w14:textId="17982E84" w:rsidR="00FF6E07" w:rsidRPr="00283AB2" w:rsidRDefault="00FF6E07">
      <w:pPr>
        <w:pStyle w:val="DipnotMetni"/>
        <w:rPr>
          <w:sz w:val="18"/>
          <w:szCs w:val="18"/>
          <w:u w:val="single"/>
          <w:lang w:val="tr-TR"/>
        </w:rPr>
      </w:pPr>
      <w:r w:rsidRPr="00283AB2">
        <w:rPr>
          <w:rStyle w:val="DipnotBavurusu"/>
          <w:sz w:val="18"/>
          <w:szCs w:val="18"/>
          <w:lang w:val="tr-TR"/>
        </w:rPr>
        <w:footnoteRef/>
      </w:r>
      <w:r w:rsidRPr="00283AB2">
        <w:rPr>
          <w:sz w:val="18"/>
          <w:szCs w:val="18"/>
          <w:lang w:val="tr-TR"/>
        </w:rPr>
        <w:t xml:space="preserve"> Bakınız Ortak Rehber, parag. 270. Ian Brown’ın 2013 tarihli Raporuna atıfta bulunulmaktadır, </w:t>
      </w:r>
      <w:r w:rsidRPr="00283AB2">
        <w:rPr>
          <w:i/>
          <w:iCs/>
          <w:sz w:val="18"/>
          <w:szCs w:val="18"/>
          <w:lang w:val="tr-TR"/>
        </w:rPr>
        <w:t>Report on Online Freedom of Expression , Assembly and Association and the Media in Europe</w:t>
      </w:r>
      <w:r w:rsidRPr="00283AB2">
        <w:rPr>
          <w:sz w:val="18"/>
          <w:szCs w:val="18"/>
          <w:lang w:val="tr-TR"/>
        </w:rPr>
        <w:t xml:space="preserve">, MCM(2013)007, erişim adresi </w:t>
      </w:r>
      <w:r w:rsidRPr="00283AB2">
        <w:rPr>
          <w:sz w:val="18"/>
          <w:szCs w:val="18"/>
          <w:u w:val="single"/>
          <w:lang w:val="tr-TR"/>
        </w:rPr>
        <w:t>https://rm.coe.int/1680484e7e</w:t>
      </w:r>
    </w:p>
  </w:footnote>
  <w:footnote w:id="40">
    <w:p w14:paraId="769ED99B" w14:textId="2E8E9BEF" w:rsidR="003C3DFA" w:rsidRPr="00283AB2" w:rsidRDefault="003C3DFA">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Venedik Komisyonu, CDL-AD (2006)015, </w:t>
      </w:r>
      <w:r w:rsidRPr="00283AB2">
        <w:rPr>
          <w:i/>
          <w:iCs/>
          <w:sz w:val="18"/>
          <w:szCs w:val="18"/>
          <w:lang w:val="tr-TR"/>
        </w:rPr>
        <w:t>Acil Durumlarda İnsan Haklarının Korunması Hakkında Görüş</w:t>
      </w:r>
      <w:r w:rsidRPr="00283AB2">
        <w:rPr>
          <w:sz w:val="18"/>
          <w:szCs w:val="18"/>
          <w:lang w:val="tr-TR"/>
        </w:rPr>
        <w:t>, 4 Nisan 2006, parag. 5.</w:t>
      </w:r>
    </w:p>
  </w:footnote>
  <w:footnote w:id="41">
    <w:p w14:paraId="49DB9EB8" w14:textId="245CCFAF" w:rsidR="003C3DFA" w:rsidRPr="00283AB2" w:rsidRDefault="003C3DFA">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Avrupa Konseyi Parlamenter Meclisinin 1840 (2011) sayılı Kararı, </w:t>
      </w:r>
      <w:r w:rsidRPr="00283AB2">
        <w:rPr>
          <w:i/>
          <w:iCs/>
          <w:sz w:val="18"/>
          <w:szCs w:val="18"/>
          <w:lang w:val="tr-TR"/>
        </w:rPr>
        <w:t>İnsan Hakları ve Terörle Mücadele</w:t>
      </w:r>
      <w:r w:rsidRPr="00283AB2">
        <w:rPr>
          <w:sz w:val="18"/>
          <w:szCs w:val="18"/>
          <w:lang w:val="tr-TR"/>
        </w:rPr>
        <w:t>, parag. 2.</w:t>
      </w:r>
    </w:p>
  </w:footnote>
  <w:footnote w:id="42">
    <w:p w14:paraId="15D9EB01" w14:textId="712127BE" w:rsidR="00944742" w:rsidRPr="00283AB2" w:rsidRDefault="00944742">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AİHM, </w:t>
      </w:r>
      <w:r w:rsidRPr="00A519A6">
        <w:rPr>
          <w:i/>
          <w:iCs/>
          <w:sz w:val="18"/>
          <w:szCs w:val="18"/>
          <w:lang w:val="tr-TR"/>
        </w:rPr>
        <w:t>Osman – Birleşik Krallık davası</w:t>
      </w:r>
      <w:r w:rsidRPr="00283AB2">
        <w:rPr>
          <w:sz w:val="18"/>
          <w:szCs w:val="18"/>
          <w:lang w:val="tr-TR"/>
        </w:rPr>
        <w:t xml:space="preserve">, başvuru no. 23452/94, 28 Ekim 1998 tarihli karar, parag. 115; bakınız ayrıca, </w:t>
      </w:r>
      <w:r w:rsidRPr="00A519A6">
        <w:rPr>
          <w:i/>
          <w:iCs/>
          <w:sz w:val="18"/>
          <w:szCs w:val="18"/>
          <w:lang w:val="tr-TR"/>
        </w:rPr>
        <w:t>Branko Tomasic ve Diğerleri- Hırvatistan davası</w:t>
      </w:r>
      <w:r w:rsidRPr="00283AB2">
        <w:rPr>
          <w:sz w:val="18"/>
          <w:szCs w:val="18"/>
          <w:lang w:val="tr-TR"/>
        </w:rPr>
        <w:t>, başvuru no. 46598/06, 15 Ocak 2009 tarihli karar, parag. 50.</w:t>
      </w:r>
    </w:p>
  </w:footnote>
  <w:footnote w:id="43">
    <w:p w14:paraId="043147D8" w14:textId="61DE4E25" w:rsidR="0086763E" w:rsidRPr="00283AB2" w:rsidRDefault="0086763E">
      <w:pPr>
        <w:pStyle w:val="DipnotMetni"/>
        <w:rPr>
          <w:sz w:val="18"/>
          <w:szCs w:val="18"/>
          <w:lang w:val="tr-TR"/>
        </w:rPr>
      </w:pPr>
      <w:r w:rsidRPr="00283AB2">
        <w:rPr>
          <w:rStyle w:val="DipnotBavurusu"/>
          <w:lang w:val="tr-TR"/>
        </w:rPr>
        <w:footnoteRef/>
      </w:r>
      <w:r w:rsidRPr="00283AB2">
        <w:rPr>
          <w:lang w:val="tr-TR"/>
        </w:rPr>
        <w:t xml:space="preserve"> </w:t>
      </w:r>
      <w:r w:rsidRPr="00283AB2">
        <w:rPr>
          <w:sz w:val="18"/>
          <w:szCs w:val="18"/>
          <w:lang w:val="tr-TR"/>
        </w:rPr>
        <w:t>Bakınız İnsan Hakları Evrensel Bildirgesinin önsözü, üçüncü paragraf.</w:t>
      </w:r>
    </w:p>
  </w:footnote>
  <w:footnote w:id="44">
    <w:p w14:paraId="3CCD08B4" w14:textId="7AE9E712" w:rsidR="0086763E" w:rsidRPr="00283AB2" w:rsidRDefault="0086763E">
      <w:pPr>
        <w:pStyle w:val="DipnotMetni"/>
        <w:rPr>
          <w:sz w:val="18"/>
          <w:szCs w:val="18"/>
          <w:lang w:val="tr-TR"/>
        </w:rPr>
      </w:pPr>
      <w:r w:rsidRPr="00283AB2">
        <w:rPr>
          <w:rStyle w:val="DipnotBavurusu"/>
          <w:lang w:val="tr-TR"/>
        </w:rPr>
        <w:footnoteRef/>
      </w:r>
      <w:r w:rsidRPr="00283AB2">
        <w:rPr>
          <w:lang w:val="tr-TR"/>
        </w:rPr>
        <w:t xml:space="preserve"> </w:t>
      </w:r>
      <w:r w:rsidR="00A326FF" w:rsidRPr="00283AB2">
        <w:rPr>
          <w:sz w:val="18"/>
          <w:szCs w:val="18"/>
          <w:lang w:val="tr-TR"/>
        </w:rPr>
        <w:t xml:space="preserve">Bakınız BM İnsan Hakları Yüksek Komiserinin gözlemleri, UN Doc.EICN.4/2002118, § 31. Bakınız ayrıca: Avrupa Hukuk Yoluyla Demokrasi Komisyonu, </w:t>
      </w:r>
      <w:r w:rsidR="00A326FF" w:rsidRPr="00176BB8">
        <w:rPr>
          <w:i/>
          <w:iCs/>
          <w:sz w:val="18"/>
          <w:szCs w:val="18"/>
          <w:lang w:val="tr-TR"/>
        </w:rPr>
        <w:t>Acil Durum Yetkileri</w:t>
      </w:r>
      <w:r w:rsidR="00A326FF" w:rsidRPr="00283AB2">
        <w:rPr>
          <w:sz w:val="18"/>
          <w:szCs w:val="18"/>
          <w:lang w:val="tr-TR"/>
        </w:rPr>
        <w:t xml:space="preserve">, Demokrasinin Bilim ve Tekniği No. 12 (1995), s.4; a.g.e, </w:t>
      </w:r>
      <w:r w:rsidR="00A326FF" w:rsidRPr="00176BB8">
        <w:rPr>
          <w:i/>
          <w:iCs/>
          <w:sz w:val="18"/>
          <w:szCs w:val="18"/>
          <w:lang w:val="tr-TR"/>
        </w:rPr>
        <w:t>Acil durumlarda insan hakları ve demokratik kuruluşların işleyişi</w:t>
      </w:r>
      <w:r w:rsidR="00A326FF" w:rsidRPr="00283AB2">
        <w:rPr>
          <w:sz w:val="18"/>
          <w:szCs w:val="18"/>
          <w:lang w:val="tr-TR"/>
        </w:rPr>
        <w:t>, Demokrasinin Bilim ve Tekniği No. 17 (1996), s. 143; a.g.e., Hukukun Üstünlüğü Kontrol Listesi, 18 Mart 2016, COL-AD (2016)007, parag 51.</w:t>
      </w:r>
    </w:p>
  </w:footnote>
  <w:footnote w:id="45">
    <w:p w14:paraId="0828FB5D" w14:textId="74C4694F" w:rsidR="00832045" w:rsidRPr="00283AB2" w:rsidRDefault="00832045">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ör. AİHS 8. maddenin 2. fıkrası (“ulusal güvenlik, kamu güvenliği”) 9. maddenin 2. fıkrası (“kamu güvenliği”), 10. maddesi2. fıkrası (“ulusal güvenlik (…) ya da kamu güvenliği) ve 11. maddenin 2. fıkrası (“ulusal güvenlik ya da kamu güvenliği”) ve 15. Madde. Bahsedilen ilk dört hükümde ayrıca “başkalarının hak ve özgürlüklerini korumak “da sınırlama yapma gerekçesi olarak gösterilmektedir.</w:t>
      </w:r>
    </w:p>
  </w:footnote>
  <w:footnote w:id="46">
    <w:p w14:paraId="093C2804" w14:textId="6543BC8D" w:rsidR="00153813" w:rsidRPr="00283AB2" w:rsidRDefault="00153813" w:rsidP="00153813">
      <w:pPr>
        <w:spacing w:before="12" w:line="259" w:lineRule="auto"/>
        <w:ind w:right="328" w:hanging="3"/>
        <w:jc w:val="both"/>
        <w:rPr>
          <w:sz w:val="18"/>
          <w:szCs w:val="18"/>
          <w:lang w:val="tr-TR"/>
        </w:rPr>
      </w:pPr>
      <w:r w:rsidRPr="00283AB2">
        <w:rPr>
          <w:rStyle w:val="DipnotBavurusu"/>
          <w:lang w:val="tr-TR"/>
        </w:rPr>
        <w:footnoteRef/>
      </w:r>
      <w:r w:rsidRPr="00283AB2">
        <w:rPr>
          <w:lang w:val="tr-TR"/>
        </w:rPr>
        <w:t xml:space="preserve"> </w:t>
      </w:r>
      <w:r w:rsidRPr="00283AB2">
        <w:rPr>
          <w:sz w:val="18"/>
          <w:szCs w:val="18"/>
          <w:lang w:val="tr-TR"/>
        </w:rPr>
        <w:t>Bakınız, Barışçıl toplantı ve örgütlenme özgürlüğü haklarına ilişkin Özel Raportör</w:t>
      </w:r>
      <w:r w:rsidR="00E73899">
        <w:rPr>
          <w:sz w:val="18"/>
          <w:szCs w:val="18"/>
          <w:lang w:val="tr-TR"/>
        </w:rPr>
        <w:t>ünün</w:t>
      </w:r>
      <w:r w:rsidRPr="00283AB2">
        <w:rPr>
          <w:sz w:val="18"/>
          <w:szCs w:val="18"/>
          <w:lang w:val="tr-TR"/>
        </w:rPr>
        <w:t xml:space="preserve"> B</w:t>
      </w:r>
      <w:r w:rsidR="00E73899">
        <w:rPr>
          <w:sz w:val="18"/>
          <w:szCs w:val="18"/>
          <w:lang w:val="tr-TR"/>
        </w:rPr>
        <w:t>M</w:t>
      </w:r>
      <w:r w:rsidRPr="00283AB2">
        <w:rPr>
          <w:sz w:val="18"/>
          <w:szCs w:val="18"/>
          <w:lang w:val="tr-TR"/>
        </w:rPr>
        <w:t xml:space="preserve"> İnsan Hakları Konseyine </w:t>
      </w:r>
      <w:r w:rsidR="00E73899">
        <w:rPr>
          <w:sz w:val="18"/>
          <w:szCs w:val="18"/>
          <w:lang w:val="tr-TR"/>
        </w:rPr>
        <w:t xml:space="preserve">sunduğu </w:t>
      </w:r>
      <w:r w:rsidRPr="00283AB2">
        <w:rPr>
          <w:sz w:val="18"/>
          <w:szCs w:val="18"/>
          <w:lang w:val="tr-TR"/>
        </w:rPr>
        <w:t>Rapor (Derneklere fon sağlanması ve barışçıl toplantıların düzenlenmesi), UN Doc. A/HRC/23/39,  24 Nisan 2013, parag. 35.</w:t>
      </w:r>
    </w:p>
    <w:p w14:paraId="515EBD62" w14:textId="63D7E51D" w:rsidR="00153813" w:rsidRPr="00283AB2" w:rsidRDefault="00153813">
      <w:pPr>
        <w:pStyle w:val="DipnotMetni"/>
        <w:rPr>
          <w:lang w:val="tr-TR"/>
        </w:rPr>
      </w:pPr>
    </w:p>
  </w:footnote>
  <w:footnote w:id="47">
    <w:p w14:paraId="1E90AD06" w14:textId="182E937B" w:rsidR="00810235" w:rsidRPr="00283AB2" w:rsidRDefault="00810235">
      <w:pPr>
        <w:pStyle w:val="DipnotMetni"/>
        <w:rPr>
          <w:sz w:val="18"/>
          <w:szCs w:val="18"/>
          <w:u w:val="single"/>
          <w:lang w:val="tr-TR"/>
        </w:rPr>
      </w:pPr>
      <w:r w:rsidRPr="00283AB2">
        <w:rPr>
          <w:rStyle w:val="DipnotBavurusu"/>
          <w:sz w:val="18"/>
          <w:szCs w:val="18"/>
          <w:lang w:val="tr-TR"/>
        </w:rPr>
        <w:footnoteRef/>
      </w:r>
      <w:r w:rsidRPr="00283AB2">
        <w:rPr>
          <w:sz w:val="18"/>
          <w:szCs w:val="18"/>
          <w:lang w:val="tr-TR"/>
        </w:rPr>
        <w:t xml:space="preserve"> Bakınız T.C. Anayasa Mahkemesinin 8.10.2015 tarihli kararı, AYM, E. 2014/140, K. 2015/85, erişim adresi: : </w:t>
      </w:r>
      <w:r w:rsidRPr="00283AB2">
        <w:rPr>
          <w:sz w:val="18"/>
          <w:szCs w:val="18"/>
          <w:u w:val="single"/>
          <w:lang w:val="tr-TR"/>
        </w:rPr>
        <w:t>https://www.lexpera.corn.tr/resmi-gazete/metin/RG801Y2015N29542S201585/1</w:t>
      </w:r>
    </w:p>
  </w:footnote>
  <w:footnote w:id="48">
    <w:p w14:paraId="79461409" w14:textId="088D0CF0" w:rsidR="00F43D22" w:rsidRPr="00283AB2" w:rsidRDefault="00F43D22" w:rsidP="004B555E">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390C2B" w:rsidRPr="00283AB2">
        <w:rPr>
          <w:sz w:val="18"/>
          <w:szCs w:val="18"/>
          <w:lang w:val="tr-TR"/>
        </w:rPr>
        <w:t>Bakınız Türkiye’nin İnsan Hakları Eylem Planı, Mart 2021,</w:t>
      </w:r>
      <w:r w:rsidR="004B555E" w:rsidRPr="00283AB2">
        <w:rPr>
          <w:sz w:val="18"/>
          <w:szCs w:val="18"/>
          <w:lang w:val="tr-TR"/>
        </w:rPr>
        <w:t xml:space="preserve"> </w:t>
      </w:r>
      <w:r w:rsidR="00390C2B" w:rsidRPr="00283AB2">
        <w:rPr>
          <w:sz w:val="18"/>
          <w:szCs w:val="18"/>
          <w:lang w:val="tr-TR"/>
        </w:rPr>
        <w:t>erişim adresi: insan-haklari-ep-eng02-03-202115-16.pdf (adalet.gov.tr),</w:t>
      </w:r>
      <w:r w:rsidR="00457938" w:rsidRPr="00283AB2">
        <w:rPr>
          <w:sz w:val="18"/>
          <w:szCs w:val="18"/>
          <w:lang w:val="tr-TR"/>
        </w:rPr>
        <w:t xml:space="preserve"> </w:t>
      </w:r>
      <w:r w:rsidR="00286A9C" w:rsidRPr="00283AB2">
        <w:rPr>
          <w:sz w:val="18"/>
          <w:szCs w:val="18"/>
          <w:lang w:val="tr-TR"/>
        </w:rPr>
        <w:t>5. ilke</w:t>
      </w:r>
      <w:r w:rsidR="00AE4F63" w:rsidRPr="00283AB2">
        <w:rPr>
          <w:sz w:val="18"/>
          <w:szCs w:val="18"/>
          <w:lang w:val="tr-TR"/>
        </w:rPr>
        <w:t>ye göre</w:t>
      </w:r>
      <w:r w:rsidR="00286A9C" w:rsidRPr="00283AB2">
        <w:rPr>
          <w:sz w:val="18"/>
          <w:szCs w:val="18"/>
          <w:lang w:val="tr-TR"/>
        </w:rPr>
        <w:t xml:space="preserve"> “</w:t>
      </w:r>
      <w:r w:rsidR="003D172E" w:rsidRPr="00283AB2">
        <w:rPr>
          <w:sz w:val="18"/>
          <w:szCs w:val="18"/>
          <w:lang w:val="tr-TR"/>
        </w:rPr>
        <w:t>Mevzuat, tereddüt doğurmayacak şekilde açık, net, anlaşılır ve</w:t>
      </w:r>
      <w:r w:rsidR="00AE4F63" w:rsidRPr="00283AB2">
        <w:rPr>
          <w:sz w:val="18"/>
          <w:szCs w:val="18"/>
          <w:lang w:val="tr-TR"/>
        </w:rPr>
        <w:t xml:space="preserve"> </w:t>
      </w:r>
      <w:r w:rsidR="003D172E" w:rsidRPr="00283AB2">
        <w:rPr>
          <w:sz w:val="18"/>
          <w:szCs w:val="18"/>
          <w:lang w:val="tr-TR"/>
        </w:rPr>
        <w:t>öngörülebilir kurallar</w:t>
      </w:r>
      <w:r w:rsidR="00AE4F63" w:rsidRPr="00283AB2">
        <w:rPr>
          <w:sz w:val="18"/>
          <w:szCs w:val="18"/>
          <w:lang w:val="tr-TR"/>
        </w:rPr>
        <w:t xml:space="preserve"> </w:t>
      </w:r>
      <w:r w:rsidR="003D172E" w:rsidRPr="00283AB2">
        <w:rPr>
          <w:sz w:val="18"/>
          <w:szCs w:val="18"/>
          <w:lang w:val="tr-TR"/>
        </w:rPr>
        <w:t>içerir</w:t>
      </w:r>
      <w:r w:rsidR="00AE4F63" w:rsidRPr="00283AB2">
        <w:rPr>
          <w:sz w:val="18"/>
          <w:szCs w:val="18"/>
          <w:lang w:val="tr-TR"/>
        </w:rPr>
        <w:t>”</w:t>
      </w:r>
      <w:r w:rsidR="003D172E" w:rsidRPr="00283AB2">
        <w:rPr>
          <w:sz w:val="18"/>
          <w:szCs w:val="18"/>
          <w:lang w:val="tr-TR"/>
        </w:rPr>
        <w:t xml:space="preserve"> </w:t>
      </w:r>
      <w:r w:rsidR="004B555E" w:rsidRPr="00283AB2">
        <w:rPr>
          <w:sz w:val="18"/>
          <w:szCs w:val="18"/>
          <w:lang w:val="tr-TR"/>
        </w:rPr>
        <w:t xml:space="preserve">4. Amaç ise “İfade, Örgütlenme ve Din Özgürlüklerinin Korunması ve Geliştirilmesi” olarak belirlenmiştir. </w:t>
      </w:r>
    </w:p>
  </w:footnote>
  <w:footnote w:id="49">
    <w:p w14:paraId="63F65D17" w14:textId="77777777" w:rsidR="00717992" w:rsidRPr="00283AB2" w:rsidRDefault="006817AE" w:rsidP="00717992">
      <w:pPr>
        <w:pStyle w:val="DipnotMetni"/>
        <w:rPr>
          <w:sz w:val="18"/>
          <w:szCs w:val="18"/>
          <w:lang w:val="tr-TR"/>
        </w:rPr>
      </w:pPr>
      <w:r w:rsidRPr="00283AB2">
        <w:rPr>
          <w:rStyle w:val="DipnotBavurusu"/>
          <w:lang w:val="tr-TR"/>
        </w:rPr>
        <w:footnoteRef/>
      </w:r>
      <w:r w:rsidRPr="00283AB2">
        <w:rPr>
          <w:lang w:val="tr-TR"/>
        </w:rPr>
        <w:t xml:space="preserve"> </w:t>
      </w:r>
      <w:r w:rsidR="00717992" w:rsidRPr="00283AB2">
        <w:rPr>
          <w:sz w:val="18"/>
          <w:szCs w:val="18"/>
          <w:lang w:val="tr-TR"/>
        </w:rPr>
        <w:t>Bakınız Avrupa Konseyi Parlamenter Meclisinin 2376 (2021) sayılı Kararı, kabul edilme tarihi 22 Nisan 2021,</w:t>
      </w:r>
    </w:p>
    <w:p w14:paraId="711C95C9" w14:textId="7D5E3230" w:rsidR="006817AE" w:rsidRPr="00283AB2" w:rsidRDefault="00717992" w:rsidP="00717992">
      <w:pPr>
        <w:pStyle w:val="DipnotMetni"/>
        <w:rPr>
          <w:sz w:val="18"/>
          <w:szCs w:val="18"/>
          <w:lang w:val="tr-TR"/>
        </w:rPr>
      </w:pPr>
      <w:r w:rsidRPr="00283AB2">
        <w:rPr>
          <w:sz w:val="18"/>
          <w:szCs w:val="18"/>
          <w:lang w:val="tr-TR"/>
        </w:rPr>
        <w:t>parag. 21.</w:t>
      </w:r>
    </w:p>
  </w:footnote>
  <w:footnote w:id="50">
    <w:p w14:paraId="697ED2EE" w14:textId="38EED9AC" w:rsidR="00687F76" w:rsidRPr="00283AB2" w:rsidRDefault="00687F76">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514347" w:rsidRPr="00283AB2">
        <w:rPr>
          <w:sz w:val="18"/>
          <w:szCs w:val="18"/>
          <w:lang w:val="tr-TR"/>
        </w:rPr>
        <w:t>Bakınız Venedik Komisyonu, CDL-AD (2018)004 Romanya –Dernekler ve vakıflar hakkında 26/2000 sayılı Hükümet Yönetmeliğinin değiştirilmesine ilişkin 140/2017 sayılı Kanun Teklifi Hakkında Ortak Görüş, parag. 81.</w:t>
      </w:r>
    </w:p>
  </w:footnote>
  <w:footnote w:id="51">
    <w:p w14:paraId="0E7C3244" w14:textId="797A9F64" w:rsidR="00BE296B" w:rsidRPr="00283AB2" w:rsidRDefault="00BE296B">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582EC5" w:rsidRPr="00283AB2">
        <w:rPr>
          <w:sz w:val="18"/>
          <w:szCs w:val="18"/>
          <w:lang w:val="tr-TR"/>
        </w:rPr>
        <w:t>51 Bakınız Venedik Komisyonu, CDL-AD (2019)002, Derneklere fon sağlanması hakkında raporun İnsan Hakları Komitesine atıfta bulunulan 9. paragrafı, Mikhailovskaya ve Volchek – Belarus davası, CCPRIC/111/D/1993/2010 (Temmuz 2014), parag. 7.3; Bakınız ayrıca, İnsan Hakları Komitesi, Bildirim No. 2001/2010, Q – Danimarka davası, 1 Nisan 2015 tarihinde Görüşler kabul edildi, parag. 7.3.</w:t>
      </w:r>
    </w:p>
  </w:footnote>
  <w:footnote w:id="52">
    <w:p w14:paraId="7EAA28B2" w14:textId="70804366" w:rsidR="00437887" w:rsidRPr="00283AB2" w:rsidRDefault="00437887">
      <w:pPr>
        <w:pStyle w:val="DipnotMetni"/>
        <w:rPr>
          <w:sz w:val="18"/>
          <w:szCs w:val="18"/>
          <w:lang w:val="tr-TR"/>
        </w:rPr>
      </w:pPr>
      <w:r w:rsidRPr="00283AB2">
        <w:rPr>
          <w:rStyle w:val="DipnotBavurusu"/>
          <w:lang w:val="tr-TR"/>
        </w:rPr>
        <w:footnoteRef/>
      </w:r>
      <w:r w:rsidRPr="00283AB2">
        <w:rPr>
          <w:lang w:val="tr-TR"/>
        </w:rPr>
        <w:t xml:space="preserve"> </w:t>
      </w:r>
      <w:r w:rsidR="006008E2" w:rsidRPr="00283AB2">
        <w:rPr>
          <w:sz w:val="18"/>
          <w:szCs w:val="18"/>
          <w:lang w:val="tr-TR"/>
        </w:rPr>
        <w:t>Bakınız ayrıca, Venedik Komisyonu, COL-AD (2016)007, Hukukun Üstünlüğü Kontrol Listesi, I1.A-B.</w:t>
      </w:r>
    </w:p>
  </w:footnote>
  <w:footnote w:id="53">
    <w:p w14:paraId="5360C13C" w14:textId="7332B8B7" w:rsidR="00A014F2" w:rsidRPr="00283AB2" w:rsidRDefault="00A014F2" w:rsidP="000A088A">
      <w:pPr>
        <w:spacing w:line="214" w:lineRule="exact"/>
        <w:jc w:val="both"/>
        <w:rPr>
          <w:color w:val="010101"/>
          <w:w w:val="105"/>
          <w:sz w:val="18"/>
          <w:szCs w:val="18"/>
          <w:lang w:val="tr-TR"/>
        </w:rPr>
      </w:pPr>
      <w:r w:rsidRPr="00283AB2">
        <w:rPr>
          <w:rStyle w:val="DipnotBavurusu"/>
          <w:lang w:val="tr-TR"/>
        </w:rPr>
        <w:footnoteRef/>
      </w:r>
      <w:r w:rsidRPr="00283AB2">
        <w:rPr>
          <w:lang w:val="tr-TR"/>
        </w:rPr>
        <w:t xml:space="preserve"> </w:t>
      </w:r>
      <w:r w:rsidRPr="00283AB2">
        <w:rPr>
          <w:color w:val="010101"/>
          <w:w w:val="105"/>
          <w:sz w:val="18"/>
          <w:szCs w:val="18"/>
          <w:lang w:val="tr-TR"/>
        </w:rPr>
        <w:t>Venedik Komisyonu,</w:t>
      </w:r>
      <w:r w:rsidRPr="00283AB2">
        <w:rPr>
          <w:color w:val="010101"/>
          <w:spacing w:val="7"/>
          <w:w w:val="105"/>
          <w:sz w:val="18"/>
          <w:szCs w:val="18"/>
          <w:lang w:val="tr-TR"/>
        </w:rPr>
        <w:t xml:space="preserve"> </w:t>
      </w:r>
      <w:r w:rsidRPr="00283AB2">
        <w:rPr>
          <w:color w:val="010101"/>
          <w:w w:val="105"/>
          <w:sz w:val="18"/>
          <w:szCs w:val="18"/>
          <w:lang w:val="tr-TR"/>
        </w:rPr>
        <w:t>COL-AD</w:t>
      </w:r>
      <w:r w:rsidRPr="00283AB2">
        <w:rPr>
          <w:color w:val="010101"/>
          <w:spacing w:val="2"/>
          <w:w w:val="105"/>
          <w:sz w:val="18"/>
          <w:szCs w:val="18"/>
          <w:lang w:val="tr-TR"/>
        </w:rPr>
        <w:t xml:space="preserve"> </w:t>
      </w:r>
      <w:r w:rsidRPr="00283AB2">
        <w:rPr>
          <w:color w:val="010101"/>
          <w:w w:val="105"/>
          <w:sz w:val="18"/>
          <w:szCs w:val="18"/>
          <w:lang w:val="tr-TR"/>
        </w:rPr>
        <w:t>(2016)007,</w:t>
      </w:r>
      <w:r w:rsidRPr="00283AB2">
        <w:rPr>
          <w:color w:val="010101"/>
          <w:spacing w:val="-3"/>
          <w:w w:val="105"/>
          <w:sz w:val="18"/>
          <w:szCs w:val="18"/>
          <w:lang w:val="tr-TR"/>
        </w:rPr>
        <w:t xml:space="preserve"> </w:t>
      </w:r>
      <w:r w:rsidRPr="00283AB2">
        <w:rPr>
          <w:color w:val="010101"/>
          <w:w w:val="105"/>
          <w:sz w:val="18"/>
          <w:szCs w:val="18"/>
          <w:lang w:val="tr-TR"/>
        </w:rPr>
        <w:t>Hukukun Üstünlüğü Kontrol Listesi, II,</w:t>
      </w:r>
      <w:r w:rsidRPr="00283AB2">
        <w:rPr>
          <w:color w:val="010101"/>
          <w:spacing w:val="2"/>
          <w:w w:val="105"/>
          <w:sz w:val="18"/>
          <w:szCs w:val="18"/>
          <w:lang w:val="tr-TR"/>
        </w:rPr>
        <w:t xml:space="preserve"> </w:t>
      </w:r>
      <w:r w:rsidRPr="00283AB2">
        <w:rPr>
          <w:color w:val="010101"/>
          <w:w w:val="105"/>
          <w:sz w:val="18"/>
          <w:szCs w:val="18"/>
          <w:lang w:val="tr-TR"/>
        </w:rPr>
        <w:t>C.</w:t>
      </w:r>
    </w:p>
  </w:footnote>
  <w:footnote w:id="54">
    <w:p w14:paraId="76420ED5" w14:textId="1B0B8F9E" w:rsidR="000A088A" w:rsidRPr="00283AB2" w:rsidRDefault="000A088A">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E449E8" w:rsidRPr="00283AB2">
        <w:rPr>
          <w:sz w:val="18"/>
          <w:szCs w:val="18"/>
          <w:lang w:val="tr-TR"/>
        </w:rPr>
        <w:t>Bakınız Ortak Rehber</w:t>
      </w:r>
      <w:r w:rsidRPr="00283AB2">
        <w:rPr>
          <w:sz w:val="18"/>
          <w:szCs w:val="18"/>
          <w:lang w:val="tr-TR"/>
        </w:rPr>
        <w:t>, para</w:t>
      </w:r>
      <w:r w:rsidR="00E449E8" w:rsidRPr="00283AB2">
        <w:rPr>
          <w:sz w:val="18"/>
          <w:szCs w:val="18"/>
          <w:lang w:val="tr-TR"/>
        </w:rPr>
        <w:t>g</w:t>
      </w:r>
      <w:r w:rsidRPr="00283AB2">
        <w:rPr>
          <w:sz w:val="18"/>
          <w:szCs w:val="18"/>
          <w:lang w:val="tr-TR"/>
        </w:rPr>
        <w:t xml:space="preserve">. 228, </w:t>
      </w:r>
      <w:r w:rsidR="00E449E8" w:rsidRPr="00283AB2">
        <w:rPr>
          <w:sz w:val="18"/>
          <w:szCs w:val="18"/>
          <w:lang w:val="tr-TR"/>
        </w:rPr>
        <w:t>bakınız ayrıca</w:t>
      </w:r>
      <w:r w:rsidRPr="00283AB2">
        <w:rPr>
          <w:sz w:val="18"/>
          <w:szCs w:val="18"/>
          <w:lang w:val="tr-TR"/>
        </w:rPr>
        <w:t xml:space="preserve">, CDL-AD (2019)002, </w:t>
      </w:r>
      <w:r w:rsidR="00E449E8" w:rsidRPr="00283AB2">
        <w:rPr>
          <w:sz w:val="18"/>
          <w:szCs w:val="18"/>
          <w:lang w:val="tr-TR"/>
        </w:rPr>
        <w:t>Derneklere fon sağlanması hakkında rapor, parag. 13.</w:t>
      </w:r>
    </w:p>
  </w:footnote>
  <w:footnote w:id="55">
    <w:p w14:paraId="57A64C4A" w14:textId="4393DF53" w:rsidR="00640260" w:rsidRPr="00283AB2" w:rsidRDefault="00640260">
      <w:pPr>
        <w:pStyle w:val="DipnotMetni"/>
        <w:rPr>
          <w:sz w:val="18"/>
          <w:szCs w:val="18"/>
          <w:lang w:val="tr-TR"/>
        </w:rPr>
      </w:pPr>
      <w:r w:rsidRPr="00283AB2">
        <w:rPr>
          <w:rStyle w:val="DipnotBavurusu"/>
          <w:lang w:val="tr-TR"/>
        </w:rPr>
        <w:footnoteRef/>
      </w:r>
      <w:r w:rsidRPr="00283AB2">
        <w:rPr>
          <w:lang w:val="tr-TR"/>
        </w:rPr>
        <w:t xml:space="preserve"> </w:t>
      </w:r>
      <w:r w:rsidR="00381730" w:rsidRPr="00283AB2">
        <w:rPr>
          <w:sz w:val="18"/>
          <w:szCs w:val="18"/>
          <w:lang w:val="tr-TR"/>
        </w:rPr>
        <w:t>Bakınız Avrupa Konseyi İnsan Hakları Komiserinin Ülke Ziyareti Raporu,  19 Şubat 2020, erişim adresi: https://www.coe.int/en/web/commissioner/-/turkish-authorities-must-restore- judici al-independence-and-stop­ targeting-and-silencing-human-rights-defenders, bakınız ayrıca üstteki not (not 5), AKPM Avrupa Konseyi Üyesi Devletler Tarafından Yükümlülüklerin ve Taahhütlerin Yerine Getirilmesini İzleme Komitesi (İzleme Komitesi) tarafından kabul edilen Rapor (Doc. 15272) “</w:t>
      </w:r>
      <w:r w:rsidR="00381730" w:rsidRPr="00283AB2">
        <w:rPr>
          <w:i/>
          <w:iCs/>
          <w:sz w:val="18"/>
          <w:szCs w:val="18"/>
          <w:lang w:val="tr-TR"/>
        </w:rPr>
        <w:t>'Türkiye'de demokratik kurumların işleyişi</w:t>
      </w:r>
      <w:r w:rsidR="00381730" w:rsidRPr="00283AB2">
        <w:rPr>
          <w:sz w:val="18"/>
          <w:szCs w:val="18"/>
          <w:lang w:val="tr-TR"/>
        </w:rPr>
        <w:t>", bakınız ayrıca: “</w:t>
      </w:r>
      <w:r w:rsidR="00381730" w:rsidRPr="00283AB2">
        <w:rPr>
          <w:i/>
          <w:iCs/>
          <w:sz w:val="18"/>
          <w:szCs w:val="18"/>
          <w:lang w:val="tr-TR"/>
        </w:rPr>
        <w:t>Avrupa Konseyi İnsan Hakları Komiserinin ziyaretine ilişkin rapor hakkında Türkiye’nin Gözlemleri</w:t>
      </w:r>
      <w:r w:rsidR="00381730" w:rsidRPr="00283AB2">
        <w:rPr>
          <w:sz w:val="18"/>
          <w:szCs w:val="18"/>
          <w:lang w:val="tr-TR"/>
        </w:rPr>
        <w:t>”, https://rm.coe.int/observations-by-the-turkish-authorities-on-the-report-by-dunja-mijatov/ 16809c8c7e</w:t>
      </w:r>
    </w:p>
  </w:footnote>
  <w:footnote w:id="56">
    <w:p w14:paraId="1A4C59CD" w14:textId="3ACF9830" w:rsidR="009B3D0E" w:rsidRPr="00283AB2" w:rsidRDefault="009B3D0E">
      <w:pPr>
        <w:pStyle w:val="DipnotMetni"/>
        <w:rPr>
          <w:sz w:val="18"/>
          <w:szCs w:val="18"/>
          <w:lang w:val="tr-TR"/>
        </w:rPr>
      </w:pPr>
      <w:r w:rsidRPr="00283AB2">
        <w:rPr>
          <w:rStyle w:val="DipnotBavurusu"/>
          <w:lang w:val="tr-TR"/>
        </w:rPr>
        <w:footnoteRef/>
      </w:r>
      <w:r w:rsidRPr="00283AB2">
        <w:rPr>
          <w:lang w:val="tr-TR"/>
        </w:rPr>
        <w:t xml:space="preserve"> </w:t>
      </w:r>
      <w:r w:rsidR="007C4CB9" w:rsidRPr="00283AB2">
        <w:rPr>
          <w:sz w:val="18"/>
          <w:szCs w:val="18"/>
          <w:lang w:val="tr-TR"/>
        </w:rPr>
        <w:t>STÖ’lere yönelik risk değerlendirmeleri ve denetimlerin geniş kapsamlı tutulmasına ilişkin endişeler, resmi düzenlemeler uyarınca devlet adına faaliyet gösteren ya da kamu kaynaklarından fon sağlanan STÖ’ler ile ilgili değildir. Bu gibi durumlarda</w:t>
      </w:r>
      <w:r w:rsidR="00D9485A" w:rsidRPr="00D9485A">
        <w:rPr>
          <w:sz w:val="18"/>
          <w:szCs w:val="18"/>
          <w:lang w:val="tr-TR"/>
        </w:rPr>
        <w:t xml:space="preserve"> </w:t>
      </w:r>
      <w:r w:rsidR="00D9485A" w:rsidRPr="00283AB2">
        <w:rPr>
          <w:sz w:val="18"/>
          <w:szCs w:val="18"/>
          <w:lang w:val="tr-TR"/>
        </w:rPr>
        <w:t>devletlerin</w:t>
      </w:r>
      <w:r w:rsidR="007C4CB9" w:rsidRPr="00283AB2">
        <w:rPr>
          <w:sz w:val="18"/>
          <w:szCs w:val="18"/>
          <w:lang w:val="tr-TR"/>
        </w:rPr>
        <w:t>, STÖ’lerin misyonlarına gösterdiği uyum</w:t>
      </w:r>
      <w:r w:rsidR="0066134B">
        <w:rPr>
          <w:sz w:val="18"/>
          <w:szCs w:val="18"/>
          <w:lang w:val="tr-TR"/>
        </w:rPr>
        <w:t>,</w:t>
      </w:r>
      <w:r w:rsidR="007C4CB9" w:rsidRPr="00283AB2">
        <w:rPr>
          <w:sz w:val="18"/>
          <w:szCs w:val="18"/>
          <w:lang w:val="tr-TR"/>
        </w:rPr>
        <w:t xml:space="preserve"> performanslarının niteliği ile mali denetimler ve ilgili kanunlara uygunluğunu tespit etmek üzere, STÖ’lere yönelik yıllık denetim ve değerlendirme yapması olağandır.</w:t>
      </w:r>
      <w:r w:rsidR="00D9485A">
        <w:rPr>
          <w:sz w:val="18"/>
          <w:szCs w:val="18"/>
          <w:lang w:val="tr-TR"/>
        </w:rPr>
        <w:t xml:space="preserve"> </w:t>
      </w:r>
    </w:p>
  </w:footnote>
  <w:footnote w:id="57">
    <w:p w14:paraId="49BF59B6" w14:textId="167B7BA0" w:rsidR="006440AB" w:rsidRPr="00283AB2" w:rsidRDefault="006440AB">
      <w:pPr>
        <w:pStyle w:val="DipnotMetni"/>
        <w:rPr>
          <w:sz w:val="18"/>
          <w:szCs w:val="18"/>
          <w:lang w:val="tr-TR"/>
        </w:rPr>
      </w:pPr>
      <w:r w:rsidRPr="00283AB2">
        <w:rPr>
          <w:rStyle w:val="DipnotBavurusu"/>
          <w:lang w:val="tr-TR"/>
        </w:rPr>
        <w:footnoteRef/>
      </w:r>
      <w:r w:rsidRPr="00283AB2">
        <w:rPr>
          <w:lang w:val="tr-TR"/>
        </w:rPr>
        <w:t xml:space="preserve"> </w:t>
      </w:r>
      <w:r w:rsidR="00460E51" w:rsidRPr="00283AB2">
        <w:rPr>
          <w:sz w:val="18"/>
          <w:szCs w:val="18"/>
          <w:lang w:val="tr-TR"/>
        </w:rPr>
        <w:t xml:space="preserve">Bakınız üstteki not (not 8), </w:t>
      </w:r>
      <w:r w:rsidR="00642236" w:rsidRPr="00283AB2">
        <w:rPr>
          <w:sz w:val="18"/>
          <w:szCs w:val="18"/>
          <w:lang w:val="tr-TR"/>
        </w:rPr>
        <w:t>FATF 8. Tavsiyesine ilişkin Yorum</w:t>
      </w:r>
      <w:r w:rsidR="00460E51" w:rsidRPr="00283AB2">
        <w:rPr>
          <w:sz w:val="18"/>
          <w:szCs w:val="18"/>
          <w:lang w:val="tr-TR"/>
        </w:rPr>
        <w:t>, s.58</w:t>
      </w:r>
    </w:p>
  </w:footnote>
  <w:footnote w:id="58">
    <w:p w14:paraId="091E7FC1" w14:textId="55C57C39" w:rsidR="00031998" w:rsidRPr="00283AB2" w:rsidRDefault="00031998">
      <w:pPr>
        <w:pStyle w:val="DipnotMetni"/>
        <w:rPr>
          <w:sz w:val="18"/>
          <w:szCs w:val="18"/>
          <w:lang w:val="tr-TR"/>
        </w:rPr>
      </w:pPr>
      <w:r w:rsidRPr="00283AB2">
        <w:rPr>
          <w:rStyle w:val="DipnotBavurusu"/>
          <w:lang w:val="tr-TR"/>
        </w:rPr>
        <w:footnoteRef/>
      </w:r>
      <w:r w:rsidRPr="00283AB2">
        <w:rPr>
          <w:lang w:val="tr-TR"/>
        </w:rPr>
        <w:t xml:space="preserve"> </w:t>
      </w:r>
      <w:r w:rsidR="007067BB" w:rsidRPr="00283AB2">
        <w:rPr>
          <w:sz w:val="18"/>
          <w:szCs w:val="18"/>
          <w:lang w:val="tr-TR"/>
        </w:rPr>
        <w:t xml:space="preserve">İçişleri Bakanlığı, Venedik Komisyonu ile düzenlenen sanal toplantıda, risk değerlendirmesi ile ilgili </w:t>
      </w:r>
      <w:r w:rsidR="009A3DD9">
        <w:rPr>
          <w:sz w:val="18"/>
          <w:szCs w:val="18"/>
          <w:lang w:val="tr-TR"/>
        </w:rPr>
        <w:t>ölçütlerin</w:t>
      </w:r>
      <w:r w:rsidR="007067BB" w:rsidRPr="00283AB2">
        <w:rPr>
          <w:sz w:val="18"/>
          <w:szCs w:val="18"/>
          <w:lang w:val="tr-TR"/>
        </w:rPr>
        <w:t xml:space="preserve"> ikinci mevzuat ile düzenlendiğini belirtmiştir.</w:t>
      </w:r>
    </w:p>
  </w:footnote>
  <w:footnote w:id="59">
    <w:p w14:paraId="66078671" w14:textId="77777777" w:rsidR="00FD29C6" w:rsidRPr="00283AB2" w:rsidRDefault="00FD29C6" w:rsidP="00FD29C6">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T.C. Anayasa Mahkemesi, Yaman Akdeniz ve diğerleri davası, Başvuru. No: 2014/3986, 2/4/2014; Youtube LLC</w:t>
      </w:r>
    </w:p>
    <w:p w14:paraId="49BD90F7" w14:textId="77777777" w:rsidR="00FD29C6" w:rsidRPr="00283AB2" w:rsidRDefault="00FD29C6" w:rsidP="00FD29C6">
      <w:pPr>
        <w:pStyle w:val="DipnotMetni"/>
        <w:rPr>
          <w:sz w:val="18"/>
          <w:szCs w:val="18"/>
          <w:lang w:val="tr-TR"/>
        </w:rPr>
      </w:pPr>
      <w:r w:rsidRPr="00283AB2">
        <w:rPr>
          <w:sz w:val="18"/>
          <w:szCs w:val="18"/>
          <w:lang w:val="tr-TR"/>
        </w:rPr>
        <w:t>Corporation Service Company ve diğerleri davası [Genel],Başvuru . No : 2014/4705, 29/5/2014, parag 56-57).</w:t>
      </w:r>
    </w:p>
  </w:footnote>
  <w:footnote w:id="60">
    <w:p w14:paraId="5264B938" w14:textId="2D259E7D" w:rsidR="00E004F2" w:rsidRPr="00283AB2" w:rsidRDefault="00954263" w:rsidP="00E004F2">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E004F2" w:rsidRPr="00283AB2">
        <w:rPr>
          <w:sz w:val="18"/>
          <w:szCs w:val="18"/>
          <w:lang w:val="tr-TR"/>
        </w:rPr>
        <w:t>Bakınız Venedik Komisyonu, CDL-AD(2019)002 - Derneklere fon sağlanması hakkında rapor, parag. 61-62, bakınız ayrıca üstteki not (not 50), CDL-AD(2018)004, parag. 81. Bakınız Venedik Komisyonu, CDL-AD(2018)006 Ukrayna’da</w:t>
      </w:r>
    </w:p>
    <w:p w14:paraId="21C000BB" w14:textId="7D227221" w:rsidR="00954263" w:rsidRPr="00283AB2" w:rsidRDefault="00E004F2" w:rsidP="00E004F2">
      <w:pPr>
        <w:pStyle w:val="DipnotMetni"/>
        <w:rPr>
          <w:sz w:val="18"/>
          <w:szCs w:val="18"/>
          <w:lang w:val="tr-TR"/>
        </w:rPr>
      </w:pPr>
      <w:r w:rsidRPr="00283AB2">
        <w:rPr>
          <w:sz w:val="18"/>
          <w:szCs w:val="18"/>
          <w:lang w:val="tr-TR"/>
        </w:rPr>
        <w:t>“Kamu Derneklerinin Mali Faaliyetleri ve Uluslararası Teknik Yardım Kullanımı Hakkında Bilgi Şeffaflığının Sağlanması için Bazı Kanunlarda Değişiklik Yapılması Hakkında 6674 sayılı Kanun Teklifi” ile   “Kamu Derneklerinin Finansmanı ve Uluslararası Teknik Yardım Kullanımı Hakkında Bilgi Şeffaflığının Sağlanması için Ukrayna’da Vergi Kanunda Değişiklik Yapılması” hakkında 6675 sayılı Kanun Teklifine ilişkin Ortak Görüş, bakınız ayrıca CDL­ AD(2017)015, Macaristan’da Yurtdışından Destek Alan Örgütlerin Şeffaflığı Hakkında Kanun Teklifine” ilişkin Görüş.  parag. 35</w:t>
      </w:r>
    </w:p>
  </w:footnote>
  <w:footnote w:id="61">
    <w:p w14:paraId="2D08B60B" w14:textId="42030F17" w:rsidR="00EF1314" w:rsidRPr="00283AB2" w:rsidRDefault="00EF1314">
      <w:pPr>
        <w:pStyle w:val="DipnotMetni"/>
        <w:rPr>
          <w:sz w:val="18"/>
          <w:szCs w:val="18"/>
          <w:u w:val="single"/>
          <w:lang w:val="tr-TR"/>
        </w:rPr>
      </w:pPr>
      <w:r w:rsidRPr="00283AB2">
        <w:rPr>
          <w:rStyle w:val="DipnotBavurusu"/>
          <w:lang w:val="tr-TR"/>
        </w:rPr>
        <w:footnoteRef/>
      </w:r>
      <w:r w:rsidRPr="00283AB2">
        <w:rPr>
          <w:lang w:val="tr-TR"/>
        </w:rPr>
        <w:t xml:space="preserve"> </w:t>
      </w:r>
      <w:r w:rsidR="00E20393" w:rsidRPr="00283AB2">
        <w:rPr>
          <w:sz w:val="18"/>
          <w:szCs w:val="18"/>
          <w:lang w:val="tr-TR"/>
        </w:rPr>
        <w:t xml:space="preserve">Bakınız Avrupa İnsan Hakları Komiserinin Ülke Ziyaretine ilişkin Raporu, 19 Şubat 2020, erişim adresi:  </w:t>
      </w:r>
      <w:r w:rsidR="00E20393" w:rsidRPr="00283AB2">
        <w:rPr>
          <w:sz w:val="18"/>
          <w:szCs w:val="18"/>
          <w:u w:val="single"/>
          <w:lang w:val="tr-TR"/>
        </w:rPr>
        <w:t>https://www.coe.inUen/web/commissioner/-/turkish-authorities-must-restore- judici al-independence­ and-stop-tarqetinq-and-silencinq-human-riqhts-defenders</w:t>
      </w:r>
    </w:p>
  </w:footnote>
  <w:footnote w:id="62">
    <w:p w14:paraId="569700C9" w14:textId="104B6476" w:rsidR="00A63D6B" w:rsidRPr="00283AB2" w:rsidRDefault="00A63D6B">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514A77" w:rsidRPr="00283AB2">
        <w:rPr>
          <w:sz w:val="18"/>
          <w:szCs w:val="18"/>
          <w:lang w:val="tr-TR"/>
        </w:rPr>
        <w:t>Bakınız a.g.e., parag. 118.</w:t>
      </w:r>
    </w:p>
  </w:footnote>
  <w:footnote w:id="63">
    <w:p w14:paraId="5977745F" w14:textId="08CDC703" w:rsidR="00C44194" w:rsidRPr="00283AB2" w:rsidRDefault="00C44194">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Bakınız Ortak Rehber, ilke 11, s.19.</w:t>
      </w:r>
    </w:p>
  </w:footnote>
  <w:footnote w:id="64">
    <w:p w14:paraId="66824396" w14:textId="5C8A633B" w:rsidR="00BB7AB9" w:rsidRPr="00663711" w:rsidRDefault="00BB7AB9">
      <w:pPr>
        <w:pStyle w:val="DipnotMetni"/>
        <w:rPr>
          <w:sz w:val="18"/>
          <w:szCs w:val="18"/>
          <w:lang w:val="tr-TR"/>
        </w:rPr>
      </w:pPr>
      <w:r w:rsidRPr="00283AB2">
        <w:rPr>
          <w:rStyle w:val="DipnotBavurusu"/>
          <w:sz w:val="18"/>
          <w:szCs w:val="18"/>
          <w:lang w:val="tr-TR"/>
        </w:rPr>
        <w:footnoteRef/>
      </w:r>
      <w:r w:rsidRPr="00283AB2">
        <w:rPr>
          <w:sz w:val="18"/>
          <w:szCs w:val="18"/>
          <w:lang w:val="tr-TR"/>
        </w:rPr>
        <w:t xml:space="preserve"> </w:t>
      </w:r>
      <w:r w:rsidR="00283AB2" w:rsidRPr="00283AB2">
        <w:rPr>
          <w:sz w:val="18"/>
          <w:szCs w:val="18"/>
          <w:lang w:val="tr-TR"/>
        </w:rPr>
        <w:t>4721 sayılı Türk Medeni Kanunu; 89. madde “Mahkeme Kararı ile”: Derneğin amacı, kanuna veya</w:t>
      </w:r>
      <w:r w:rsidR="00283AB2" w:rsidRPr="00283AB2">
        <w:rPr>
          <w:lang w:val="tr-TR"/>
        </w:rPr>
        <w:t xml:space="preserve"> </w:t>
      </w:r>
      <w:r w:rsidR="00283AB2" w:rsidRPr="00283AB2">
        <w:rPr>
          <w:sz w:val="18"/>
          <w:szCs w:val="18"/>
          <w:lang w:val="tr-TR"/>
        </w:rPr>
        <w:t>ahlâka aykırı hâle gelirse; Cumhuriyet savcısının veya bir ilgilinin istemi üzerine mahkeme, derneğin feshine karar verir.</w:t>
      </w:r>
      <w:r w:rsidR="00283AB2" w:rsidRPr="00283AB2">
        <w:rPr>
          <w:lang w:val="tr-TR"/>
        </w:rPr>
        <w:t xml:space="preserve"> </w:t>
      </w:r>
      <w:r w:rsidR="00283AB2" w:rsidRPr="00283AB2">
        <w:rPr>
          <w:sz w:val="18"/>
          <w:szCs w:val="18"/>
          <w:lang w:val="tr-TR"/>
        </w:rPr>
        <w:t xml:space="preserve">Mahkeme, </w:t>
      </w:r>
      <w:r w:rsidR="00283AB2" w:rsidRPr="00663711">
        <w:rPr>
          <w:sz w:val="18"/>
          <w:szCs w:val="18"/>
          <w:lang w:val="tr-TR"/>
        </w:rPr>
        <w:t>dava sırasında faaliyetten alıkoyma dâhil gerekli bütün önlemleri alır”</w:t>
      </w:r>
    </w:p>
  </w:footnote>
  <w:footnote w:id="65">
    <w:p w14:paraId="7C936A8F" w14:textId="5A68B272" w:rsidR="00735F7C" w:rsidRPr="00663711" w:rsidRDefault="00735F7C">
      <w:pPr>
        <w:pStyle w:val="DipnotMetni"/>
        <w:rPr>
          <w:sz w:val="18"/>
          <w:szCs w:val="18"/>
          <w:lang w:val="tr-TR"/>
        </w:rPr>
      </w:pPr>
      <w:r w:rsidRPr="00663711">
        <w:rPr>
          <w:rStyle w:val="DipnotBavurusu"/>
          <w:sz w:val="18"/>
          <w:szCs w:val="18"/>
          <w:lang w:val="tr-TR"/>
        </w:rPr>
        <w:footnoteRef/>
      </w:r>
      <w:r w:rsidRPr="00663711">
        <w:rPr>
          <w:sz w:val="18"/>
          <w:szCs w:val="18"/>
          <w:lang w:val="tr-TR"/>
        </w:rPr>
        <w:t xml:space="preserve"> </w:t>
      </w:r>
      <w:r w:rsidRPr="00663711">
        <w:rPr>
          <w:color w:val="010101"/>
          <w:w w:val="105"/>
          <w:sz w:val="18"/>
          <w:szCs w:val="18"/>
          <w:lang w:val="tr-TR"/>
        </w:rPr>
        <w:t>Bakınız</w:t>
      </w:r>
      <w:r w:rsidRPr="00663711">
        <w:rPr>
          <w:color w:val="010101"/>
          <w:spacing w:val="-1"/>
          <w:w w:val="105"/>
          <w:sz w:val="18"/>
          <w:szCs w:val="18"/>
          <w:lang w:val="tr-TR"/>
        </w:rPr>
        <w:t xml:space="preserve"> </w:t>
      </w:r>
      <w:r w:rsidRPr="00663711">
        <w:rPr>
          <w:i/>
          <w:color w:val="010101"/>
          <w:w w:val="105"/>
          <w:sz w:val="18"/>
          <w:szCs w:val="18"/>
          <w:lang w:val="tr-TR"/>
        </w:rPr>
        <w:t>Ortak Rehber,</w:t>
      </w:r>
      <w:r w:rsidRPr="00663711">
        <w:rPr>
          <w:i/>
          <w:color w:val="010101"/>
          <w:spacing w:val="9"/>
          <w:w w:val="105"/>
          <w:sz w:val="18"/>
          <w:szCs w:val="18"/>
          <w:lang w:val="tr-TR"/>
        </w:rPr>
        <w:t xml:space="preserve"> </w:t>
      </w:r>
      <w:r w:rsidRPr="00663711">
        <w:rPr>
          <w:color w:val="010101"/>
          <w:w w:val="105"/>
          <w:sz w:val="18"/>
          <w:szCs w:val="18"/>
          <w:lang w:val="tr-TR"/>
        </w:rPr>
        <w:t>parag.</w:t>
      </w:r>
      <w:r w:rsidRPr="00663711">
        <w:rPr>
          <w:color w:val="010101"/>
          <w:spacing w:val="3"/>
          <w:w w:val="105"/>
          <w:sz w:val="18"/>
          <w:szCs w:val="18"/>
          <w:lang w:val="tr-TR"/>
        </w:rPr>
        <w:t xml:space="preserve"> </w:t>
      </w:r>
      <w:r w:rsidRPr="00663711">
        <w:rPr>
          <w:color w:val="010101"/>
          <w:w w:val="105"/>
          <w:sz w:val="18"/>
          <w:szCs w:val="18"/>
          <w:lang w:val="tr-TR"/>
        </w:rPr>
        <w:t>113-115.</w:t>
      </w:r>
    </w:p>
  </w:footnote>
  <w:footnote w:id="66">
    <w:p w14:paraId="3391AA8D" w14:textId="13DB0597" w:rsidR="00657B41" w:rsidRPr="00663711" w:rsidRDefault="00657B41">
      <w:pPr>
        <w:pStyle w:val="DipnotMetni"/>
        <w:rPr>
          <w:sz w:val="18"/>
          <w:szCs w:val="18"/>
          <w:lang w:val="tr-TR"/>
        </w:rPr>
      </w:pPr>
      <w:r w:rsidRPr="00663711">
        <w:rPr>
          <w:rStyle w:val="DipnotBavurusu"/>
          <w:sz w:val="18"/>
          <w:szCs w:val="18"/>
          <w:lang w:val="tr-TR"/>
        </w:rPr>
        <w:footnoteRef/>
      </w:r>
      <w:r w:rsidRPr="00663711">
        <w:rPr>
          <w:sz w:val="18"/>
          <w:szCs w:val="18"/>
          <w:lang w:val="tr-TR"/>
        </w:rPr>
        <w:t xml:space="preserve"> </w:t>
      </w:r>
      <w:r w:rsidR="00663711" w:rsidRPr="00663711">
        <w:rPr>
          <w:sz w:val="18"/>
          <w:szCs w:val="18"/>
          <w:lang w:val="tr-TR"/>
        </w:rPr>
        <w:t xml:space="preserve">Bakınız AİHM, </w:t>
      </w:r>
      <w:r w:rsidR="00663711" w:rsidRPr="00070652">
        <w:rPr>
          <w:i/>
          <w:iCs/>
          <w:sz w:val="18"/>
          <w:szCs w:val="18"/>
          <w:lang w:val="tr-TR"/>
        </w:rPr>
        <w:t>Tebieti Muhafize Cemiyyeti ve Israfilov</w:t>
      </w:r>
      <w:r w:rsidR="00663711" w:rsidRPr="00663711">
        <w:rPr>
          <w:sz w:val="18"/>
          <w:szCs w:val="18"/>
          <w:lang w:val="tr-TR"/>
        </w:rPr>
        <w:t xml:space="preserve">, parag. 62. Mahkeme, STÖ’lerin iç yönetiminde belli bazı yasal şartların yerine getirilmemesinin, örgütün feshini haklı kılacak ölçüde ciddi bir </w:t>
      </w:r>
      <w:r w:rsidR="00AD61AB">
        <w:rPr>
          <w:sz w:val="18"/>
          <w:szCs w:val="18"/>
          <w:lang w:val="tr-TR"/>
        </w:rPr>
        <w:t>suiistimal</w:t>
      </w:r>
      <w:r w:rsidR="00663711" w:rsidRPr="00663711">
        <w:rPr>
          <w:sz w:val="18"/>
          <w:szCs w:val="18"/>
          <w:lang w:val="tr-TR"/>
        </w:rPr>
        <w:t xml:space="preserve"> olarak değerlendirilemeyeceği kararını vermiştir (parag. 82).</w:t>
      </w:r>
    </w:p>
  </w:footnote>
  <w:footnote w:id="67">
    <w:p w14:paraId="1AFEC107" w14:textId="0311FBA9" w:rsidR="0032521C" w:rsidRPr="0032521C" w:rsidRDefault="0032521C">
      <w:pPr>
        <w:pStyle w:val="DipnotMetni"/>
        <w:rPr>
          <w:sz w:val="18"/>
          <w:szCs w:val="18"/>
          <w:lang w:val="tr-TR"/>
        </w:rPr>
      </w:pPr>
      <w:r>
        <w:rPr>
          <w:rStyle w:val="DipnotBavurusu"/>
        </w:rPr>
        <w:footnoteRef/>
      </w:r>
      <w:r w:rsidRPr="00FD7D6F">
        <w:rPr>
          <w:lang w:val="tr-TR"/>
        </w:rPr>
        <w:t xml:space="preserve"> </w:t>
      </w:r>
      <w:r w:rsidRPr="0032521C">
        <w:rPr>
          <w:sz w:val="18"/>
          <w:szCs w:val="18"/>
          <w:lang w:val="tr-TR"/>
        </w:rPr>
        <w:t>Bakınız COL-AD (2019)002, parag. 116.</w:t>
      </w:r>
    </w:p>
  </w:footnote>
  <w:footnote w:id="68">
    <w:p w14:paraId="076DCDAC" w14:textId="1498CE49" w:rsidR="008A1664" w:rsidRPr="008A1664" w:rsidRDefault="008A1664">
      <w:pPr>
        <w:pStyle w:val="DipnotMetni"/>
        <w:rPr>
          <w:sz w:val="18"/>
          <w:szCs w:val="18"/>
          <w:lang w:val="tr-TR"/>
        </w:rPr>
      </w:pPr>
      <w:r>
        <w:rPr>
          <w:rStyle w:val="DipnotBavurusu"/>
        </w:rPr>
        <w:footnoteRef/>
      </w:r>
      <w:r w:rsidRPr="00FB017D">
        <w:rPr>
          <w:lang w:val="tr-TR"/>
        </w:rPr>
        <w:t xml:space="preserve"> </w:t>
      </w:r>
      <w:r w:rsidRPr="008A1664">
        <w:rPr>
          <w:sz w:val="18"/>
          <w:szCs w:val="18"/>
          <w:lang w:val="tr-TR"/>
        </w:rPr>
        <w:t>Bakınız COL-AD (2011)035, Azerbaycan Cumhuriyetinde sivil toplum örgütlerine ilişkin mevzuatın insan hakları standartlarına uygunluğu hakkında Görüş, parag. 107. Benzer şekilde Venedik Komisyonu, Macaristan’da “Yurtdışından Destek Alan Örgütlerin Şeffaflığı Hakkında Kanun Teklifine” ilişkin Görüşünde, Kanun teklifinde belirlenen şeffaflık yükümlülüklerinden birinin ihlali halinde, ihlal edilen yükümlülüğün yapısına bakılmaksızın, derneklere fesih cezası öngörülmesini eleştirmiştir (CDL­ AD(2017)015, parag. 60). Kanun Teklifinde belirtilen raporlama ya da beyanname yükümlülüklerin yerine getirilmemesinin fesih cezasını haklı kılacak kadar “ciddi bir suiistimal” olarak nitelendirilebileceğine ikna olmayan Venedik Komisyonu, derneklerin ancak suç sayılan faaliyette bulunduğu durumlarda mahkeme tarafından ölçülü olarak fesih kararı verilebileceğini belirtmiştir: Ancak, kanunla belirlenen raporlama yükümlülüklerinin yerine getirilmemesi gibi basit bir eksiklikte derneğin feshedilmesi ölçüsüz bir tedbir olarak görülmektedir (CDL-AD(2017)015, parag. 62).</w:t>
      </w:r>
    </w:p>
  </w:footnote>
  <w:footnote w:id="69">
    <w:p w14:paraId="1564C31C" w14:textId="2BA29F22" w:rsidR="00822141" w:rsidRPr="000F7658" w:rsidRDefault="00822141">
      <w:pPr>
        <w:pStyle w:val="DipnotMetni"/>
        <w:rPr>
          <w:sz w:val="18"/>
          <w:szCs w:val="18"/>
          <w:lang w:val="tr-TR"/>
        </w:rPr>
      </w:pPr>
      <w:r>
        <w:rPr>
          <w:rStyle w:val="DipnotBavurusu"/>
        </w:rPr>
        <w:footnoteRef/>
      </w:r>
      <w:r w:rsidRPr="00FB017D">
        <w:rPr>
          <w:lang w:val="tr-TR"/>
        </w:rPr>
        <w:t xml:space="preserve"> </w:t>
      </w:r>
      <w:r w:rsidRPr="000F7658">
        <w:rPr>
          <w:sz w:val="18"/>
          <w:szCs w:val="18"/>
          <w:lang w:val="tr-TR"/>
        </w:rPr>
        <w:t>Bakınız AİHM,</w:t>
      </w:r>
      <w:r w:rsidR="000F7658">
        <w:rPr>
          <w:sz w:val="18"/>
          <w:szCs w:val="18"/>
          <w:lang w:val="tr-TR"/>
        </w:rPr>
        <w:t xml:space="preserve"> </w:t>
      </w:r>
      <w:r w:rsidR="00FC029D" w:rsidRPr="000F7658">
        <w:rPr>
          <w:i/>
          <w:color w:val="010101"/>
          <w:w w:val="105"/>
          <w:sz w:val="18"/>
          <w:szCs w:val="18"/>
          <w:lang w:val="tr-TR"/>
        </w:rPr>
        <w:t xml:space="preserve">Kurtuluş Ordusu Moskova Şubesi-Rusya davası, </w:t>
      </w:r>
      <w:r w:rsidR="00FC029D" w:rsidRPr="000F7658">
        <w:rPr>
          <w:color w:val="010101"/>
          <w:w w:val="105"/>
          <w:sz w:val="18"/>
          <w:szCs w:val="18"/>
          <w:lang w:val="tr-TR"/>
        </w:rPr>
        <w:t>başvuru</w:t>
      </w:r>
      <w:r w:rsidR="00FC029D" w:rsidRPr="000F7658">
        <w:rPr>
          <w:color w:val="010101"/>
          <w:spacing w:val="1"/>
          <w:w w:val="105"/>
          <w:sz w:val="18"/>
          <w:szCs w:val="18"/>
          <w:lang w:val="tr-TR"/>
        </w:rPr>
        <w:t xml:space="preserve"> </w:t>
      </w:r>
      <w:r w:rsidR="00FC029D" w:rsidRPr="000F7658">
        <w:rPr>
          <w:color w:val="010101"/>
          <w:w w:val="105"/>
          <w:sz w:val="18"/>
          <w:szCs w:val="18"/>
          <w:lang w:val="tr-TR"/>
        </w:rPr>
        <w:t>no</w:t>
      </w:r>
      <w:r w:rsidR="00FC029D" w:rsidRPr="000F7658">
        <w:rPr>
          <w:color w:val="3D3D3D"/>
          <w:w w:val="105"/>
          <w:sz w:val="18"/>
          <w:szCs w:val="18"/>
          <w:lang w:val="tr-TR"/>
        </w:rPr>
        <w:t xml:space="preserve">. </w:t>
      </w:r>
      <w:r w:rsidR="00FC029D" w:rsidRPr="000F7658">
        <w:rPr>
          <w:color w:val="010101"/>
          <w:w w:val="105"/>
          <w:sz w:val="18"/>
          <w:szCs w:val="18"/>
          <w:lang w:val="tr-TR"/>
        </w:rPr>
        <w:t>72881/01</w:t>
      </w:r>
      <w:r w:rsidR="00FC029D" w:rsidRPr="000F7658">
        <w:rPr>
          <w:color w:val="2A2A2A"/>
          <w:w w:val="105"/>
          <w:sz w:val="18"/>
          <w:szCs w:val="18"/>
          <w:lang w:val="tr-TR"/>
        </w:rPr>
        <w:t xml:space="preserve">, </w:t>
      </w:r>
      <w:r w:rsidR="00FC029D" w:rsidRPr="000F7658">
        <w:rPr>
          <w:color w:val="010101"/>
          <w:w w:val="105"/>
          <w:sz w:val="18"/>
          <w:szCs w:val="18"/>
          <w:lang w:val="tr-TR"/>
        </w:rPr>
        <w:t>5</w:t>
      </w:r>
      <w:r w:rsidR="00FC029D" w:rsidRPr="000F7658">
        <w:rPr>
          <w:color w:val="010101"/>
          <w:spacing w:val="1"/>
          <w:w w:val="105"/>
          <w:sz w:val="18"/>
          <w:szCs w:val="18"/>
          <w:lang w:val="tr-TR"/>
        </w:rPr>
        <w:t xml:space="preserve"> </w:t>
      </w:r>
      <w:r w:rsidR="00FC029D" w:rsidRPr="000F7658">
        <w:rPr>
          <w:color w:val="010101"/>
          <w:w w:val="105"/>
          <w:sz w:val="18"/>
          <w:szCs w:val="18"/>
          <w:lang w:val="tr-TR"/>
        </w:rPr>
        <w:t>Ekim</w:t>
      </w:r>
      <w:r w:rsidR="00FC029D" w:rsidRPr="000F7658">
        <w:rPr>
          <w:color w:val="010101"/>
          <w:spacing w:val="10"/>
          <w:w w:val="105"/>
          <w:sz w:val="18"/>
          <w:szCs w:val="18"/>
          <w:lang w:val="tr-TR"/>
        </w:rPr>
        <w:t xml:space="preserve"> </w:t>
      </w:r>
      <w:r w:rsidR="00FC029D" w:rsidRPr="000F7658">
        <w:rPr>
          <w:color w:val="010101"/>
          <w:w w:val="105"/>
          <w:sz w:val="18"/>
          <w:szCs w:val="18"/>
          <w:lang w:val="tr-TR"/>
        </w:rPr>
        <w:t>2006 tarihli karar,</w:t>
      </w:r>
      <w:r w:rsidR="00FC029D" w:rsidRPr="000F7658">
        <w:rPr>
          <w:color w:val="010101"/>
          <w:spacing w:val="6"/>
          <w:w w:val="105"/>
          <w:sz w:val="18"/>
          <w:szCs w:val="18"/>
          <w:lang w:val="tr-TR"/>
        </w:rPr>
        <w:t xml:space="preserve"> </w:t>
      </w:r>
      <w:r w:rsidR="00FC029D" w:rsidRPr="000F7658">
        <w:rPr>
          <w:color w:val="010101"/>
          <w:w w:val="105"/>
          <w:sz w:val="18"/>
          <w:szCs w:val="18"/>
          <w:lang w:val="tr-TR"/>
        </w:rPr>
        <w:t>parag</w:t>
      </w:r>
      <w:r w:rsidR="00FC029D" w:rsidRPr="000F7658">
        <w:rPr>
          <w:color w:val="3D3D3D"/>
          <w:w w:val="105"/>
          <w:sz w:val="18"/>
          <w:szCs w:val="18"/>
          <w:lang w:val="tr-TR"/>
        </w:rPr>
        <w:t>.</w:t>
      </w:r>
      <w:r w:rsidR="00FC029D" w:rsidRPr="000F7658">
        <w:rPr>
          <w:color w:val="3D3D3D"/>
          <w:spacing w:val="-3"/>
          <w:w w:val="105"/>
          <w:sz w:val="18"/>
          <w:szCs w:val="18"/>
          <w:lang w:val="tr-TR"/>
        </w:rPr>
        <w:t xml:space="preserve"> </w:t>
      </w:r>
      <w:r w:rsidR="00FC029D" w:rsidRPr="000F7658">
        <w:rPr>
          <w:color w:val="010101"/>
          <w:w w:val="105"/>
          <w:sz w:val="18"/>
          <w:szCs w:val="18"/>
          <w:lang w:val="tr-TR"/>
        </w:rPr>
        <w:t>82</w:t>
      </w:r>
      <w:r w:rsidR="00FC029D" w:rsidRPr="000F7658">
        <w:rPr>
          <w:color w:val="505050"/>
          <w:w w:val="105"/>
          <w:sz w:val="18"/>
          <w:szCs w:val="18"/>
          <w:lang w:val="tr-TR"/>
        </w:rPr>
        <w:t>.</w:t>
      </w:r>
    </w:p>
  </w:footnote>
  <w:footnote w:id="70">
    <w:p w14:paraId="39555C2F" w14:textId="6B3CB505" w:rsidR="00E25CA7" w:rsidRPr="000F7658" w:rsidRDefault="00E25CA7">
      <w:pPr>
        <w:pStyle w:val="DipnotMetni"/>
        <w:rPr>
          <w:sz w:val="18"/>
          <w:szCs w:val="18"/>
          <w:lang w:val="tr-TR"/>
        </w:rPr>
      </w:pPr>
      <w:r w:rsidRPr="000F7658">
        <w:rPr>
          <w:rStyle w:val="DipnotBavurusu"/>
          <w:sz w:val="18"/>
          <w:szCs w:val="18"/>
          <w:lang w:val="tr-TR"/>
        </w:rPr>
        <w:footnoteRef/>
      </w:r>
      <w:r w:rsidRPr="000F7658">
        <w:rPr>
          <w:sz w:val="18"/>
          <w:szCs w:val="18"/>
          <w:lang w:val="tr-TR"/>
        </w:rPr>
        <w:t xml:space="preserve"> Bakınız Ortak Rehber (CDL-AD(2014)046), parag. 106.</w:t>
      </w:r>
    </w:p>
  </w:footnote>
  <w:footnote w:id="71">
    <w:p w14:paraId="56864E02" w14:textId="3707CC86" w:rsidR="00E37CE6" w:rsidRPr="000F7658" w:rsidRDefault="00E37CE6">
      <w:pPr>
        <w:pStyle w:val="DipnotMetni"/>
        <w:rPr>
          <w:sz w:val="18"/>
          <w:szCs w:val="18"/>
          <w:lang w:val="tr-TR"/>
        </w:rPr>
      </w:pPr>
      <w:r w:rsidRPr="000F7658">
        <w:rPr>
          <w:rStyle w:val="DipnotBavurusu"/>
          <w:sz w:val="18"/>
          <w:szCs w:val="18"/>
          <w:lang w:val="tr-TR"/>
        </w:rPr>
        <w:footnoteRef/>
      </w:r>
      <w:r w:rsidRPr="000F7658">
        <w:rPr>
          <w:sz w:val="18"/>
          <w:szCs w:val="18"/>
          <w:lang w:val="tr-TR"/>
        </w:rPr>
        <w:t xml:space="preserve"> </w:t>
      </w:r>
      <w:r w:rsidR="001D47B8" w:rsidRPr="000F7658">
        <w:rPr>
          <w:sz w:val="18"/>
          <w:szCs w:val="18"/>
          <w:lang w:val="tr-TR"/>
        </w:rPr>
        <w:t xml:space="preserve">Bakınız CDL-AD (2018)013, Macaristan'da STÖ'leri doğrudan etkileyen </w:t>
      </w:r>
      <w:r w:rsidR="00D35AA2">
        <w:rPr>
          <w:sz w:val="18"/>
          <w:szCs w:val="18"/>
          <w:lang w:val="tr-TR"/>
        </w:rPr>
        <w:t xml:space="preserve">ve </w:t>
      </w:r>
      <w:r w:rsidR="001D47B8" w:rsidRPr="000F7658">
        <w:rPr>
          <w:sz w:val="18"/>
          <w:szCs w:val="18"/>
          <w:lang w:val="tr-TR"/>
        </w:rPr>
        <w:t>"Soros</w:t>
      </w:r>
      <w:r w:rsidR="0004155C" w:rsidRPr="000F7658">
        <w:rPr>
          <w:sz w:val="18"/>
          <w:szCs w:val="18"/>
          <w:lang w:val="tr-TR"/>
        </w:rPr>
        <w:t>’</w:t>
      </w:r>
      <w:r w:rsidR="001D47B8" w:rsidRPr="000F7658">
        <w:rPr>
          <w:sz w:val="18"/>
          <w:szCs w:val="18"/>
          <w:lang w:val="tr-TR"/>
        </w:rPr>
        <w:t xml:space="preserve">u Durdur" </w:t>
      </w:r>
      <w:r w:rsidR="00D35AA2">
        <w:rPr>
          <w:sz w:val="18"/>
          <w:szCs w:val="18"/>
          <w:lang w:val="tr-TR"/>
        </w:rPr>
        <w:t>adıyla</w:t>
      </w:r>
      <w:r w:rsidR="0004155C" w:rsidRPr="000F7658">
        <w:rPr>
          <w:sz w:val="18"/>
          <w:szCs w:val="18"/>
          <w:lang w:val="tr-TR"/>
        </w:rPr>
        <w:t xml:space="preserve"> bilinen</w:t>
      </w:r>
      <w:r w:rsidR="001D47B8" w:rsidRPr="000F7658">
        <w:rPr>
          <w:sz w:val="18"/>
          <w:szCs w:val="18"/>
          <w:lang w:val="tr-TR"/>
        </w:rPr>
        <w:t xml:space="preserve"> taslak Mevzuat Paketinin Hükümleri Hakkında Ortak Görüş, parag. 68.</w:t>
      </w:r>
    </w:p>
  </w:footnote>
  <w:footnote w:id="72">
    <w:p w14:paraId="793DB61A" w14:textId="78CDBE6A" w:rsidR="00BE5CFB" w:rsidRPr="000F7658" w:rsidRDefault="00BE5CFB">
      <w:pPr>
        <w:pStyle w:val="DipnotMetni"/>
        <w:rPr>
          <w:sz w:val="18"/>
          <w:szCs w:val="18"/>
          <w:lang w:val="tr-TR"/>
        </w:rPr>
      </w:pPr>
      <w:r w:rsidRPr="000F7658">
        <w:rPr>
          <w:rStyle w:val="DipnotBavurusu"/>
          <w:sz w:val="18"/>
          <w:szCs w:val="18"/>
          <w:lang w:val="tr-TR"/>
        </w:rPr>
        <w:footnoteRef/>
      </w:r>
      <w:r w:rsidRPr="000F7658">
        <w:rPr>
          <w:sz w:val="18"/>
          <w:szCs w:val="18"/>
          <w:lang w:val="tr-TR"/>
        </w:rPr>
        <w:t xml:space="preserve"> CDL-AD (2017)015, Macaristan’da “Yurtdışından Destek Alan Örgütlerin Şeffaflığı Hakkında Kanun Teklifine” ilişkin Görüş, parag 72. Bakınız ayrıca CDL-AD(2016)001 Hukukun Üstünlüğü Kontrol Listesi, s.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C5AA" w14:textId="20CC3A35" w:rsidR="001B3C12" w:rsidRDefault="00B37537">
    <w:pPr>
      <w:pStyle w:val="GvdeMetni"/>
      <w:spacing w:line="14" w:lineRule="auto"/>
      <w:rPr>
        <w:sz w:val="20"/>
      </w:rPr>
    </w:pPr>
    <w:r>
      <w:rPr>
        <w:noProof/>
        <w:lang w:val="tr-TR" w:eastAsia="tr-TR"/>
      </w:rPr>
      <mc:AlternateContent>
        <mc:Choice Requires="wps">
          <w:drawing>
            <wp:anchor distT="0" distB="0" distL="114300" distR="114300" simplePos="0" relativeHeight="487248896" behindDoc="1" locked="0" layoutInCell="1" allowOverlap="1" wp14:anchorId="75ADC669" wp14:editId="23F59E72">
              <wp:simplePos x="0" y="0"/>
              <wp:positionH relativeFrom="page">
                <wp:posOffset>981710</wp:posOffset>
              </wp:positionH>
              <wp:positionV relativeFrom="page">
                <wp:posOffset>440055</wp:posOffset>
              </wp:positionV>
              <wp:extent cx="1184275" cy="17462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485F5" w14:textId="77777777" w:rsidR="001B3C12" w:rsidRDefault="00C77180">
                          <w:pPr>
                            <w:pStyle w:val="GvdeMetni"/>
                            <w:spacing w:before="13"/>
                            <w:ind w:left="20"/>
                          </w:pPr>
                          <w:r>
                            <w:rPr>
                              <w:color w:val="010101"/>
                              <w:w w:val="105"/>
                            </w:rPr>
                            <w:t>CDL-AD(2021)023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ADC669" id="_x0000_t202" coordsize="21600,21600" o:spt="202" path="m,l,21600r21600,l21600,xe">
              <v:stroke joinstyle="miter"/>
              <v:path gradientshapeok="t" o:connecttype="rect"/>
            </v:shapetype>
            <v:shape id="docshape2" o:spid="_x0000_s1026" type="#_x0000_t202" style="position:absolute;margin-left:77.3pt;margin-top:34.65pt;width:93.25pt;height:13.7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" filled="f" stroked="f">
              <v:textbox inset="0,0,0,0">
                <w:txbxContent>
                  <w:p w14:paraId="4F7485F5" w14:textId="77777777" w:rsidR="001B3C12" w:rsidRDefault="00C77180">
                    <w:pPr>
                      <w:pStyle w:val="GvdeMetni"/>
                      <w:spacing w:before="13"/>
                      <w:ind w:left="20"/>
                    </w:pPr>
                    <w:r>
                      <w:rPr>
                        <w:color w:val="010101"/>
                        <w:w w:val="105"/>
                      </w:rPr>
                      <w:t>CDL-AD(2021)023</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7249408" behindDoc="1" locked="0" layoutInCell="1" allowOverlap="1" wp14:anchorId="26A190A6" wp14:editId="33E78621">
              <wp:simplePos x="0" y="0"/>
              <wp:positionH relativeFrom="page">
                <wp:posOffset>3707130</wp:posOffset>
              </wp:positionH>
              <wp:positionV relativeFrom="page">
                <wp:posOffset>443230</wp:posOffset>
              </wp:positionV>
              <wp:extent cx="353695" cy="17462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19BD" w14:textId="58D191A3" w:rsidR="001B3C12" w:rsidRDefault="00C77180">
                          <w:pPr>
                            <w:pStyle w:val="GvdeMetni"/>
                            <w:spacing w:before="13"/>
                            <w:ind w:left="20"/>
                          </w:pPr>
                          <w:r>
                            <w:rPr>
                              <w:color w:val="010101"/>
                              <w:w w:val="105"/>
                            </w:rPr>
                            <w:t>-</w:t>
                          </w:r>
                          <w:r>
                            <w:rPr>
                              <w:color w:val="010101"/>
                              <w:spacing w:val="3"/>
                              <w:w w:val="105"/>
                            </w:rPr>
                            <w:t xml:space="preserve"> </w:t>
                          </w:r>
                          <w:r>
                            <w:fldChar w:fldCharType="begin"/>
                          </w:r>
                          <w:r>
                            <w:rPr>
                              <w:color w:val="010101"/>
                              <w:w w:val="105"/>
                            </w:rPr>
                            <w:instrText xml:space="preserve"> PAGE </w:instrText>
                          </w:r>
                          <w:r>
                            <w:fldChar w:fldCharType="separate"/>
                          </w:r>
                          <w:r w:rsidR="00B62687">
                            <w:rPr>
                              <w:noProof/>
                              <w:color w:val="010101"/>
                              <w:w w:val="105"/>
                            </w:rPr>
                            <w:t>20</w:t>
                          </w:r>
                          <w:r>
                            <w:fldChar w:fldCharType="end"/>
                          </w:r>
                          <w:r>
                            <w:rPr>
                              <w:color w:val="010101"/>
                              <w:spacing w:val="-3"/>
                              <w:w w:val="105"/>
                            </w:rPr>
                            <w:t xml:space="preserve"> </w:t>
                          </w:r>
                          <w:r>
                            <w:rPr>
                              <w:color w:val="010101"/>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190A6" id="_x0000_t202" coordsize="21600,21600" o:spt="202" path="m,l,21600r21600,l21600,xe">
              <v:stroke joinstyle="miter"/>
              <v:path gradientshapeok="t" o:connecttype="rect"/>
            </v:shapetype>
            <v:shape id="docshape3" o:spid="_x0000_s1027" type="#_x0000_t202" style="position:absolute;margin-left:291.9pt;margin-top:34.9pt;width:27.85pt;height:13.7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" filled="f" stroked="f">
              <v:textbox inset="0,0,0,0">
                <w:txbxContent>
                  <w:p w14:paraId="7CEB19BD" w14:textId="58D191A3" w:rsidR="001B3C12" w:rsidRDefault="00C77180">
                    <w:pPr>
                      <w:pStyle w:val="GvdeMetni"/>
                      <w:spacing w:before="13"/>
                      <w:ind w:left="20"/>
                    </w:pPr>
                    <w:r>
                      <w:rPr>
                        <w:color w:val="010101"/>
                        <w:w w:val="105"/>
                      </w:rPr>
                      <w:t>-</w:t>
                    </w:r>
                    <w:r>
                      <w:rPr>
                        <w:color w:val="010101"/>
                        <w:spacing w:val="3"/>
                        <w:w w:val="105"/>
                      </w:rPr>
                      <w:t xml:space="preserve"> </w:t>
                    </w:r>
                    <w:r>
                      <w:fldChar w:fldCharType="begin"/>
                    </w:r>
                    <w:r>
                      <w:rPr>
                        <w:color w:val="010101"/>
                        <w:w w:val="105"/>
                      </w:rPr>
                      <w:instrText xml:space="preserve"> PAGE </w:instrText>
                    </w:r>
                    <w:r>
                      <w:fldChar w:fldCharType="separate"/>
                    </w:r>
                    <w:r w:rsidR="00B62687">
                      <w:rPr>
                        <w:noProof/>
                        <w:color w:val="010101"/>
                        <w:w w:val="105"/>
                      </w:rPr>
                      <w:t>20</w:t>
                    </w:r>
                    <w:r>
                      <w:fldChar w:fldCharType="end"/>
                    </w:r>
                    <w:r>
                      <w:rPr>
                        <w:color w:val="010101"/>
                        <w:spacing w:val="-3"/>
                        <w:w w:val="105"/>
                      </w:rPr>
                      <w:t xml:space="preserve"> </w:t>
                    </w:r>
                    <w:r>
                      <w:rPr>
                        <w:color w:val="010101"/>
                        <w:w w:val="105"/>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7F7B" w14:textId="140D91DD" w:rsidR="001B3C12" w:rsidRDefault="00B37537">
    <w:pPr>
      <w:pStyle w:val="GvdeMetni"/>
      <w:spacing w:line="14" w:lineRule="auto"/>
      <w:rPr>
        <w:sz w:val="20"/>
      </w:rPr>
    </w:pPr>
    <w:r>
      <w:rPr>
        <w:noProof/>
        <w:lang w:val="tr-TR" w:eastAsia="tr-TR"/>
      </w:rPr>
      <mc:AlternateContent>
        <mc:Choice Requires="wps">
          <w:drawing>
            <wp:anchor distT="0" distB="0" distL="114300" distR="114300" simplePos="0" relativeHeight="487249920" behindDoc="1" locked="0" layoutInCell="1" allowOverlap="1" wp14:anchorId="1F36F65D" wp14:editId="28D87BAE">
              <wp:simplePos x="0" y="0"/>
              <wp:positionH relativeFrom="page">
                <wp:posOffset>3624580</wp:posOffset>
              </wp:positionH>
              <wp:positionV relativeFrom="page">
                <wp:posOffset>443230</wp:posOffset>
              </wp:positionV>
              <wp:extent cx="354330" cy="17462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634F" w14:textId="230956C7" w:rsidR="001B3C12" w:rsidRDefault="00C77180">
                          <w:pPr>
                            <w:pStyle w:val="GvdeMetni"/>
                            <w:spacing w:before="13"/>
                            <w:ind w:left="20"/>
                          </w:pPr>
                          <w:r>
                            <w:rPr>
                              <w:color w:val="010101"/>
                              <w:w w:val="105"/>
                            </w:rPr>
                            <w:t>-</w:t>
                          </w:r>
                          <w:r>
                            <w:rPr>
                              <w:color w:val="010101"/>
                              <w:spacing w:val="5"/>
                              <w:w w:val="105"/>
                            </w:rPr>
                            <w:t xml:space="preserve"> </w:t>
                          </w:r>
                          <w:r>
                            <w:fldChar w:fldCharType="begin"/>
                          </w:r>
                          <w:r>
                            <w:rPr>
                              <w:color w:val="010101"/>
                              <w:w w:val="105"/>
                            </w:rPr>
                            <w:instrText xml:space="preserve"> PAGE </w:instrText>
                          </w:r>
                          <w:r>
                            <w:fldChar w:fldCharType="separate"/>
                          </w:r>
                          <w:r w:rsidR="00B62687">
                            <w:rPr>
                              <w:noProof/>
                              <w:color w:val="010101"/>
                              <w:w w:val="105"/>
                            </w:rPr>
                            <w:t>21</w:t>
                          </w:r>
                          <w:r>
                            <w:fldChar w:fldCharType="end"/>
                          </w:r>
                          <w:r>
                            <w:rPr>
                              <w:color w:val="010101"/>
                              <w:spacing w:val="-5"/>
                              <w:w w:val="105"/>
                            </w:rPr>
                            <w:t xml:space="preserve"> </w:t>
                          </w:r>
                          <w:r>
                            <w:rPr>
                              <w:color w:val="010101"/>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6F65D" id="_x0000_t202" coordsize="21600,21600" o:spt="202" path="m,l,21600r21600,l21600,xe">
              <v:stroke joinstyle="miter"/>
              <v:path gradientshapeok="t" o:connecttype="rect"/>
            </v:shapetype>
            <v:shape id="docshape4" o:spid="_x0000_s1028" type="#_x0000_t202" style="position:absolute;margin-left:285.4pt;margin-top:34.9pt;width:27.9pt;height:13.7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" filled="f" stroked="f">
              <v:textbox inset="0,0,0,0">
                <w:txbxContent>
                  <w:p w14:paraId="67B0634F" w14:textId="230956C7" w:rsidR="001B3C12" w:rsidRDefault="00C77180">
                    <w:pPr>
                      <w:pStyle w:val="GvdeMetni"/>
                      <w:spacing w:before="13"/>
                      <w:ind w:left="20"/>
                    </w:pPr>
                    <w:r>
                      <w:rPr>
                        <w:color w:val="010101"/>
                        <w:w w:val="105"/>
                      </w:rPr>
                      <w:t>-</w:t>
                    </w:r>
                    <w:r>
                      <w:rPr>
                        <w:color w:val="010101"/>
                        <w:spacing w:val="5"/>
                        <w:w w:val="105"/>
                      </w:rPr>
                      <w:t xml:space="preserve"> </w:t>
                    </w:r>
                    <w:r>
                      <w:fldChar w:fldCharType="begin"/>
                    </w:r>
                    <w:r>
                      <w:rPr>
                        <w:color w:val="010101"/>
                        <w:w w:val="105"/>
                      </w:rPr>
                      <w:instrText xml:space="preserve"> PAGE </w:instrText>
                    </w:r>
                    <w:r>
                      <w:fldChar w:fldCharType="separate"/>
                    </w:r>
                    <w:r w:rsidR="00B62687">
                      <w:rPr>
                        <w:noProof/>
                        <w:color w:val="010101"/>
                        <w:w w:val="105"/>
                      </w:rPr>
                      <w:t>21</w:t>
                    </w:r>
                    <w:r>
                      <w:fldChar w:fldCharType="end"/>
                    </w:r>
                    <w:r>
                      <w:rPr>
                        <w:color w:val="010101"/>
                        <w:spacing w:val="-5"/>
                        <w:w w:val="105"/>
                      </w:rPr>
                      <w:t xml:space="preserve"> </w:t>
                    </w:r>
                    <w:r>
                      <w:rPr>
                        <w:color w:val="010101"/>
                        <w:w w:val="105"/>
                      </w:rPr>
                      <w:t>-</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7250432" behindDoc="1" locked="0" layoutInCell="1" allowOverlap="1" wp14:anchorId="1A962142" wp14:editId="6F5F677B">
              <wp:simplePos x="0" y="0"/>
              <wp:positionH relativeFrom="page">
                <wp:posOffset>5493385</wp:posOffset>
              </wp:positionH>
              <wp:positionV relativeFrom="page">
                <wp:posOffset>440055</wp:posOffset>
              </wp:positionV>
              <wp:extent cx="1184275" cy="17462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047D5" w14:textId="77777777" w:rsidR="001B3C12" w:rsidRDefault="00C77180">
                          <w:pPr>
                            <w:pStyle w:val="GvdeMetni"/>
                            <w:spacing w:before="13"/>
                            <w:ind w:left="20"/>
                          </w:pPr>
                          <w:r>
                            <w:rPr>
                              <w:color w:val="010101"/>
                              <w:w w:val="105"/>
                            </w:rPr>
                            <w:t>CDL-AD(2021)023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962142" id="docshape5" o:spid="_x0000_s1029" type="#_x0000_t202" style="position:absolute;margin-left:432.55pt;margin-top:34.65pt;width:93.25pt;height:13.7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" filled="f" stroked="f">
              <v:textbox inset="0,0,0,0">
                <w:txbxContent>
                  <w:p w14:paraId="1D1047D5" w14:textId="77777777" w:rsidR="001B3C12" w:rsidRDefault="00C77180">
                    <w:pPr>
                      <w:pStyle w:val="GvdeMetni"/>
                      <w:spacing w:before="13"/>
                      <w:ind w:left="20"/>
                    </w:pPr>
                    <w:r>
                      <w:rPr>
                        <w:color w:val="010101"/>
                        <w:w w:val="105"/>
                      </w:rPr>
                      <w:t>CDL-AD(2021)023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1B8"/>
    <w:multiLevelType w:val="hybridMultilevel"/>
    <w:tmpl w:val="FDFC529C"/>
    <w:lvl w:ilvl="0" w:tplc="99E68C98">
      <w:start w:val="1"/>
      <w:numFmt w:val="lowerLetter"/>
      <w:lvlText w:val="%1."/>
      <w:lvlJc w:val="left"/>
      <w:pPr>
        <w:ind w:left="1584" w:hanging="244"/>
      </w:pPr>
      <w:rPr>
        <w:rFonts w:hint="default"/>
        <w:spacing w:val="-1"/>
        <w:w w:val="106"/>
      </w:rPr>
    </w:lvl>
    <w:lvl w:ilvl="1" w:tplc="4A3A0C8C">
      <w:numFmt w:val="bullet"/>
      <w:lvlText w:val="•"/>
      <w:lvlJc w:val="left"/>
      <w:pPr>
        <w:ind w:left="2360" w:hanging="244"/>
      </w:pPr>
      <w:rPr>
        <w:rFonts w:hint="default"/>
      </w:rPr>
    </w:lvl>
    <w:lvl w:ilvl="2" w:tplc="C77A4AE8">
      <w:numFmt w:val="bullet"/>
      <w:lvlText w:val="•"/>
      <w:lvlJc w:val="left"/>
      <w:pPr>
        <w:ind w:left="3141" w:hanging="244"/>
      </w:pPr>
      <w:rPr>
        <w:rFonts w:hint="default"/>
      </w:rPr>
    </w:lvl>
    <w:lvl w:ilvl="3" w:tplc="025E186E">
      <w:numFmt w:val="bullet"/>
      <w:lvlText w:val="•"/>
      <w:lvlJc w:val="left"/>
      <w:pPr>
        <w:ind w:left="3921" w:hanging="244"/>
      </w:pPr>
      <w:rPr>
        <w:rFonts w:hint="default"/>
      </w:rPr>
    </w:lvl>
    <w:lvl w:ilvl="4" w:tplc="9D0C5452">
      <w:numFmt w:val="bullet"/>
      <w:lvlText w:val="•"/>
      <w:lvlJc w:val="left"/>
      <w:pPr>
        <w:ind w:left="4702" w:hanging="244"/>
      </w:pPr>
      <w:rPr>
        <w:rFonts w:hint="default"/>
      </w:rPr>
    </w:lvl>
    <w:lvl w:ilvl="5" w:tplc="5DE6BB2A">
      <w:numFmt w:val="bullet"/>
      <w:lvlText w:val="•"/>
      <w:lvlJc w:val="left"/>
      <w:pPr>
        <w:ind w:left="5483" w:hanging="244"/>
      </w:pPr>
      <w:rPr>
        <w:rFonts w:hint="default"/>
      </w:rPr>
    </w:lvl>
    <w:lvl w:ilvl="6" w:tplc="D09A5C10">
      <w:numFmt w:val="bullet"/>
      <w:lvlText w:val="•"/>
      <w:lvlJc w:val="left"/>
      <w:pPr>
        <w:ind w:left="6263" w:hanging="244"/>
      </w:pPr>
      <w:rPr>
        <w:rFonts w:hint="default"/>
      </w:rPr>
    </w:lvl>
    <w:lvl w:ilvl="7" w:tplc="69DC848A">
      <w:numFmt w:val="bullet"/>
      <w:lvlText w:val="•"/>
      <w:lvlJc w:val="left"/>
      <w:pPr>
        <w:ind w:left="7044" w:hanging="244"/>
      </w:pPr>
      <w:rPr>
        <w:rFonts w:hint="default"/>
      </w:rPr>
    </w:lvl>
    <w:lvl w:ilvl="8" w:tplc="0404583C">
      <w:numFmt w:val="bullet"/>
      <w:lvlText w:val="•"/>
      <w:lvlJc w:val="left"/>
      <w:pPr>
        <w:ind w:left="7825" w:hanging="244"/>
      </w:pPr>
      <w:rPr>
        <w:rFonts w:hint="default"/>
      </w:rPr>
    </w:lvl>
  </w:abstractNum>
  <w:abstractNum w:abstractNumId="1" w15:restartNumberingAfterBreak="0">
    <w:nsid w:val="1CAB7192"/>
    <w:multiLevelType w:val="hybridMultilevel"/>
    <w:tmpl w:val="8D22F0BA"/>
    <w:lvl w:ilvl="0" w:tplc="CE44B01E">
      <w:start w:val="4"/>
      <w:numFmt w:val="upperRoman"/>
      <w:lvlText w:val="%1."/>
      <w:lvlJc w:val="left"/>
      <w:pPr>
        <w:ind w:left="847" w:hanging="721"/>
      </w:pPr>
      <w:rPr>
        <w:rFonts w:ascii="Arial" w:eastAsia="Arial" w:hAnsi="Arial" w:cs="Arial" w:hint="default"/>
        <w:b w:val="0"/>
        <w:bCs w:val="0"/>
        <w:i w:val="0"/>
        <w:iCs w:val="0"/>
        <w:spacing w:val="-1"/>
        <w:w w:val="108"/>
        <w:sz w:val="21"/>
        <w:szCs w:val="21"/>
      </w:rPr>
    </w:lvl>
    <w:lvl w:ilvl="1" w:tplc="F8BE3D1E">
      <w:start w:val="1"/>
      <w:numFmt w:val="upperRoman"/>
      <w:lvlText w:val="%2."/>
      <w:lvlJc w:val="left"/>
      <w:pPr>
        <w:ind w:left="842" w:hanging="356"/>
      </w:pPr>
      <w:rPr>
        <w:rFonts w:ascii="Arial" w:eastAsia="Arial" w:hAnsi="Arial" w:cs="Arial" w:hint="default"/>
        <w:b/>
        <w:bCs/>
        <w:i w:val="0"/>
        <w:iCs w:val="0"/>
        <w:color w:val="010101"/>
        <w:spacing w:val="-1"/>
        <w:w w:val="103"/>
        <w:sz w:val="22"/>
        <w:szCs w:val="22"/>
      </w:rPr>
    </w:lvl>
    <w:lvl w:ilvl="2" w:tplc="356E4E48">
      <w:numFmt w:val="bullet"/>
      <w:lvlText w:val="•"/>
      <w:lvlJc w:val="left"/>
      <w:pPr>
        <w:ind w:left="2549" w:hanging="356"/>
      </w:pPr>
      <w:rPr>
        <w:rFonts w:hint="default"/>
      </w:rPr>
    </w:lvl>
    <w:lvl w:ilvl="3" w:tplc="8BBE7FB2">
      <w:numFmt w:val="bullet"/>
      <w:lvlText w:val="•"/>
      <w:lvlJc w:val="left"/>
      <w:pPr>
        <w:ind w:left="3403" w:hanging="356"/>
      </w:pPr>
      <w:rPr>
        <w:rFonts w:hint="default"/>
      </w:rPr>
    </w:lvl>
    <w:lvl w:ilvl="4" w:tplc="5B38DF04">
      <w:numFmt w:val="bullet"/>
      <w:lvlText w:val="•"/>
      <w:lvlJc w:val="left"/>
      <w:pPr>
        <w:ind w:left="4258" w:hanging="356"/>
      </w:pPr>
      <w:rPr>
        <w:rFonts w:hint="default"/>
      </w:rPr>
    </w:lvl>
    <w:lvl w:ilvl="5" w:tplc="5694BE18">
      <w:numFmt w:val="bullet"/>
      <w:lvlText w:val="•"/>
      <w:lvlJc w:val="left"/>
      <w:pPr>
        <w:ind w:left="5113" w:hanging="356"/>
      </w:pPr>
      <w:rPr>
        <w:rFonts w:hint="default"/>
      </w:rPr>
    </w:lvl>
    <w:lvl w:ilvl="6" w:tplc="3EF0E956">
      <w:numFmt w:val="bullet"/>
      <w:lvlText w:val="•"/>
      <w:lvlJc w:val="left"/>
      <w:pPr>
        <w:ind w:left="5967" w:hanging="356"/>
      </w:pPr>
      <w:rPr>
        <w:rFonts w:hint="default"/>
      </w:rPr>
    </w:lvl>
    <w:lvl w:ilvl="7" w:tplc="2430D2B2">
      <w:numFmt w:val="bullet"/>
      <w:lvlText w:val="•"/>
      <w:lvlJc w:val="left"/>
      <w:pPr>
        <w:ind w:left="6822" w:hanging="356"/>
      </w:pPr>
      <w:rPr>
        <w:rFonts w:hint="default"/>
      </w:rPr>
    </w:lvl>
    <w:lvl w:ilvl="8" w:tplc="9C2CBF5A">
      <w:numFmt w:val="bullet"/>
      <w:lvlText w:val="•"/>
      <w:lvlJc w:val="left"/>
      <w:pPr>
        <w:ind w:left="7677" w:hanging="356"/>
      </w:pPr>
      <w:rPr>
        <w:rFonts w:hint="default"/>
      </w:rPr>
    </w:lvl>
  </w:abstractNum>
  <w:abstractNum w:abstractNumId="2" w15:restartNumberingAfterBreak="0">
    <w:nsid w:val="24091E60"/>
    <w:multiLevelType w:val="hybridMultilevel"/>
    <w:tmpl w:val="17765B00"/>
    <w:lvl w:ilvl="0" w:tplc="A408391E">
      <w:start w:val="1"/>
      <w:numFmt w:val="upperRoman"/>
      <w:lvlText w:val="%1."/>
      <w:lvlJc w:val="left"/>
      <w:pPr>
        <w:ind w:left="607" w:hanging="481"/>
      </w:pPr>
      <w:rPr>
        <w:rFonts w:ascii="Arial" w:eastAsia="Arial" w:hAnsi="Arial" w:cs="Arial" w:hint="default"/>
        <w:b w:val="0"/>
        <w:bCs w:val="0"/>
        <w:i w:val="0"/>
        <w:iCs w:val="0"/>
        <w:spacing w:val="-1"/>
        <w:w w:val="101"/>
        <w:sz w:val="21"/>
        <w:szCs w:val="21"/>
      </w:rPr>
    </w:lvl>
    <w:lvl w:ilvl="1" w:tplc="9576456C">
      <w:start w:val="1"/>
      <w:numFmt w:val="upperLetter"/>
      <w:lvlText w:val="%2."/>
      <w:lvlJc w:val="left"/>
      <w:pPr>
        <w:ind w:left="370" w:hanging="479"/>
      </w:pPr>
      <w:rPr>
        <w:rFonts w:ascii="Arial" w:eastAsia="Arial" w:hAnsi="Arial" w:cs="Arial" w:hint="default"/>
        <w:b w:val="0"/>
        <w:bCs w:val="0"/>
        <w:i w:val="0"/>
        <w:iCs w:val="0"/>
        <w:spacing w:val="-1"/>
        <w:w w:val="104"/>
        <w:sz w:val="21"/>
        <w:szCs w:val="21"/>
      </w:rPr>
    </w:lvl>
    <w:lvl w:ilvl="2" w:tplc="CA9AF3A2">
      <w:numFmt w:val="bullet"/>
      <w:lvlText w:val="•"/>
      <w:lvlJc w:val="left"/>
      <w:pPr>
        <w:ind w:left="1576" w:hanging="479"/>
      </w:pPr>
      <w:rPr>
        <w:rFonts w:hint="default"/>
      </w:rPr>
    </w:lvl>
    <w:lvl w:ilvl="3" w:tplc="4D6C95FA">
      <w:numFmt w:val="bullet"/>
      <w:lvlText w:val="•"/>
      <w:lvlJc w:val="left"/>
      <w:pPr>
        <w:ind w:left="2552" w:hanging="479"/>
      </w:pPr>
      <w:rPr>
        <w:rFonts w:hint="default"/>
      </w:rPr>
    </w:lvl>
    <w:lvl w:ilvl="4" w:tplc="10E8F5E6">
      <w:numFmt w:val="bullet"/>
      <w:lvlText w:val="•"/>
      <w:lvlJc w:val="left"/>
      <w:pPr>
        <w:ind w:left="3528" w:hanging="479"/>
      </w:pPr>
      <w:rPr>
        <w:rFonts w:hint="default"/>
      </w:rPr>
    </w:lvl>
    <w:lvl w:ilvl="5" w:tplc="277C376C">
      <w:numFmt w:val="bullet"/>
      <w:lvlText w:val="•"/>
      <w:lvlJc w:val="left"/>
      <w:pPr>
        <w:ind w:left="4505" w:hanging="479"/>
      </w:pPr>
      <w:rPr>
        <w:rFonts w:hint="default"/>
      </w:rPr>
    </w:lvl>
    <w:lvl w:ilvl="6" w:tplc="75802E2A">
      <w:numFmt w:val="bullet"/>
      <w:lvlText w:val="•"/>
      <w:lvlJc w:val="left"/>
      <w:pPr>
        <w:ind w:left="5481" w:hanging="479"/>
      </w:pPr>
      <w:rPr>
        <w:rFonts w:hint="default"/>
      </w:rPr>
    </w:lvl>
    <w:lvl w:ilvl="7" w:tplc="54D4D7C0">
      <w:numFmt w:val="bullet"/>
      <w:lvlText w:val="•"/>
      <w:lvlJc w:val="left"/>
      <w:pPr>
        <w:ind w:left="6457" w:hanging="479"/>
      </w:pPr>
      <w:rPr>
        <w:rFonts w:hint="default"/>
      </w:rPr>
    </w:lvl>
    <w:lvl w:ilvl="8" w:tplc="669CC398">
      <w:numFmt w:val="bullet"/>
      <w:lvlText w:val="•"/>
      <w:lvlJc w:val="left"/>
      <w:pPr>
        <w:ind w:left="7433" w:hanging="479"/>
      </w:pPr>
      <w:rPr>
        <w:rFonts w:hint="default"/>
      </w:rPr>
    </w:lvl>
  </w:abstractNum>
  <w:abstractNum w:abstractNumId="3" w15:restartNumberingAfterBreak="0">
    <w:nsid w:val="24EE0507"/>
    <w:multiLevelType w:val="hybridMultilevel"/>
    <w:tmpl w:val="120252C4"/>
    <w:lvl w:ilvl="0" w:tplc="A30EEE08">
      <w:start w:val="2"/>
      <w:numFmt w:val="upperLetter"/>
      <w:lvlText w:val="%1."/>
      <w:lvlJc w:val="left"/>
      <w:pPr>
        <w:ind w:left="848" w:hanging="362"/>
        <w:jc w:val="right"/>
      </w:pPr>
      <w:rPr>
        <w:rFonts w:ascii="Arial" w:eastAsia="Arial" w:hAnsi="Arial" w:cs="Arial" w:hint="default"/>
        <w:b/>
        <w:bCs/>
        <w:i w:val="0"/>
        <w:iCs w:val="0"/>
        <w:color w:val="010101"/>
        <w:spacing w:val="-1"/>
        <w:w w:val="105"/>
        <w:sz w:val="21"/>
        <w:szCs w:val="21"/>
      </w:rPr>
    </w:lvl>
    <w:lvl w:ilvl="1" w:tplc="278A1CC6">
      <w:numFmt w:val="bullet"/>
      <w:lvlText w:val="•"/>
      <w:lvlJc w:val="left"/>
      <w:pPr>
        <w:ind w:left="1694" w:hanging="362"/>
      </w:pPr>
      <w:rPr>
        <w:rFonts w:hint="default"/>
      </w:rPr>
    </w:lvl>
    <w:lvl w:ilvl="2" w:tplc="2E1AF73E">
      <w:numFmt w:val="bullet"/>
      <w:lvlText w:val="•"/>
      <w:lvlJc w:val="left"/>
      <w:pPr>
        <w:ind w:left="2549" w:hanging="362"/>
      </w:pPr>
      <w:rPr>
        <w:rFonts w:hint="default"/>
      </w:rPr>
    </w:lvl>
    <w:lvl w:ilvl="3" w:tplc="CF9C0B7A">
      <w:numFmt w:val="bullet"/>
      <w:lvlText w:val="•"/>
      <w:lvlJc w:val="left"/>
      <w:pPr>
        <w:ind w:left="3403" w:hanging="362"/>
      </w:pPr>
      <w:rPr>
        <w:rFonts w:hint="default"/>
      </w:rPr>
    </w:lvl>
    <w:lvl w:ilvl="4" w:tplc="A07C4778">
      <w:numFmt w:val="bullet"/>
      <w:lvlText w:val="•"/>
      <w:lvlJc w:val="left"/>
      <w:pPr>
        <w:ind w:left="4258" w:hanging="362"/>
      </w:pPr>
      <w:rPr>
        <w:rFonts w:hint="default"/>
      </w:rPr>
    </w:lvl>
    <w:lvl w:ilvl="5" w:tplc="4148D582">
      <w:numFmt w:val="bullet"/>
      <w:lvlText w:val="•"/>
      <w:lvlJc w:val="left"/>
      <w:pPr>
        <w:ind w:left="5113" w:hanging="362"/>
      </w:pPr>
      <w:rPr>
        <w:rFonts w:hint="default"/>
      </w:rPr>
    </w:lvl>
    <w:lvl w:ilvl="6" w:tplc="6F1E49EA">
      <w:numFmt w:val="bullet"/>
      <w:lvlText w:val="•"/>
      <w:lvlJc w:val="left"/>
      <w:pPr>
        <w:ind w:left="5967" w:hanging="362"/>
      </w:pPr>
      <w:rPr>
        <w:rFonts w:hint="default"/>
      </w:rPr>
    </w:lvl>
    <w:lvl w:ilvl="7" w:tplc="FACC1432">
      <w:numFmt w:val="bullet"/>
      <w:lvlText w:val="•"/>
      <w:lvlJc w:val="left"/>
      <w:pPr>
        <w:ind w:left="6822" w:hanging="362"/>
      </w:pPr>
      <w:rPr>
        <w:rFonts w:hint="default"/>
      </w:rPr>
    </w:lvl>
    <w:lvl w:ilvl="8" w:tplc="0748B818">
      <w:numFmt w:val="bullet"/>
      <w:lvlText w:val="•"/>
      <w:lvlJc w:val="left"/>
      <w:pPr>
        <w:ind w:left="7677" w:hanging="362"/>
      </w:pPr>
      <w:rPr>
        <w:rFonts w:hint="default"/>
      </w:rPr>
    </w:lvl>
  </w:abstractNum>
  <w:abstractNum w:abstractNumId="4" w15:restartNumberingAfterBreak="0">
    <w:nsid w:val="2F091C25"/>
    <w:multiLevelType w:val="hybridMultilevel"/>
    <w:tmpl w:val="B600C342"/>
    <w:lvl w:ilvl="0" w:tplc="3F4A613E">
      <w:start w:val="1"/>
      <w:numFmt w:val="upperLetter"/>
      <w:lvlText w:val="%1."/>
      <w:lvlJc w:val="left"/>
      <w:pPr>
        <w:ind w:left="847" w:hanging="476"/>
      </w:pPr>
      <w:rPr>
        <w:rFonts w:ascii="Arial" w:eastAsia="Arial" w:hAnsi="Arial" w:cs="Arial" w:hint="default"/>
        <w:b w:val="0"/>
        <w:bCs w:val="0"/>
        <w:i w:val="0"/>
        <w:iCs w:val="0"/>
        <w:spacing w:val="0"/>
        <w:w w:val="100"/>
        <w:sz w:val="21"/>
        <w:szCs w:val="21"/>
      </w:rPr>
    </w:lvl>
    <w:lvl w:ilvl="1" w:tplc="DF6CD7BA">
      <w:start w:val="1"/>
      <w:numFmt w:val="decimal"/>
      <w:lvlText w:val="%2."/>
      <w:lvlJc w:val="left"/>
      <w:pPr>
        <w:ind w:left="1229" w:hanging="621"/>
      </w:pPr>
      <w:rPr>
        <w:rFonts w:ascii="Arial" w:eastAsia="Arial" w:hAnsi="Arial" w:cs="Arial" w:hint="default"/>
        <w:b w:val="0"/>
        <w:bCs w:val="0"/>
        <w:i w:val="0"/>
        <w:iCs w:val="0"/>
        <w:spacing w:val="0"/>
        <w:w w:val="104"/>
        <w:sz w:val="21"/>
        <w:szCs w:val="21"/>
      </w:rPr>
    </w:lvl>
    <w:lvl w:ilvl="2" w:tplc="833C2BEA">
      <w:numFmt w:val="bullet"/>
      <w:lvlText w:val="•"/>
      <w:lvlJc w:val="left"/>
      <w:pPr>
        <w:ind w:left="2127" w:hanging="621"/>
      </w:pPr>
      <w:rPr>
        <w:rFonts w:hint="default"/>
      </w:rPr>
    </w:lvl>
    <w:lvl w:ilvl="3" w:tplc="01E623CE">
      <w:numFmt w:val="bullet"/>
      <w:lvlText w:val="•"/>
      <w:lvlJc w:val="left"/>
      <w:pPr>
        <w:ind w:left="3034" w:hanging="621"/>
      </w:pPr>
      <w:rPr>
        <w:rFonts w:hint="default"/>
      </w:rPr>
    </w:lvl>
    <w:lvl w:ilvl="4" w:tplc="1D0223A0">
      <w:numFmt w:val="bullet"/>
      <w:lvlText w:val="•"/>
      <w:lvlJc w:val="left"/>
      <w:pPr>
        <w:ind w:left="3942" w:hanging="621"/>
      </w:pPr>
      <w:rPr>
        <w:rFonts w:hint="default"/>
      </w:rPr>
    </w:lvl>
    <w:lvl w:ilvl="5" w:tplc="14CC472A">
      <w:numFmt w:val="bullet"/>
      <w:lvlText w:val="•"/>
      <w:lvlJc w:val="left"/>
      <w:pPr>
        <w:ind w:left="4849" w:hanging="621"/>
      </w:pPr>
      <w:rPr>
        <w:rFonts w:hint="default"/>
      </w:rPr>
    </w:lvl>
    <w:lvl w:ilvl="6" w:tplc="723614CA">
      <w:numFmt w:val="bullet"/>
      <w:lvlText w:val="•"/>
      <w:lvlJc w:val="left"/>
      <w:pPr>
        <w:ind w:left="5756" w:hanging="621"/>
      </w:pPr>
      <w:rPr>
        <w:rFonts w:hint="default"/>
      </w:rPr>
    </w:lvl>
    <w:lvl w:ilvl="7" w:tplc="D360AEE2">
      <w:numFmt w:val="bullet"/>
      <w:lvlText w:val="•"/>
      <w:lvlJc w:val="left"/>
      <w:pPr>
        <w:ind w:left="6664" w:hanging="621"/>
      </w:pPr>
      <w:rPr>
        <w:rFonts w:hint="default"/>
      </w:rPr>
    </w:lvl>
    <w:lvl w:ilvl="8" w:tplc="C59EEFC6">
      <w:numFmt w:val="bullet"/>
      <w:lvlText w:val="•"/>
      <w:lvlJc w:val="left"/>
      <w:pPr>
        <w:ind w:left="7571" w:hanging="621"/>
      </w:pPr>
      <w:rPr>
        <w:rFonts w:hint="default"/>
      </w:rPr>
    </w:lvl>
  </w:abstractNum>
  <w:abstractNum w:abstractNumId="5" w15:restartNumberingAfterBreak="0">
    <w:nsid w:val="30BC5D2B"/>
    <w:multiLevelType w:val="hybridMultilevel"/>
    <w:tmpl w:val="0EBCB506"/>
    <w:lvl w:ilvl="0" w:tplc="3E106BB6">
      <w:start w:val="3"/>
      <w:numFmt w:val="upperLetter"/>
      <w:lvlText w:val="%1."/>
      <w:lvlJc w:val="left"/>
      <w:pPr>
        <w:ind w:left="366" w:hanging="481"/>
      </w:pPr>
      <w:rPr>
        <w:rFonts w:ascii="Arial" w:eastAsia="Arial" w:hAnsi="Arial" w:cs="Arial" w:hint="default"/>
        <w:b w:val="0"/>
        <w:bCs w:val="0"/>
        <w:i w:val="0"/>
        <w:iCs w:val="0"/>
        <w:spacing w:val="-1"/>
        <w:w w:val="107"/>
        <w:sz w:val="21"/>
        <w:szCs w:val="21"/>
      </w:rPr>
    </w:lvl>
    <w:lvl w:ilvl="1" w:tplc="B71AD376">
      <w:start w:val="1"/>
      <w:numFmt w:val="decimal"/>
      <w:lvlText w:val="%2."/>
      <w:lvlJc w:val="left"/>
      <w:pPr>
        <w:ind w:left="855" w:hanging="247"/>
      </w:pPr>
      <w:rPr>
        <w:rFonts w:ascii="Arial" w:eastAsia="Arial" w:hAnsi="Arial" w:cs="Arial" w:hint="default"/>
        <w:b w:val="0"/>
        <w:bCs w:val="0"/>
        <w:i w:val="0"/>
        <w:iCs w:val="0"/>
        <w:spacing w:val="-1"/>
        <w:w w:val="109"/>
        <w:sz w:val="21"/>
        <w:szCs w:val="21"/>
      </w:rPr>
    </w:lvl>
    <w:lvl w:ilvl="2" w:tplc="FA2C03AE">
      <w:numFmt w:val="bullet"/>
      <w:lvlText w:val="•"/>
      <w:lvlJc w:val="left"/>
      <w:pPr>
        <w:ind w:left="1807" w:hanging="247"/>
      </w:pPr>
      <w:rPr>
        <w:rFonts w:hint="default"/>
      </w:rPr>
    </w:lvl>
    <w:lvl w:ilvl="3" w:tplc="A218DA4C">
      <w:numFmt w:val="bullet"/>
      <w:lvlText w:val="•"/>
      <w:lvlJc w:val="left"/>
      <w:pPr>
        <w:ind w:left="2754" w:hanging="247"/>
      </w:pPr>
      <w:rPr>
        <w:rFonts w:hint="default"/>
      </w:rPr>
    </w:lvl>
    <w:lvl w:ilvl="4" w:tplc="47EEE950">
      <w:numFmt w:val="bullet"/>
      <w:lvlText w:val="•"/>
      <w:lvlJc w:val="left"/>
      <w:pPr>
        <w:ind w:left="3702" w:hanging="247"/>
      </w:pPr>
      <w:rPr>
        <w:rFonts w:hint="default"/>
      </w:rPr>
    </w:lvl>
    <w:lvl w:ilvl="5" w:tplc="39D62E9C">
      <w:numFmt w:val="bullet"/>
      <w:lvlText w:val="•"/>
      <w:lvlJc w:val="left"/>
      <w:pPr>
        <w:ind w:left="4649" w:hanging="247"/>
      </w:pPr>
      <w:rPr>
        <w:rFonts w:hint="default"/>
      </w:rPr>
    </w:lvl>
    <w:lvl w:ilvl="6" w:tplc="5E123F3E">
      <w:numFmt w:val="bullet"/>
      <w:lvlText w:val="•"/>
      <w:lvlJc w:val="left"/>
      <w:pPr>
        <w:ind w:left="5596" w:hanging="247"/>
      </w:pPr>
      <w:rPr>
        <w:rFonts w:hint="default"/>
      </w:rPr>
    </w:lvl>
    <w:lvl w:ilvl="7" w:tplc="A04AE64A">
      <w:numFmt w:val="bullet"/>
      <w:lvlText w:val="•"/>
      <w:lvlJc w:val="left"/>
      <w:pPr>
        <w:ind w:left="6544" w:hanging="247"/>
      </w:pPr>
      <w:rPr>
        <w:rFonts w:hint="default"/>
      </w:rPr>
    </w:lvl>
    <w:lvl w:ilvl="8" w:tplc="2070ED1E">
      <w:numFmt w:val="bullet"/>
      <w:lvlText w:val="•"/>
      <w:lvlJc w:val="left"/>
      <w:pPr>
        <w:ind w:left="7491" w:hanging="247"/>
      </w:pPr>
      <w:rPr>
        <w:rFonts w:hint="default"/>
      </w:rPr>
    </w:lvl>
  </w:abstractNum>
  <w:abstractNum w:abstractNumId="6" w15:restartNumberingAfterBreak="0">
    <w:nsid w:val="479D2382"/>
    <w:multiLevelType w:val="hybridMultilevel"/>
    <w:tmpl w:val="B376678A"/>
    <w:lvl w:ilvl="0" w:tplc="7E064B2C">
      <w:start w:val="1"/>
      <w:numFmt w:val="lowerLetter"/>
      <w:lvlText w:val="%1."/>
      <w:lvlJc w:val="left"/>
      <w:pPr>
        <w:ind w:left="1337" w:hanging="359"/>
        <w:jc w:val="right"/>
      </w:pPr>
      <w:rPr>
        <w:rFonts w:hint="default"/>
        <w:spacing w:val="-1"/>
        <w:w w:val="104"/>
      </w:rPr>
    </w:lvl>
    <w:lvl w:ilvl="1" w:tplc="6E4E1CB4">
      <w:numFmt w:val="bullet"/>
      <w:lvlText w:val="•"/>
      <w:lvlJc w:val="left"/>
      <w:pPr>
        <w:ind w:left="2144" w:hanging="359"/>
      </w:pPr>
      <w:rPr>
        <w:rFonts w:hint="default"/>
      </w:rPr>
    </w:lvl>
    <w:lvl w:ilvl="2" w:tplc="8BEEA196">
      <w:numFmt w:val="bullet"/>
      <w:lvlText w:val="•"/>
      <w:lvlJc w:val="left"/>
      <w:pPr>
        <w:ind w:left="2949" w:hanging="359"/>
      </w:pPr>
      <w:rPr>
        <w:rFonts w:hint="default"/>
      </w:rPr>
    </w:lvl>
    <w:lvl w:ilvl="3" w:tplc="9D56629C">
      <w:numFmt w:val="bullet"/>
      <w:lvlText w:val="•"/>
      <w:lvlJc w:val="left"/>
      <w:pPr>
        <w:ind w:left="3753" w:hanging="359"/>
      </w:pPr>
      <w:rPr>
        <w:rFonts w:hint="default"/>
      </w:rPr>
    </w:lvl>
    <w:lvl w:ilvl="4" w:tplc="579A114E">
      <w:numFmt w:val="bullet"/>
      <w:lvlText w:val="•"/>
      <w:lvlJc w:val="left"/>
      <w:pPr>
        <w:ind w:left="4558" w:hanging="359"/>
      </w:pPr>
      <w:rPr>
        <w:rFonts w:hint="default"/>
      </w:rPr>
    </w:lvl>
    <w:lvl w:ilvl="5" w:tplc="33B2A332">
      <w:numFmt w:val="bullet"/>
      <w:lvlText w:val="•"/>
      <w:lvlJc w:val="left"/>
      <w:pPr>
        <w:ind w:left="5363" w:hanging="359"/>
      </w:pPr>
      <w:rPr>
        <w:rFonts w:hint="default"/>
      </w:rPr>
    </w:lvl>
    <w:lvl w:ilvl="6" w:tplc="5972D792">
      <w:numFmt w:val="bullet"/>
      <w:lvlText w:val="•"/>
      <w:lvlJc w:val="left"/>
      <w:pPr>
        <w:ind w:left="6167" w:hanging="359"/>
      </w:pPr>
      <w:rPr>
        <w:rFonts w:hint="default"/>
      </w:rPr>
    </w:lvl>
    <w:lvl w:ilvl="7" w:tplc="8B50E37A">
      <w:numFmt w:val="bullet"/>
      <w:lvlText w:val="•"/>
      <w:lvlJc w:val="left"/>
      <w:pPr>
        <w:ind w:left="6972" w:hanging="359"/>
      </w:pPr>
      <w:rPr>
        <w:rFonts w:hint="default"/>
      </w:rPr>
    </w:lvl>
    <w:lvl w:ilvl="8" w:tplc="54CC8496">
      <w:numFmt w:val="bullet"/>
      <w:lvlText w:val="•"/>
      <w:lvlJc w:val="left"/>
      <w:pPr>
        <w:ind w:left="7777" w:hanging="359"/>
      </w:pPr>
      <w:rPr>
        <w:rFonts w:hint="default"/>
      </w:rPr>
    </w:lvl>
  </w:abstractNum>
  <w:abstractNum w:abstractNumId="7" w15:restartNumberingAfterBreak="0">
    <w:nsid w:val="47A55691"/>
    <w:multiLevelType w:val="hybridMultilevel"/>
    <w:tmpl w:val="689E163C"/>
    <w:lvl w:ilvl="0" w:tplc="799CF18A">
      <w:start w:val="42"/>
      <w:numFmt w:val="decimal"/>
      <w:lvlText w:val="%1."/>
      <w:lvlJc w:val="left"/>
      <w:pPr>
        <w:ind w:left="123" w:hanging="715"/>
      </w:pPr>
      <w:rPr>
        <w:rFonts w:hint="default"/>
        <w:spacing w:val="-1"/>
        <w:w w:val="104"/>
      </w:rPr>
    </w:lvl>
    <w:lvl w:ilvl="1" w:tplc="DD9891E6">
      <w:start w:val="1"/>
      <w:numFmt w:val="decimal"/>
      <w:lvlText w:val="%2."/>
      <w:lvlJc w:val="left"/>
      <w:pPr>
        <w:ind w:left="943" w:hanging="247"/>
      </w:pPr>
      <w:rPr>
        <w:rFonts w:ascii="Arial" w:eastAsia="Arial" w:hAnsi="Arial" w:cs="Arial" w:hint="default"/>
        <w:b/>
        <w:bCs/>
        <w:i w:val="0"/>
        <w:iCs w:val="0"/>
        <w:color w:val="010101"/>
        <w:spacing w:val="-1"/>
        <w:w w:val="105"/>
        <w:sz w:val="21"/>
        <w:szCs w:val="21"/>
      </w:rPr>
    </w:lvl>
    <w:lvl w:ilvl="2" w:tplc="AFA4DCFE">
      <w:numFmt w:val="bullet"/>
      <w:lvlText w:val="•"/>
      <w:lvlJc w:val="left"/>
      <w:pPr>
        <w:ind w:left="1878" w:hanging="247"/>
      </w:pPr>
      <w:rPr>
        <w:rFonts w:hint="default"/>
      </w:rPr>
    </w:lvl>
    <w:lvl w:ilvl="3" w:tplc="86B44494">
      <w:numFmt w:val="bullet"/>
      <w:lvlText w:val="•"/>
      <w:lvlJc w:val="left"/>
      <w:pPr>
        <w:ind w:left="2816" w:hanging="247"/>
      </w:pPr>
      <w:rPr>
        <w:rFonts w:hint="default"/>
      </w:rPr>
    </w:lvl>
    <w:lvl w:ilvl="4" w:tplc="369C5476">
      <w:numFmt w:val="bullet"/>
      <w:lvlText w:val="•"/>
      <w:lvlJc w:val="left"/>
      <w:pPr>
        <w:ind w:left="3755" w:hanging="247"/>
      </w:pPr>
      <w:rPr>
        <w:rFonts w:hint="default"/>
      </w:rPr>
    </w:lvl>
    <w:lvl w:ilvl="5" w:tplc="A13AD430">
      <w:numFmt w:val="bullet"/>
      <w:lvlText w:val="•"/>
      <w:lvlJc w:val="left"/>
      <w:pPr>
        <w:ind w:left="4693" w:hanging="247"/>
      </w:pPr>
      <w:rPr>
        <w:rFonts w:hint="default"/>
      </w:rPr>
    </w:lvl>
    <w:lvl w:ilvl="6" w:tplc="E46A3EEA">
      <w:numFmt w:val="bullet"/>
      <w:lvlText w:val="•"/>
      <w:lvlJc w:val="left"/>
      <w:pPr>
        <w:ind w:left="5632" w:hanging="247"/>
      </w:pPr>
      <w:rPr>
        <w:rFonts w:hint="default"/>
      </w:rPr>
    </w:lvl>
    <w:lvl w:ilvl="7" w:tplc="E31C2C92">
      <w:numFmt w:val="bullet"/>
      <w:lvlText w:val="•"/>
      <w:lvlJc w:val="left"/>
      <w:pPr>
        <w:ind w:left="6570" w:hanging="247"/>
      </w:pPr>
      <w:rPr>
        <w:rFonts w:hint="default"/>
      </w:rPr>
    </w:lvl>
    <w:lvl w:ilvl="8" w:tplc="241CAAF2">
      <w:numFmt w:val="bullet"/>
      <w:lvlText w:val="•"/>
      <w:lvlJc w:val="left"/>
      <w:pPr>
        <w:ind w:left="7509" w:hanging="247"/>
      </w:pPr>
      <w:rPr>
        <w:rFonts w:hint="default"/>
      </w:rPr>
    </w:lvl>
  </w:abstractNum>
  <w:abstractNum w:abstractNumId="8" w15:restartNumberingAfterBreak="0">
    <w:nsid w:val="4C134C24"/>
    <w:multiLevelType w:val="hybridMultilevel"/>
    <w:tmpl w:val="AABA1346"/>
    <w:lvl w:ilvl="0" w:tplc="E6606D0C">
      <w:start w:val="19"/>
      <w:numFmt w:val="decimal"/>
      <w:lvlText w:val="%1."/>
      <w:lvlJc w:val="left"/>
      <w:pPr>
        <w:ind w:left="123" w:hanging="542"/>
      </w:pPr>
      <w:rPr>
        <w:rFonts w:hint="default"/>
        <w:spacing w:val="-1"/>
        <w:w w:val="103"/>
      </w:rPr>
    </w:lvl>
    <w:lvl w:ilvl="1" w:tplc="DAAC8408">
      <w:start w:val="1"/>
      <w:numFmt w:val="lowerRoman"/>
      <w:lvlText w:val="%2."/>
      <w:lvlJc w:val="left"/>
      <w:pPr>
        <w:ind w:left="1299" w:hanging="229"/>
      </w:pPr>
      <w:rPr>
        <w:rFonts w:ascii="Arial" w:eastAsia="Arial" w:hAnsi="Arial" w:cs="Arial" w:hint="default"/>
        <w:b w:val="0"/>
        <w:bCs w:val="0"/>
        <w:i/>
        <w:iCs/>
        <w:color w:val="010101"/>
        <w:spacing w:val="-2"/>
        <w:w w:val="104"/>
        <w:sz w:val="21"/>
        <w:szCs w:val="21"/>
      </w:rPr>
    </w:lvl>
    <w:lvl w:ilvl="2" w:tplc="B630FA40">
      <w:numFmt w:val="bullet"/>
      <w:lvlText w:val="•"/>
      <w:lvlJc w:val="left"/>
      <w:pPr>
        <w:ind w:left="1300" w:hanging="229"/>
      </w:pPr>
      <w:rPr>
        <w:rFonts w:hint="default"/>
      </w:rPr>
    </w:lvl>
    <w:lvl w:ilvl="3" w:tplc="25AA4CC4">
      <w:numFmt w:val="bullet"/>
      <w:lvlText w:val="•"/>
      <w:lvlJc w:val="left"/>
      <w:pPr>
        <w:ind w:left="1360" w:hanging="229"/>
      </w:pPr>
      <w:rPr>
        <w:rFonts w:hint="default"/>
      </w:rPr>
    </w:lvl>
    <w:lvl w:ilvl="4" w:tplc="82EC156C">
      <w:numFmt w:val="bullet"/>
      <w:lvlText w:val="•"/>
      <w:lvlJc w:val="left"/>
      <w:pPr>
        <w:ind w:left="2506" w:hanging="229"/>
      </w:pPr>
      <w:rPr>
        <w:rFonts w:hint="default"/>
      </w:rPr>
    </w:lvl>
    <w:lvl w:ilvl="5" w:tplc="255CA012">
      <w:numFmt w:val="bullet"/>
      <w:lvlText w:val="•"/>
      <w:lvlJc w:val="left"/>
      <w:pPr>
        <w:ind w:left="3653" w:hanging="229"/>
      </w:pPr>
      <w:rPr>
        <w:rFonts w:hint="default"/>
      </w:rPr>
    </w:lvl>
    <w:lvl w:ilvl="6" w:tplc="67D4A490">
      <w:numFmt w:val="bullet"/>
      <w:lvlText w:val="•"/>
      <w:lvlJc w:val="left"/>
      <w:pPr>
        <w:ind w:left="4799" w:hanging="229"/>
      </w:pPr>
      <w:rPr>
        <w:rFonts w:hint="default"/>
      </w:rPr>
    </w:lvl>
    <w:lvl w:ilvl="7" w:tplc="AF6EB136">
      <w:numFmt w:val="bullet"/>
      <w:lvlText w:val="•"/>
      <w:lvlJc w:val="left"/>
      <w:pPr>
        <w:ind w:left="5946" w:hanging="229"/>
      </w:pPr>
      <w:rPr>
        <w:rFonts w:hint="default"/>
      </w:rPr>
    </w:lvl>
    <w:lvl w:ilvl="8" w:tplc="D2FCC1C2">
      <w:numFmt w:val="bullet"/>
      <w:lvlText w:val="•"/>
      <w:lvlJc w:val="left"/>
      <w:pPr>
        <w:ind w:left="7093" w:hanging="229"/>
      </w:pPr>
      <w:rPr>
        <w:rFonts w:hint="default"/>
      </w:rPr>
    </w:lvl>
  </w:abstractNum>
  <w:abstractNum w:abstractNumId="9" w15:restartNumberingAfterBreak="0">
    <w:nsid w:val="5A663557"/>
    <w:multiLevelType w:val="hybridMultilevel"/>
    <w:tmpl w:val="2A709A1C"/>
    <w:lvl w:ilvl="0" w:tplc="BAE4705A">
      <w:start w:val="1"/>
      <w:numFmt w:val="upperLetter"/>
      <w:lvlText w:val="%1."/>
      <w:lvlJc w:val="left"/>
      <w:pPr>
        <w:ind w:left="487" w:hanging="361"/>
      </w:pPr>
      <w:rPr>
        <w:rFonts w:hint="default"/>
        <w:spacing w:val="-1"/>
        <w:w w:val="104"/>
      </w:rPr>
    </w:lvl>
    <w:lvl w:ilvl="1" w:tplc="8BA23A82">
      <w:start w:val="1"/>
      <w:numFmt w:val="decimal"/>
      <w:lvlText w:val="%2."/>
      <w:lvlJc w:val="left"/>
      <w:pPr>
        <w:ind w:left="1361" w:hanging="362"/>
      </w:pPr>
      <w:rPr>
        <w:rFonts w:ascii="Arial" w:eastAsia="Arial" w:hAnsi="Arial" w:cs="Arial" w:hint="default"/>
        <w:b/>
        <w:bCs/>
        <w:i w:val="0"/>
        <w:iCs w:val="0"/>
        <w:color w:val="010101"/>
        <w:spacing w:val="-1"/>
        <w:w w:val="108"/>
        <w:sz w:val="21"/>
        <w:szCs w:val="21"/>
      </w:rPr>
    </w:lvl>
    <w:lvl w:ilvl="2" w:tplc="DA94E60C">
      <w:numFmt w:val="bullet"/>
      <w:lvlText w:val="•"/>
      <w:lvlJc w:val="left"/>
      <w:pPr>
        <w:ind w:left="2251" w:hanging="362"/>
      </w:pPr>
      <w:rPr>
        <w:rFonts w:hint="default"/>
      </w:rPr>
    </w:lvl>
    <w:lvl w:ilvl="3" w:tplc="2014E7F6">
      <w:numFmt w:val="bullet"/>
      <w:lvlText w:val="•"/>
      <w:lvlJc w:val="left"/>
      <w:pPr>
        <w:ind w:left="3143" w:hanging="362"/>
      </w:pPr>
      <w:rPr>
        <w:rFonts w:hint="default"/>
      </w:rPr>
    </w:lvl>
    <w:lvl w:ilvl="4" w:tplc="6F768102">
      <w:numFmt w:val="bullet"/>
      <w:lvlText w:val="•"/>
      <w:lvlJc w:val="left"/>
      <w:pPr>
        <w:ind w:left="4035" w:hanging="362"/>
      </w:pPr>
      <w:rPr>
        <w:rFonts w:hint="default"/>
      </w:rPr>
    </w:lvl>
    <w:lvl w:ilvl="5" w:tplc="C19893C8">
      <w:numFmt w:val="bullet"/>
      <w:lvlText w:val="•"/>
      <w:lvlJc w:val="left"/>
      <w:pPr>
        <w:ind w:left="4927" w:hanging="362"/>
      </w:pPr>
      <w:rPr>
        <w:rFonts w:hint="default"/>
      </w:rPr>
    </w:lvl>
    <w:lvl w:ilvl="6" w:tplc="DACEA7A0">
      <w:numFmt w:val="bullet"/>
      <w:lvlText w:val="•"/>
      <w:lvlJc w:val="left"/>
      <w:pPr>
        <w:ind w:left="5819" w:hanging="362"/>
      </w:pPr>
      <w:rPr>
        <w:rFonts w:hint="default"/>
      </w:rPr>
    </w:lvl>
    <w:lvl w:ilvl="7" w:tplc="255825EA">
      <w:numFmt w:val="bullet"/>
      <w:lvlText w:val="•"/>
      <w:lvlJc w:val="left"/>
      <w:pPr>
        <w:ind w:left="6710" w:hanging="362"/>
      </w:pPr>
      <w:rPr>
        <w:rFonts w:hint="default"/>
      </w:rPr>
    </w:lvl>
    <w:lvl w:ilvl="8" w:tplc="F722824E">
      <w:numFmt w:val="bullet"/>
      <w:lvlText w:val="•"/>
      <w:lvlJc w:val="left"/>
      <w:pPr>
        <w:ind w:left="7602" w:hanging="362"/>
      </w:pPr>
      <w:rPr>
        <w:rFonts w:hint="default"/>
      </w:rPr>
    </w:lvl>
  </w:abstractNum>
  <w:abstractNum w:abstractNumId="10" w15:restartNumberingAfterBreak="0">
    <w:nsid w:val="5EE1274B"/>
    <w:multiLevelType w:val="hybridMultilevel"/>
    <w:tmpl w:val="1E285C7E"/>
    <w:lvl w:ilvl="0" w:tplc="C9403EA6">
      <w:start w:val="1"/>
      <w:numFmt w:val="lowerRoman"/>
      <w:lvlText w:val="%1."/>
      <w:lvlJc w:val="left"/>
      <w:pPr>
        <w:ind w:left="979" w:hanging="172"/>
      </w:pPr>
      <w:rPr>
        <w:rFonts w:ascii="Arial" w:eastAsia="Arial" w:hAnsi="Arial" w:cs="Arial" w:hint="default"/>
        <w:b w:val="0"/>
        <w:bCs w:val="0"/>
        <w:i w:val="0"/>
        <w:iCs w:val="0"/>
        <w:color w:val="010101"/>
        <w:spacing w:val="-1"/>
        <w:w w:val="109"/>
        <w:sz w:val="20"/>
        <w:szCs w:val="20"/>
      </w:rPr>
    </w:lvl>
    <w:lvl w:ilvl="1" w:tplc="BFF0F546">
      <w:numFmt w:val="bullet"/>
      <w:lvlText w:val="•"/>
      <w:lvlJc w:val="left"/>
      <w:pPr>
        <w:ind w:left="1820" w:hanging="172"/>
      </w:pPr>
      <w:rPr>
        <w:rFonts w:hint="default"/>
      </w:rPr>
    </w:lvl>
    <w:lvl w:ilvl="2" w:tplc="1F1E44B0">
      <w:numFmt w:val="bullet"/>
      <w:lvlText w:val="•"/>
      <w:lvlJc w:val="left"/>
      <w:pPr>
        <w:ind w:left="2661" w:hanging="172"/>
      </w:pPr>
      <w:rPr>
        <w:rFonts w:hint="default"/>
      </w:rPr>
    </w:lvl>
    <w:lvl w:ilvl="3" w:tplc="84461572">
      <w:numFmt w:val="bullet"/>
      <w:lvlText w:val="•"/>
      <w:lvlJc w:val="left"/>
      <w:pPr>
        <w:ind w:left="3501" w:hanging="172"/>
      </w:pPr>
      <w:rPr>
        <w:rFonts w:hint="default"/>
      </w:rPr>
    </w:lvl>
    <w:lvl w:ilvl="4" w:tplc="21ECC16A">
      <w:numFmt w:val="bullet"/>
      <w:lvlText w:val="•"/>
      <w:lvlJc w:val="left"/>
      <w:pPr>
        <w:ind w:left="4342" w:hanging="172"/>
      </w:pPr>
      <w:rPr>
        <w:rFonts w:hint="default"/>
      </w:rPr>
    </w:lvl>
    <w:lvl w:ilvl="5" w:tplc="A7FE2ED0">
      <w:numFmt w:val="bullet"/>
      <w:lvlText w:val="•"/>
      <w:lvlJc w:val="left"/>
      <w:pPr>
        <w:ind w:left="5183" w:hanging="172"/>
      </w:pPr>
      <w:rPr>
        <w:rFonts w:hint="default"/>
      </w:rPr>
    </w:lvl>
    <w:lvl w:ilvl="6" w:tplc="427E6BCC">
      <w:numFmt w:val="bullet"/>
      <w:lvlText w:val="•"/>
      <w:lvlJc w:val="left"/>
      <w:pPr>
        <w:ind w:left="6023" w:hanging="172"/>
      </w:pPr>
      <w:rPr>
        <w:rFonts w:hint="default"/>
      </w:rPr>
    </w:lvl>
    <w:lvl w:ilvl="7" w:tplc="F86CD02C">
      <w:numFmt w:val="bullet"/>
      <w:lvlText w:val="•"/>
      <w:lvlJc w:val="left"/>
      <w:pPr>
        <w:ind w:left="6864" w:hanging="172"/>
      </w:pPr>
      <w:rPr>
        <w:rFonts w:hint="default"/>
      </w:rPr>
    </w:lvl>
    <w:lvl w:ilvl="8" w:tplc="B68A5A12">
      <w:numFmt w:val="bullet"/>
      <w:lvlText w:val="•"/>
      <w:lvlJc w:val="left"/>
      <w:pPr>
        <w:ind w:left="7705" w:hanging="172"/>
      </w:pPr>
      <w:rPr>
        <w:rFonts w:hint="default"/>
      </w:rPr>
    </w:lvl>
  </w:abstractNum>
  <w:abstractNum w:abstractNumId="11" w15:restartNumberingAfterBreak="0">
    <w:nsid w:val="66F0589E"/>
    <w:multiLevelType w:val="hybridMultilevel"/>
    <w:tmpl w:val="F3E2E9F2"/>
    <w:lvl w:ilvl="0" w:tplc="8E74938C">
      <w:start w:val="69"/>
      <w:numFmt w:val="decimal"/>
      <w:lvlText w:val="%1"/>
      <w:lvlJc w:val="left"/>
      <w:pPr>
        <w:ind w:left="357" w:hanging="215"/>
      </w:pPr>
      <w:rPr>
        <w:rFonts w:hint="default"/>
        <w:w w:val="107"/>
        <w:position w:val="6"/>
      </w:rPr>
    </w:lvl>
    <w:lvl w:ilvl="1" w:tplc="D080368E">
      <w:numFmt w:val="bullet"/>
      <w:lvlText w:val="•"/>
      <w:lvlJc w:val="left"/>
      <w:pPr>
        <w:ind w:left="1280" w:hanging="215"/>
      </w:pPr>
      <w:rPr>
        <w:rFonts w:hint="default"/>
      </w:rPr>
    </w:lvl>
    <w:lvl w:ilvl="2" w:tplc="2D08F194">
      <w:numFmt w:val="bullet"/>
      <w:lvlText w:val="•"/>
      <w:lvlJc w:val="left"/>
      <w:pPr>
        <w:ind w:left="2207" w:hanging="215"/>
      </w:pPr>
      <w:rPr>
        <w:rFonts w:hint="default"/>
      </w:rPr>
    </w:lvl>
    <w:lvl w:ilvl="3" w:tplc="73E6C77C">
      <w:numFmt w:val="bullet"/>
      <w:lvlText w:val="•"/>
      <w:lvlJc w:val="left"/>
      <w:pPr>
        <w:ind w:left="3133" w:hanging="215"/>
      </w:pPr>
      <w:rPr>
        <w:rFonts w:hint="default"/>
      </w:rPr>
    </w:lvl>
    <w:lvl w:ilvl="4" w:tplc="617641E8">
      <w:numFmt w:val="bullet"/>
      <w:lvlText w:val="•"/>
      <w:lvlJc w:val="left"/>
      <w:pPr>
        <w:ind w:left="4060" w:hanging="215"/>
      </w:pPr>
      <w:rPr>
        <w:rFonts w:hint="default"/>
      </w:rPr>
    </w:lvl>
    <w:lvl w:ilvl="5" w:tplc="B7F255CA">
      <w:numFmt w:val="bullet"/>
      <w:lvlText w:val="•"/>
      <w:lvlJc w:val="left"/>
      <w:pPr>
        <w:ind w:left="4987" w:hanging="215"/>
      </w:pPr>
      <w:rPr>
        <w:rFonts w:hint="default"/>
      </w:rPr>
    </w:lvl>
    <w:lvl w:ilvl="6" w:tplc="7848EB60">
      <w:numFmt w:val="bullet"/>
      <w:lvlText w:val="•"/>
      <w:lvlJc w:val="left"/>
      <w:pPr>
        <w:ind w:left="5913" w:hanging="215"/>
      </w:pPr>
      <w:rPr>
        <w:rFonts w:hint="default"/>
      </w:rPr>
    </w:lvl>
    <w:lvl w:ilvl="7" w:tplc="59EAFF7C">
      <w:numFmt w:val="bullet"/>
      <w:lvlText w:val="•"/>
      <w:lvlJc w:val="left"/>
      <w:pPr>
        <w:ind w:left="6840" w:hanging="215"/>
      </w:pPr>
      <w:rPr>
        <w:rFonts w:hint="default"/>
      </w:rPr>
    </w:lvl>
    <w:lvl w:ilvl="8" w:tplc="EEA4B77E">
      <w:numFmt w:val="bullet"/>
      <w:lvlText w:val="•"/>
      <w:lvlJc w:val="left"/>
      <w:pPr>
        <w:ind w:left="7767" w:hanging="215"/>
      </w:pPr>
      <w:rPr>
        <w:rFonts w:hint="default"/>
      </w:rPr>
    </w:lvl>
  </w:abstractNum>
  <w:abstractNum w:abstractNumId="12" w15:restartNumberingAfterBreak="0">
    <w:nsid w:val="6FC93394"/>
    <w:multiLevelType w:val="hybridMultilevel"/>
    <w:tmpl w:val="C36EE4CE"/>
    <w:lvl w:ilvl="0" w:tplc="72242E7C">
      <w:start w:val="55"/>
      <w:numFmt w:val="decimal"/>
      <w:lvlText w:val="%1"/>
      <w:lvlJc w:val="left"/>
      <w:pPr>
        <w:ind w:left="124" w:hanging="216"/>
      </w:pPr>
      <w:rPr>
        <w:rFonts w:hint="default"/>
        <w:w w:val="107"/>
        <w:position w:val="8"/>
      </w:rPr>
    </w:lvl>
    <w:lvl w:ilvl="1" w:tplc="94A61A9C">
      <w:numFmt w:val="bullet"/>
      <w:lvlText w:val="•"/>
      <w:lvlJc w:val="left"/>
      <w:pPr>
        <w:ind w:left="1046" w:hanging="216"/>
      </w:pPr>
      <w:rPr>
        <w:rFonts w:hint="default"/>
      </w:rPr>
    </w:lvl>
    <w:lvl w:ilvl="2" w:tplc="3F2E4394">
      <w:numFmt w:val="bullet"/>
      <w:lvlText w:val="•"/>
      <w:lvlJc w:val="left"/>
      <w:pPr>
        <w:ind w:left="1973" w:hanging="216"/>
      </w:pPr>
      <w:rPr>
        <w:rFonts w:hint="default"/>
      </w:rPr>
    </w:lvl>
    <w:lvl w:ilvl="3" w:tplc="E7E6E26C">
      <w:numFmt w:val="bullet"/>
      <w:lvlText w:val="•"/>
      <w:lvlJc w:val="left"/>
      <w:pPr>
        <w:ind w:left="2899" w:hanging="216"/>
      </w:pPr>
      <w:rPr>
        <w:rFonts w:hint="default"/>
      </w:rPr>
    </w:lvl>
    <w:lvl w:ilvl="4" w:tplc="EDE8889A">
      <w:numFmt w:val="bullet"/>
      <w:lvlText w:val="•"/>
      <w:lvlJc w:val="left"/>
      <w:pPr>
        <w:ind w:left="3826" w:hanging="216"/>
      </w:pPr>
      <w:rPr>
        <w:rFonts w:hint="default"/>
      </w:rPr>
    </w:lvl>
    <w:lvl w:ilvl="5" w:tplc="E8DAB31C">
      <w:numFmt w:val="bullet"/>
      <w:lvlText w:val="•"/>
      <w:lvlJc w:val="left"/>
      <w:pPr>
        <w:ind w:left="4753" w:hanging="216"/>
      </w:pPr>
      <w:rPr>
        <w:rFonts w:hint="default"/>
      </w:rPr>
    </w:lvl>
    <w:lvl w:ilvl="6" w:tplc="DB18AAEA">
      <w:numFmt w:val="bullet"/>
      <w:lvlText w:val="•"/>
      <w:lvlJc w:val="left"/>
      <w:pPr>
        <w:ind w:left="5679" w:hanging="216"/>
      </w:pPr>
      <w:rPr>
        <w:rFonts w:hint="default"/>
      </w:rPr>
    </w:lvl>
    <w:lvl w:ilvl="7" w:tplc="4F783402">
      <w:numFmt w:val="bullet"/>
      <w:lvlText w:val="•"/>
      <w:lvlJc w:val="left"/>
      <w:pPr>
        <w:ind w:left="6606" w:hanging="216"/>
      </w:pPr>
      <w:rPr>
        <w:rFonts w:hint="default"/>
      </w:rPr>
    </w:lvl>
    <w:lvl w:ilvl="8" w:tplc="8E52660E">
      <w:numFmt w:val="bullet"/>
      <w:lvlText w:val="•"/>
      <w:lvlJc w:val="left"/>
      <w:pPr>
        <w:ind w:left="7533" w:hanging="216"/>
      </w:pPr>
      <w:rPr>
        <w:rFonts w:hint="default"/>
      </w:rPr>
    </w:lvl>
  </w:abstractNum>
  <w:abstractNum w:abstractNumId="13" w15:restartNumberingAfterBreak="0">
    <w:nsid w:val="6FD74B6C"/>
    <w:multiLevelType w:val="hybridMultilevel"/>
    <w:tmpl w:val="7D605596"/>
    <w:lvl w:ilvl="0" w:tplc="C374E368">
      <w:start w:val="1"/>
      <w:numFmt w:val="decimal"/>
      <w:lvlText w:val="%1."/>
      <w:lvlJc w:val="left"/>
      <w:pPr>
        <w:ind w:left="123" w:hanging="541"/>
        <w:jc w:val="right"/>
      </w:pPr>
      <w:rPr>
        <w:rFonts w:ascii="Arial" w:eastAsia="Arial" w:hAnsi="Arial" w:cs="Arial" w:hint="default"/>
        <w:b w:val="0"/>
        <w:bCs w:val="0"/>
        <w:i w:val="0"/>
        <w:iCs w:val="0"/>
        <w:color w:val="010101"/>
        <w:spacing w:val="-1"/>
        <w:w w:val="105"/>
        <w:sz w:val="21"/>
        <w:szCs w:val="21"/>
      </w:rPr>
    </w:lvl>
    <w:lvl w:ilvl="1" w:tplc="B1EC609C">
      <w:numFmt w:val="bullet"/>
      <w:lvlText w:val="•"/>
      <w:lvlJc w:val="left"/>
      <w:pPr>
        <w:ind w:left="840" w:hanging="541"/>
      </w:pPr>
      <w:rPr>
        <w:rFonts w:hint="default"/>
      </w:rPr>
    </w:lvl>
    <w:lvl w:ilvl="2" w:tplc="A9F8032A">
      <w:numFmt w:val="bullet"/>
      <w:lvlText w:val="•"/>
      <w:lvlJc w:val="left"/>
      <w:pPr>
        <w:ind w:left="1789" w:hanging="541"/>
      </w:pPr>
      <w:rPr>
        <w:rFonts w:hint="default"/>
      </w:rPr>
    </w:lvl>
    <w:lvl w:ilvl="3" w:tplc="B6C6532C">
      <w:numFmt w:val="bullet"/>
      <w:lvlText w:val="•"/>
      <w:lvlJc w:val="left"/>
      <w:pPr>
        <w:ind w:left="2739" w:hanging="541"/>
      </w:pPr>
      <w:rPr>
        <w:rFonts w:hint="default"/>
      </w:rPr>
    </w:lvl>
    <w:lvl w:ilvl="4" w:tplc="33D26B6A">
      <w:numFmt w:val="bullet"/>
      <w:lvlText w:val="•"/>
      <w:lvlJc w:val="left"/>
      <w:pPr>
        <w:ind w:left="3688" w:hanging="541"/>
      </w:pPr>
      <w:rPr>
        <w:rFonts w:hint="default"/>
      </w:rPr>
    </w:lvl>
    <w:lvl w:ilvl="5" w:tplc="29DEA0EC">
      <w:numFmt w:val="bullet"/>
      <w:lvlText w:val="•"/>
      <w:lvlJc w:val="left"/>
      <w:pPr>
        <w:ind w:left="4638" w:hanging="541"/>
      </w:pPr>
      <w:rPr>
        <w:rFonts w:hint="default"/>
      </w:rPr>
    </w:lvl>
    <w:lvl w:ilvl="6" w:tplc="2C30B25C">
      <w:numFmt w:val="bullet"/>
      <w:lvlText w:val="•"/>
      <w:lvlJc w:val="left"/>
      <w:pPr>
        <w:ind w:left="5588" w:hanging="541"/>
      </w:pPr>
      <w:rPr>
        <w:rFonts w:hint="default"/>
      </w:rPr>
    </w:lvl>
    <w:lvl w:ilvl="7" w:tplc="1388BAD4">
      <w:numFmt w:val="bullet"/>
      <w:lvlText w:val="•"/>
      <w:lvlJc w:val="left"/>
      <w:pPr>
        <w:ind w:left="6537" w:hanging="541"/>
      </w:pPr>
      <w:rPr>
        <w:rFonts w:hint="default"/>
      </w:rPr>
    </w:lvl>
    <w:lvl w:ilvl="8" w:tplc="FE4C553C">
      <w:numFmt w:val="bullet"/>
      <w:lvlText w:val="•"/>
      <w:lvlJc w:val="left"/>
      <w:pPr>
        <w:ind w:left="7487" w:hanging="541"/>
      </w:pPr>
      <w:rPr>
        <w:rFonts w:hint="default"/>
      </w:rPr>
    </w:lvl>
  </w:abstractNum>
  <w:num w:numId="1">
    <w:abstractNumId w:val="10"/>
  </w:num>
  <w:num w:numId="2">
    <w:abstractNumId w:val="11"/>
  </w:num>
  <w:num w:numId="3">
    <w:abstractNumId w:val="0"/>
  </w:num>
  <w:num w:numId="4">
    <w:abstractNumId w:val="6"/>
  </w:num>
  <w:num w:numId="5">
    <w:abstractNumId w:val="12"/>
  </w:num>
  <w:num w:numId="6">
    <w:abstractNumId w:val="7"/>
  </w:num>
  <w:num w:numId="7">
    <w:abstractNumId w:val="8"/>
  </w:num>
  <w:num w:numId="8">
    <w:abstractNumId w:val="9"/>
  </w:num>
  <w:num w:numId="9">
    <w:abstractNumId w:val="3"/>
  </w:num>
  <w:num w:numId="10">
    <w:abstractNumId w:val="13"/>
  </w:num>
  <w:num w:numId="11">
    <w:abstractNumId w:val="1"/>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12"/>
    <w:rsid w:val="00001900"/>
    <w:rsid w:val="00006631"/>
    <w:rsid w:val="00007A77"/>
    <w:rsid w:val="00013564"/>
    <w:rsid w:val="00016D65"/>
    <w:rsid w:val="00016E59"/>
    <w:rsid w:val="00017820"/>
    <w:rsid w:val="00020CC1"/>
    <w:rsid w:val="00020F28"/>
    <w:rsid w:val="00024336"/>
    <w:rsid w:val="00026EE3"/>
    <w:rsid w:val="00026F52"/>
    <w:rsid w:val="0002781C"/>
    <w:rsid w:val="00027938"/>
    <w:rsid w:val="0003064F"/>
    <w:rsid w:val="00031567"/>
    <w:rsid w:val="00031998"/>
    <w:rsid w:val="0003520C"/>
    <w:rsid w:val="000355AB"/>
    <w:rsid w:val="0004155C"/>
    <w:rsid w:val="00042CD6"/>
    <w:rsid w:val="0004321F"/>
    <w:rsid w:val="00043582"/>
    <w:rsid w:val="000443E0"/>
    <w:rsid w:val="00045039"/>
    <w:rsid w:val="000463CC"/>
    <w:rsid w:val="000479FC"/>
    <w:rsid w:val="000507FB"/>
    <w:rsid w:val="00051100"/>
    <w:rsid w:val="00052161"/>
    <w:rsid w:val="00052AC0"/>
    <w:rsid w:val="0005325B"/>
    <w:rsid w:val="00053441"/>
    <w:rsid w:val="0005377F"/>
    <w:rsid w:val="000547F6"/>
    <w:rsid w:val="0005522A"/>
    <w:rsid w:val="0005560B"/>
    <w:rsid w:val="00056DF8"/>
    <w:rsid w:val="00060E87"/>
    <w:rsid w:val="00061842"/>
    <w:rsid w:val="000633FB"/>
    <w:rsid w:val="00065259"/>
    <w:rsid w:val="00070652"/>
    <w:rsid w:val="00074D71"/>
    <w:rsid w:val="000750AD"/>
    <w:rsid w:val="000763D6"/>
    <w:rsid w:val="000779B8"/>
    <w:rsid w:val="0008050F"/>
    <w:rsid w:val="000815B6"/>
    <w:rsid w:val="0008372F"/>
    <w:rsid w:val="0008495C"/>
    <w:rsid w:val="000849C5"/>
    <w:rsid w:val="000907EB"/>
    <w:rsid w:val="00092BC3"/>
    <w:rsid w:val="00095363"/>
    <w:rsid w:val="000A088A"/>
    <w:rsid w:val="000A5374"/>
    <w:rsid w:val="000A5E26"/>
    <w:rsid w:val="000B00E8"/>
    <w:rsid w:val="000B1738"/>
    <w:rsid w:val="000B29FE"/>
    <w:rsid w:val="000B2CCB"/>
    <w:rsid w:val="000B35DD"/>
    <w:rsid w:val="000B364F"/>
    <w:rsid w:val="000B4A13"/>
    <w:rsid w:val="000B4E8D"/>
    <w:rsid w:val="000B63F4"/>
    <w:rsid w:val="000B6E59"/>
    <w:rsid w:val="000C18C8"/>
    <w:rsid w:val="000C49BE"/>
    <w:rsid w:val="000C60C2"/>
    <w:rsid w:val="000D1153"/>
    <w:rsid w:val="000D4484"/>
    <w:rsid w:val="000D4D65"/>
    <w:rsid w:val="000D5F2E"/>
    <w:rsid w:val="000D7677"/>
    <w:rsid w:val="000D79ED"/>
    <w:rsid w:val="000E0264"/>
    <w:rsid w:val="000E033F"/>
    <w:rsid w:val="000E09DC"/>
    <w:rsid w:val="000E6149"/>
    <w:rsid w:val="000F01B5"/>
    <w:rsid w:val="000F1E76"/>
    <w:rsid w:val="000F6DD3"/>
    <w:rsid w:val="000F753A"/>
    <w:rsid w:val="000F7658"/>
    <w:rsid w:val="000F7B3A"/>
    <w:rsid w:val="00100C98"/>
    <w:rsid w:val="00103A4D"/>
    <w:rsid w:val="001054F7"/>
    <w:rsid w:val="00105C54"/>
    <w:rsid w:val="00111D9E"/>
    <w:rsid w:val="00112588"/>
    <w:rsid w:val="0011706D"/>
    <w:rsid w:val="00117780"/>
    <w:rsid w:val="00120C89"/>
    <w:rsid w:val="001210AE"/>
    <w:rsid w:val="00121190"/>
    <w:rsid w:val="00121F41"/>
    <w:rsid w:val="00124CC0"/>
    <w:rsid w:val="00127141"/>
    <w:rsid w:val="001276EC"/>
    <w:rsid w:val="00130FBB"/>
    <w:rsid w:val="00131E87"/>
    <w:rsid w:val="00133FCD"/>
    <w:rsid w:val="0013522F"/>
    <w:rsid w:val="0013616E"/>
    <w:rsid w:val="00137C6E"/>
    <w:rsid w:val="00140862"/>
    <w:rsid w:val="00142295"/>
    <w:rsid w:val="00143444"/>
    <w:rsid w:val="00144766"/>
    <w:rsid w:val="0014722C"/>
    <w:rsid w:val="00147B8C"/>
    <w:rsid w:val="0015034B"/>
    <w:rsid w:val="00152FF2"/>
    <w:rsid w:val="00153813"/>
    <w:rsid w:val="00153E42"/>
    <w:rsid w:val="00154229"/>
    <w:rsid w:val="00157AB2"/>
    <w:rsid w:val="001602F6"/>
    <w:rsid w:val="00160536"/>
    <w:rsid w:val="0016057A"/>
    <w:rsid w:val="001618ED"/>
    <w:rsid w:val="00165C03"/>
    <w:rsid w:val="0016766C"/>
    <w:rsid w:val="00171868"/>
    <w:rsid w:val="00171C2D"/>
    <w:rsid w:val="00173444"/>
    <w:rsid w:val="00176BB8"/>
    <w:rsid w:val="0018044B"/>
    <w:rsid w:val="001816EF"/>
    <w:rsid w:val="00181DC1"/>
    <w:rsid w:val="001836F2"/>
    <w:rsid w:val="001869C4"/>
    <w:rsid w:val="0019091A"/>
    <w:rsid w:val="00190BCB"/>
    <w:rsid w:val="00192F18"/>
    <w:rsid w:val="00194FAE"/>
    <w:rsid w:val="0019556D"/>
    <w:rsid w:val="00196006"/>
    <w:rsid w:val="001964A1"/>
    <w:rsid w:val="00197D23"/>
    <w:rsid w:val="001A12D1"/>
    <w:rsid w:val="001A2142"/>
    <w:rsid w:val="001A30DA"/>
    <w:rsid w:val="001A3678"/>
    <w:rsid w:val="001A41EC"/>
    <w:rsid w:val="001A47F2"/>
    <w:rsid w:val="001A4DF8"/>
    <w:rsid w:val="001A5BB5"/>
    <w:rsid w:val="001A6B11"/>
    <w:rsid w:val="001A6D7E"/>
    <w:rsid w:val="001B1373"/>
    <w:rsid w:val="001B1C76"/>
    <w:rsid w:val="001B3C12"/>
    <w:rsid w:val="001B4838"/>
    <w:rsid w:val="001B63A9"/>
    <w:rsid w:val="001B7FBF"/>
    <w:rsid w:val="001C2118"/>
    <w:rsid w:val="001C22FA"/>
    <w:rsid w:val="001C269A"/>
    <w:rsid w:val="001C35F5"/>
    <w:rsid w:val="001C4B9F"/>
    <w:rsid w:val="001C5BBB"/>
    <w:rsid w:val="001C613C"/>
    <w:rsid w:val="001C79EB"/>
    <w:rsid w:val="001C7DF6"/>
    <w:rsid w:val="001D2ED8"/>
    <w:rsid w:val="001D47B8"/>
    <w:rsid w:val="001D60FF"/>
    <w:rsid w:val="001D61E9"/>
    <w:rsid w:val="001D6467"/>
    <w:rsid w:val="001E1CCF"/>
    <w:rsid w:val="001E20C7"/>
    <w:rsid w:val="001E54D5"/>
    <w:rsid w:val="001E555E"/>
    <w:rsid w:val="001E5772"/>
    <w:rsid w:val="001E62FA"/>
    <w:rsid w:val="001E648D"/>
    <w:rsid w:val="001F003C"/>
    <w:rsid w:val="001F0508"/>
    <w:rsid w:val="001F2F7C"/>
    <w:rsid w:val="001F47D1"/>
    <w:rsid w:val="00200912"/>
    <w:rsid w:val="00202C47"/>
    <w:rsid w:val="00205B3C"/>
    <w:rsid w:val="00206925"/>
    <w:rsid w:val="00211F9F"/>
    <w:rsid w:val="00215742"/>
    <w:rsid w:val="00216F8E"/>
    <w:rsid w:val="00220C31"/>
    <w:rsid w:val="00222034"/>
    <w:rsid w:val="00223DFC"/>
    <w:rsid w:val="002241D2"/>
    <w:rsid w:val="00225C52"/>
    <w:rsid w:val="00225D69"/>
    <w:rsid w:val="002263F3"/>
    <w:rsid w:val="00227381"/>
    <w:rsid w:val="002315D5"/>
    <w:rsid w:val="00231ABD"/>
    <w:rsid w:val="00233020"/>
    <w:rsid w:val="002333C3"/>
    <w:rsid w:val="00233532"/>
    <w:rsid w:val="00236DDC"/>
    <w:rsid w:val="00237199"/>
    <w:rsid w:val="002375F6"/>
    <w:rsid w:val="0023785F"/>
    <w:rsid w:val="002404D4"/>
    <w:rsid w:val="00241D83"/>
    <w:rsid w:val="00243A25"/>
    <w:rsid w:val="002502EE"/>
    <w:rsid w:val="002521AA"/>
    <w:rsid w:val="00253BF2"/>
    <w:rsid w:val="00257673"/>
    <w:rsid w:val="00261457"/>
    <w:rsid w:val="00264D81"/>
    <w:rsid w:val="00266E18"/>
    <w:rsid w:val="0027496F"/>
    <w:rsid w:val="00276444"/>
    <w:rsid w:val="002802D2"/>
    <w:rsid w:val="00283A6F"/>
    <w:rsid w:val="00283AB2"/>
    <w:rsid w:val="00285FA1"/>
    <w:rsid w:val="0028640A"/>
    <w:rsid w:val="00286A9C"/>
    <w:rsid w:val="00291FB8"/>
    <w:rsid w:val="002924CA"/>
    <w:rsid w:val="002927DA"/>
    <w:rsid w:val="002941AC"/>
    <w:rsid w:val="00295119"/>
    <w:rsid w:val="0029531A"/>
    <w:rsid w:val="00295892"/>
    <w:rsid w:val="002A1425"/>
    <w:rsid w:val="002A178E"/>
    <w:rsid w:val="002A4A97"/>
    <w:rsid w:val="002A5326"/>
    <w:rsid w:val="002A53A1"/>
    <w:rsid w:val="002A5A44"/>
    <w:rsid w:val="002A73A5"/>
    <w:rsid w:val="002B04A2"/>
    <w:rsid w:val="002B1DCE"/>
    <w:rsid w:val="002B2575"/>
    <w:rsid w:val="002B58B6"/>
    <w:rsid w:val="002B6AA3"/>
    <w:rsid w:val="002C0F2C"/>
    <w:rsid w:val="002C2E51"/>
    <w:rsid w:val="002C40C7"/>
    <w:rsid w:val="002C4657"/>
    <w:rsid w:val="002D1D6C"/>
    <w:rsid w:val="002D22B9"/>
    <w:rsid w:val="002D26F5"/>
    <w:rsid w:val="002D32A6"/>
    <w:rsid w:val="002D4364"/>
    <w:rsid w:val="002D48AA"/>
    <w:rsid w:val="002D5A0A"/>
    <w:rsid w:val="002D715B"/>
    <w:rsid w:val="002E0A5D"/>
    <w:rsid w:val="002E235F"/>
    <w:rsid w:val="002E44B8"/>
    <w:rsid w:val="002E7D8A"/>
    <w:rsid w:val="002F0E5A"/>
    <w:rsid w:val="002F0FE3"/>
    <w:rsid w:val="002F10B9"/>
    <w:rsid w:val="002F156C"/>
    <w:rsid w:val="002F5538"/>
    <w:rsid w:val="002F572F"/>
    <w:rsid w:val="002F5A4F"/>
    <w:rsid w:val="00301A9A"/>
    <w:rsid w:val="003033E8"/>
    <w:rsid w:val="00303578"/>
    <w:rsid w:val="00304E2C"/>
    <w:rsid w:val="00305C76"/>
    <w:rsid w:val="003079B9"/>
    <w:rsid w:val="00311A9D"/>
    <w:rsid w:val="00312052"/>
    <w:rsid w:val="00312315"/>
    <w:rsid w:val="003162F5"/>
    <w:rsid w:val="003172A6"/>
    <w:rsid w:val="00320939"/>
    <w:rsid w:val="00322123"/>
    <w:rsid w:val="00322E9A"/>
    <w:rsid w:val="00323602"/>
    <w:rsid w:val="00324644"/>
    <w:rsid w:val="00324A31"/>
    <w:rsid w:val="00324B0C"/>
    <w:rsid w:val="0032521C"/>
    <w:rsid w:val="00326A17"/>
    <w:rsid w:val="00326CAD"/>
    <w:rsid w:val="00332719"/>
    <w:rsid w:val="00332A62"/>
    <w:rsid w:val="00332D9F"/>
    <w:rsid w:val="00334298"/>
    <w:rsid w:val="00334964"/>
    <w:rsid w:val="003370C0"/>
    <w:rsid w:val="003374CB"/>
    <w:rsid w:val="00340419"/>
    <w:rsid w:val="0034472D"/>
    <w:rsid w:val="00344D93"/>
    <w:rsid w:val="003511A1"/>
    <w:rsid w:val="003515DC"/>
    <w:rsid w:val="00352351"/>
    <w:rsid w:val="00354A15"/>
    <w:rsid w:val="00357625"/>
    <w:rsid w:val="00357AF9"/>
    <w:rsid w:val="003607FE"/>
    <w:rsid w:val="00362275"/>
    <w:rsid w:val="00362C01"/>
    <w:rsid w:val="00364AF7"/>
    <w:rsid w:val="003674FB"/>
    <w:rsid w:val="00370428"/>
    <w:rsid w:val="003707B6"/>
    <w:rsid w:val="003707B8"/>
    <w:rsid w:val="00370FA8"/>
    <w:rsid w:val="00373820"/>
    <w:rsid w:val="00381730"/>
    <w:rsid w:val="00382567"/>
    <w:rsid w:val="00382B6C"/>
    <w:rsid w:val="003834DA"/>
    <w:rsid w:val="003842A3"/>
    <w:rsid w:val="00386D2A"/>
    <w:rsid w:val="003900A3"/>
    <w:rsid w:val="00390B5F"/>
    <w:rsid w:val="00390C2B"/>
    <w:rsid w:val="00392AB3"/>
    <w:rsid w:val="00393CA5"/>
    <w:rsid w:val="00397164"/>
    <w:rsid w:val="003A0E7C"/>
    <w:rsid w:val="003A0F2E"/>
    <w:rsid w:val="003A3E3E"/>
    <w:rsid w:val="003A5083"/>
    <w:rsid w:val="003B06E4"/>
    <w:rsid w:val="003B76A8"/>
    <w:rsid w:val="003C08D6"/>
    <w:rsid w:val="003C2FB9"/>
    <w:rsid w:val="003C393E"/>
    <w:rsid w:val="003C3DFA"/>
    <w:rsid w:val="003C40C8"/>
    <w:rsid w:val="003C4A41"/>
    <w:rsid w:val="003C4C93"/>
    <w:rsid w:val="003C7860"/>
    <w:rsid w:val="003D10E6"/>
    <w:rsid w:val="003D172E"/>
    <w:rsid w:val="003D26C2"/>
    <w:rsid w:val="003D325A"/>
    <w:rsid w:val="003D3FC2"/>
    <w:rsid w:val="003D5E16"/>
    <w:rsid w:val="003D7A7D"/>
    <w:rsid w:val="003E2EC2"/>
    <w:rsid w:val="003E39CE"/>
    <w:rsid w:val="003E590E"/>
    <w:rsid w:val="003E662E"/>
    <w:rsid w:val="003E768A"/>
    <w:rsid w:val="003F09D1"/>
    <w:rsid w:val="003F5A02"/>
    <w:rsid w:val="003F6686"/>
    <w:rsid w:val="003F70A6"/>
    <w:rsid w:val="003F7F84"/>
    <w:rsid w:val="0040001F"/>
    <w:rsid w:val="00400392"/>
    <w:rsid w:val="00400AA1"/>
    <w:rsid w:val="0040118D"/>
    <w:rsid w:val="00403521"/>
    <w:rsid w:val="00403820"/>
    <w:rsid w:val="00410DF8"/>
    <w:rsid w:val="00411B87"/>
    <w:rsid w:val="00413D4A"/>
    <w:rsid w:val="004211A3"/>
    <w:rsid w:val="00426371"/>
    <w:rsid w:val="00427E6E"/>
    <w:rsid w:val="004338A2"/>
    <w:rsid w:val="00433C2D"/>
    <w:rsid w:val="004342C8"/>
    <w:rsid w:val="004362A9"/>
    <w:rsid w:val="00437887"/>
    <w:rsid w:val="00443AD5"/>
    <w:rsid w:val="00444D64"/>
    <w:rsid w:val="00445309"/>
    <w:rsid w:val="004467F8"/>
    <w:rsid w:val="00450372"/>
    <w:rsid w:val="004520CE"/>
    <w:rsid w:val="00452FB0"/>
    <w:rsid w:val="00454C9E"/>
    <w:rsid w:val="0045535B"/>
    <w:rsid w:val="00457938"/>
    <w:rsid w:val="00460E51"/>
    <w:rsid w:val="00461D61"/>
    <w:rsid w:val="004621CB"/>
    <w:rsid w:val="00462678"/>
    <w:rsid w:val="004654AD"/>
    <w:rsid w:val="004661BA"/>
    <w:rsid w:val="00466704"/>
    <w:rsid w:val="004675B5"/>
    <w:rsid w:val="004700AF"/>
    <w:rsid w:val="004720BE"/>
    <w:rsid w:val="00474445"/>
    <w:rsid w:val="0047512C"/>
    <w:rsid w:val="00476C6A"/>
    <w:rsid w:val="00480E60"/>
    <w:rsid w:val="00482254"/>
    <w:rsid w:val="004849F6"/>
    <w:rsid w:val="00484CD6"/>
    <w:rsid w:val="0048588E"/>
    <w:rsid w:val="00486A50"/>
    <w:rsid w:val="004946E0"/>
    <w:rsid w:val="004A16B0"/>
    <w:rsid w:val="004A1883"/>
    <w:rsid w:val="004A3C87"/>
    <w:rsid w:val="004A45AC"/>
    <w:rsid w:val="004A47C5"/>
    <w:rsid w:val="004A61AA"/>
    <w:rsid w:val="004A6CDB"/>
    <w:rsid w:val="004A7A6B"/>
    <w:rsid w:val="004B555E"/>
    <w:rsid w:val="004B62B3"/>
    <w:rsid w:val="004B6FFC"/>
    <w:rsid w:val="004B71D4"/>
    <w:rsid w:val="004B7DF4"/>
    <w:rsid w:val="004C00A3"/>
    <w:rsid w:val="004C0598"/>
    <w:rsid w:val="004C19B6"/>
    <w:rsid w:val="004C454F"/>
    <w:rsid w:val="004C48C4"/>
    <w:rsid w:val="004C4B8C"/>
    <w:rsid w:val="004C619C"/>
    <w:rsid w:val="004C7C79"/>
    <w:rsid w:val="004D166D"/>
    <w:rsid w:val="004D501A"/>
    <w:rsid w:val="004D772C"/>
    <w:rsid w:val="004E03E9"/>
    <w:rsid w:val="004E30F4"/>
    <w:rsid w:val="004E32B6"/>
    <w:rsid w:val="004E3651"/>
    <w:rsid w:val="004E55DF"/>
    <w:rsid w:val="004E5954"/>
    <w:rsid w:val="004E595A"/>
    <w:rsid w:val="004F003A"/>
    <w:rsid w:val="004F132F"/>
    <w:rsid w:val="004F324F"/>
    <w:rsid w:val="005018DF"/>
    <w:rsid w:val="00501E5A"/>
    <w:rsid w:val="00503792"/>
    <w:rsid w:val="005059C2"/>
    <w:rsid w:val="00506E8A"/>
    <w:rsid w:val="00510905"/>
    <w:rsid w:val="00514347"/>
    <w:rsid w:val="00514A77"/>
    <w:rsid w:val="00516B64"/>
    <w:rsid w:val="00517B01"/>
    <w:rsid w:val="005218BE"/>
    <w:rsid w:val="00524A34"/>
    <w:rsid w:val="00527E79"/>
    <w:rsid w:val="005300F5"/>
    <w:rsid w:val="005309FC"/>
    <w:rsid w:val="005310BB"/>
    <w:rsid w:val="005314BE"/>
    <w:rsid w:val="005322B8"/>
    <w:rsid w:val="0053259A"/>
    <w:rsid w:val="005330FE"/>
    <w:rsid w:val="005333DC"/>
    <w:rsid w:val="00533F86"/>
    <w:rsid w:val="0053460D"/>
    <w:rsid w:val="0053530C"/>
    <w:rsid w:val="00535529"/>
    <w:rsid w:val="0053596B"/>
    <w:rsid w:val="00535E06"/>
    <w:rsid w:val="00537367"/>
    <w:rsid w:val="00540C99"/>
    <w:rsid w:val="005415FF"/>
    <w:rsid w:val="0054387A"/>
    <w:rsid w:val="005515E7"/>
    <w:rsid w:val="0055476A"/>
    <w:rsid w:val="00554E2D"/>
    <w:rsid w:val="0055505B"/>
    <w:rsid w:val="005659A0"/>
    <w:rsid w:val="00570554"/>
    <w:rsid w:val="00570B31"/>
    <w:rsid w:val="00571550"/>
    <w:rsid w:val="00576859"/>
    <w:rsid w:val="00580F34"/>
    <w:rsid w:val="00580FDE"/>
    <w:rsid w:val="00581C37"/>
    <w:rsid w:val="00582C0F"/>
    <w:rsid w:val="00582EC5"/>
    <w:rsid w:val="00585A26"/>
    <w:rsid w:val="00586B85"/>
    <w:rsid w:val="00591D34"/>
    <w:rsid w:val="005959F9"/>
    <w:rsid w:val="00595A89"/>
    <w:rsid w:val="005A2865"/>
    <w:rsid w:val="005B1E67"/>
    <w:rsid w:val="005B5D0E"/>
    <w:rsid w:val="005B6560"/>
    <w:rsid w:val="005B7E2B"/>
    <w:rsid w:val="005C3428"/>
    <w:rsid w:val="005D38AD"/>
    <w:rsid w:val="005D5BED"/>
    <w:rsid w:val="005D7736"/>
    <w:rsid w:val="005D7A3F"/>
    <w:rsid w:val="005E02C5"/>
    <w:rsid w:val="005E0414"/>
    <w:rsid w:val="005E2439"/>
    <w:rsid w:val="005E3449"/>
    <w:rsid w:val="005F4BAE"/>
    <w:rsid w:val="005F5372"/>
    <w:rsid w:val="005F5451"/>
    <w:rsid w:val="005F7DB3"/>
    <w:rsid w:val="0060021C"/>
    <w:rsid w:val="006008E2"/>
    <w:rsid w:val="0060112B"/>
    <w:rsid w:val="006017D7"/>
    <w:rsid w:val="00602955"/>
    <w:rsid w:val="00602C68"/>
    <w:rsid w:val="006035CA"/>
    <w:rsid w:val="00603D19"/>
    <w:rsid w:val="00604E60"/>
    <w:rsid w:val="006058FA"/>
    <w:rsid w:val="00607A8F"/>
    <w:rsid w:val="006126C6"/>
    <w:rsid w:val="00612C99"/>
    <w:rsid w:val="006166B5"/>
    <w:rsid w:val="00617CE6"/>
    <w:rsid w:val="0062300F"/>
    <w:rsid w:val="00624E70"/>
    <w:rsid w:val="006257EF"/>
    <w:rsid w:val="00625D86"/>
    <w:rsid w:val="006277F6"/>
    <w:rsid w:val="0063168D"/>
    <w:rsid w:val="006329F1"/>
    <w:rsid w:val="0063478B"/>
    <w:rsid w:val="00635A09"/>
    <w:rsid w:val="00640260"/>
    <w:rsid w:val="0064073A"/>
    <w:rsid w:val="00642236"/>
    <w:rsid w:val="006430D7"/>
    <w:rsid w:val="00643202"/>
    <w:rsid w:val="006437BC"/>
    <w:rsid w:val="006440AB"/>
    <w:rsid w:val="006461B3"/>
    <w:rsid w:val="006462FD"/>
    <w:rsid w:val="00646840"/>
    <w:rsid w:val="00646D8E"/>
    <w:rsid w:val="00646EFF"/>
    <w:rsid w:val="006536BC"/>
    <w:rsid w:val="006537B0"/>
    <w:rsid w:val="00656045"/>
    <w:rsid w:val="00656284"/>
    <w:rsid w:val="006562D1"/>
    <w:rsid w:val="0065682E"/>
    <w:rsid w:val="00657520"/>
    <w:rsid w:val="00657B41"/>
    <w:rsid w:val="00660305"/>
    <w:rsid w:val="0066081B"/>
    <w:rsid w:val="0066134B"/>
    <w:rsid w:val="006614EA"/>
    <w:rsid w:val="00661DA3"/>
    <w:rsid w:val="006620B1"/>
    <w:rsid w:val="00663711"/>
    <w:rsid w:val="00663B82"/>
    <w:rsid w:val="006656BE"/>
    <w:rsid w:val="00666FB7"/>
    <w:rsid w:val="00670052"/>
    <w:rsid w:val="00672D47"/>
    <w:rsid w:val="006766DB"/>
    <w:rsid w:val="006778A9"/>
    <w:rsid w:val="00677F64"/>
    <w:rsid w:val="006817AE"/>
    <w:rsid w:val="006841C3"/>
    <w:rsid w:val="006849E4"/>
    <w:rsid w:val="00687F76"/>
    <w:rsid w:val="00691EBA"/>
    <w:rsid w:val="00694CC3"/>
    <w:rsid w:val="00695A6E"/>
    <w:rsid w:val="006A00BA"/>
    <w:rsid w:val="006A0328"/>
    <w:rsid w:val="006A0433"/>
    <w:rsid w:val="006A29C4"/>
    <w:rsid w:val="006A4FA7"/>
    <w:rsid w:val="006A7AC4"/>
    <w:rsid w:val="006B0CBC"/>
    <w:rsid w:val="006B2819"/>
    <w:rsid w:val="006B314A"/>
    <w:rsid w:val="006B317B"/>
    <w:rsid w:val="006B4F22"/>
    <w:rsid w:val="006B7A15"/>
    <w:rsid w:val="006C143B"/>
    <w:rsid w:val="006C24C0"/>
    <w:rsid w:val="006C41A6"/>
    <w:rsid w:val="006C5333"/>
    <w:rsid w:val="006C6604"/>
    <w:rsid w:val="006D1671"/>
    <w:rsid w:val="006D1F22"/>
    <w:rsid w:val="006D41ED"/>
    <w:rsid w:val="006E06F5"/>
    <w:rsid w:val="006E175D"/>
    <w:rsid w:val="006E2B26"/>
    <w:rsid w:val="006E32C4"/>
    <w:rsid w:val="006E55DC"/>
    <w:rsid w:val="006E7DF6"/>
    <w:rsid w:val="006F1A28"/>
    <w:rsid w:val="006F44C9"/>
    <w:rsid w:val="006F4B69"/>
    <w:rsid w:val="006F5101"/>
    <w:rsid w:val="006F75BB"/>
    <w:rsid w:val="006F7D1C"/>
    <w:rsid w:val="00702DC1"/>
    <w:rsid w:val="007033BF"/>
    <w:rsid w:val="00703C68"/>
    <w:rsid w:val="00704099"/>
    <w:rsid w:val="007067BB"/>
    <w:rsid w:val="0070745E"/>
    <w:rsid w:val="007125A6"/>
    <w:rsid w:val="00712AF9"/>
    <w:rsid w:val="00714DD4"/>
    <w:rsid w:val="007168B2"/>
    <w:rsid w:val="0071763E"/>
    <w:rsid w:val="00717992"/>
    <w:rsid w:val="00722DB7"/>
    <w:rsid w:val="00723223"/>
    <w:rsid w:val="0072339A"/>
    <w:rsid w:val="0072362D"/>
    <w:rsid w:val="00724676"/>
    <w:rsid w:val="0072495B"/>
    <w:rsid w:val="00724ED2"/>
    <w:rsid w:val="00726739"/>
    <w:rsid w:val="00730838"/>
    <w:rsid w:val="0073223C"/>
    <w:rsid w:val="00732AB8"/>
    <w:rsid w:val="00734971"/>
    <w:rsid w:val="007352A5"/>
    <w:rsid w:val="00735F7C"/>
    <w:rsid w:val="00741005"/>
    <w:rsid w:val="007414CF"/>
    <w:rsid w:val="00744B72"/>
    <w:rsid w:val="007455DB"/>
    <w:rsid w:val="00746EE2"/>
    <w:rsid w:val="00747F62"/>
    <w:rsid w:val="0075060D"/>
    <w:rsid w:val="00750737"/>
    <w:rsid w:val="00751755"/>
    <w:rsid w:val="00765E68"/>
    <w:rsid w:val="007668DE"/>
    <w:rsid w:val="007673BA"/>
    <w:rsid w:val="007706CF"/>
    <w:rsid w:val="0077252B"/>
    <w:rsid w:val="007735B5"/>
    <w:rsid w:val="00773D1F"/>
    <w:rsid w:val="00775008"/>
    <w:rsid w:val="007767DD"/>
    <w:rsid w:val="00780E38"/>
    <w:rsid w:val="007814FC"/>
    <w:rsid w:val="00782003"/>
    <w:rsid w:val="007821B3"/>
    <w:rsid w:val="0078270F"/>
    <w:rsid w:val="00784971"/>
    <w:rsid w:val="00785849"/>
    <w:rsid w:val="00787F9C"/>
    <w:rsid w:val="007910C5"/>
    <w:rsid w:val="00795F46"/>
    <w:rsid w:val="00796F5E"/>
    <w:rsid w:val="00797566"/>
    <w:rsid w:val="00797CAC"/>
    <w:rsid w:val="007A1A9F"/>
    <w:rsid w:val="007A2AFF"/>
    <w:rsid w:val="007A4127"/>
    <w:rsid w:val="007A47E3"/>
    <w:rsid w:val="007A770F"/>
    <w:rsid w:val="007B06CC"/>
    <w:rsid w:val="007B5E83"/>
    <w:rsid w:val="007B7D88"/>
    <w:rsid w:val="007C029D"/>
    <w:rsid w:val="007C4832"/>
    <w:rsid w:val="007C4CB9"/>
    <w:rsid w:val="007C6A8B"/>
    <w:rsid w:val="007C6A9E"/>
    <w:rsid w:val="007C6ADB"/>
    <w:rsid w:val="007C716B"/>
    <w:rsid w:val="007D1318"/>
    <w:rsid w:val="007D2734"/>
    <w:rsid w:val="007D3D42"/>
    <w:rsid w:val="007E01F2"/>
    <w:rsid w:val="007E0FBF"/>
    <w:rsid w:val="007E6B9D"/>
    <w:rsid w:val="007F0CEE"/>
    <w:rsid w:val="007F2FF1"/>
    <w:rsid w:val="007F4AC5"/>
    <w:rsid w:val="007F7D84"/>
    <w:rsid w:val="00801BA7"/>
    <w:rsid w:val="008053D2"/>
    <w:rsid w:val="00805E76"/>
    <w:rsid w:val="0080703D"/>
    <w:rsid w:val="00810235"/>
    <w:rsid w:val="008104D0"/>
    <w:rsid w:val="008123E9"/>
    <w:rsid w:val="0081576D"/>
    <w:rsid w:val="00815C08"/>
    <w:rsid w:val="008168CC"/>
    <w:rsid w:val="00817B23"/>
    <w:rsid w:val="00820523"/>
    <w:rsid w:val="00822141"/>
    <w:rsid w:val="00824768"/>
    <w:rsid w:val="00824848"/>
    <w:rsid w:val="008256F6"/>
    <w:rsid w:val="0083020E"/>
    <w:rsid w:val="00832045"/>
    <w:rsid w:val="00832DF0"/>
    <w:rsid w:val="0083346C"/>
    <w:rsid w:val="00833F32"/>
    <w:rsid w:val="00837570"/>
    <w:rsid w:val="00837CE6"/>
    <w:rsid w:val="008406D0"/>
    <w:rsid w:val="00842A48"/>
    <w:rsid w:val="00842D0D"/>
    <w:rsid w:val="008437E4"/>
    <w:rsid w:val="00855253"/>
    <w:rsid w:val="008600BA"/>
    <w:rsid w:val="00863D9F"/>
    <w:rsid w:val="00865BB3"/>
    <w:rsid w:val="00866890"/>
    <w:rsid w:val="0086712D"/>
    <w:rsid w:val="0086763E"/>
    <w:rsid w:val="0087486A"/>
    <w:rsid w:val="00874F56"/>
    <w:rsid w:val="008802B0"/>
    <w:rsid w:val="008827FF"/>
    <w:rsid w:val="00884B01"/>
    <w:rsid w:val="00884CE6"/>
    <w:rsid w:val="00884E53"/>
    <w:rsid w:val="0088607F"/>
    <w:rsid w:val="008873D1"/>
    <w:rsid w:val="0089114E"/>
    <w:rsid w:val="00894B79"/>
    <w:rsid w:val="00894F75"/>
    <w:rsid w:val="0089648F"/>
    <w:rsid w:val="00896776"/>
    <w:rsid w:val="0089784F"/>
    <w:rsid w:val="00897F47"/>
    <w:rsid w:val="008A09EE"/>
    <w:rsid w:val="008A1664"/>
    <w:rsid w:val="008A169B"/>
    <w:rsid w:val="008A17C9"/>
    <w:rsid w:val="008A27F8"/>
    <w:rsid w:val="008A65FC"/>
    <w:rsid w:val="008A7066"/>
    <w:rsid w:val="008A7C21"/>
    <w:rsid w:val="008B0959"/>
    <w:rsid w:val="008B1C0D"/>
    <w:rsid w:val="008B387B"/>
    <w:rsid w:val="008B556B"/>
    <w:rsid w:val="008C0F1F"/>
    <w:rsid w:val="008C1A57"/>
    <w:rsid w:val="008C2349"/>
    <w:rsid w:val="008C5C33"/>
    <w:rsid w:val="008D00C4"/>
    <w:rsid w:val="008D2499"/>
    <w:rsid w:val="008D3F39"/>
    <w:rsid w:val="008D4075"/>
    <w:rsid w:val="008D4FA6"/>
    <w:rsid w:val="008D6616"/>
    <w:rsid w:val="008D6768"/>
    <w:rsid w:val="008E6F41"/>
    <w:rsid w:val="008E703A"/>
    <w:rsid w:val="008E777B"/>
    <w:rsid w:val="008E7E97"/>
    <w:rsid w:val="008F00DF"/>
    <w:rsid w:val="008F19D6"/>
    <w:rsid w:val="008F5E5D"/>
    <w:rsid w:val="008F7154"/>
    <w:rsid w:val="0090339C"/>
    <w:rsid w:val="009033D6"/>
    <w:rsid w:val="0090350E"/>
    <w:rsid w:val="00903738"/>
    <w:rsid w:val="00907108"/>
    <w:rsid w:val="009071B4"/>
    <w:rsid w:val="0090721B"/>
    <w:rsid w:val="009109F7"/>
    <w:rsid w:val="0091304A"/>
    <w:rsid w:val="0091305A"/>
    <w:rsid w:val="00913FCC"/>
    <w:rsid w:val="00915663"/>
    <w:rsid w:val="009165A7"/>
    <w:rsid w:val="009217FF"/>
    <w:rsid w:val="009227F0"/>
    <w:rsid w:val="00922824"/>
    <w:rsid w:val="00923E89"/>
    <w:rsid w:val="00925356"/>
    <w:rsid w:val="00926342"/>
    <w:rsid w:val="00930BDC"/>
    <w:rsid w:val="00932346"/>
    <w:rsid w:val="00932940"/>
    <w:rsid w:val="00933287"/>
    <w:rsid w:val="0093438C"/>
    <w:rsid w:val="009373B9"/>
    <w:rsid w:val="0093742E"/>
    <w:rsid w:val="0094121E"/>
    <w:rsid w:val="00944742"/>
    <w:rsid w:val="00946408"/>
    <w:rsid w:val="0094643B"/>
    <w:rsid w:val="00954263"/>
    <w:rsid w:val="00954952"/>
    <w:rsid w:val="00955242"/>
    <w:rsid w:val="0095574B"/>
    <w:rsid w:val="009572BA"/>
    <w:rsid w:val="00961022"/>
    <w:rsid w:val="0096108F"/>
    <w:rsid w:val="00963488"/>
    <w:rsid w:val="00963713"/>
    <w:rsid w:val="009640A9"/>
    <w:rsid w:val="00965CCF"/>
    <w:rsid w:val="0096637C"/>
    <w:rsid w:val="0096742B"/>
    <w:rsid w:val="009703D1"/>
    <w:rsid w:val="00970C6E"/>
    <w:rsid w:val="00971913"/>
    <w:rsid w:val="00973C77"/>
    <w:rsid w:val="00974A5D"/>
    <w:rsid w:val="00975A22"/>
    <w:rsid w:val="00975C07"/>
    <w:rsid w:val="00977BC7"/>
    <w:rsid w:val="00981EE3"/>
    <w:rsid w:val="0098292E"/>
    <w:rsid w:val="00985242"/>
    <w:rsid w:val="0098682C"/>
    <w:rsid w:val="00990452"/>
    <w:rsid w:val="0099046F"/>
    <w:rsid w:val="009909C5"/>
    <w:rsid w:val="0099296E"/>
    <w:rsid w:val="00993A0A"/>
    <w:rsid w:val="00993B70"/>
    <w:rsid w:val="0099748F"/>
    <w:rsid w:val="009A0E35"/>
    <w:rsid w:val="009A270C"/>
    <w:rsid w:val="009A2B5C"/>
    <w:rsid w:val="009A3DD9"/>
    <w:rsid w:val="009A3E67"/>
    <w:rsid w:val="009A4240"/>
    <w:rsid w:val="009A5A67"/>
    <w:rsid w:val="009B2CE7"/>
    <w:rsid w:val="009B3D0E"/>
    <w:rsid w:val="009B46EC"/>
    <w:rsid w:val="009B4BC5"/>
    <w:rsid w:val="009C13D2"/>
    <w:rsid w:val="009C1943"/>
    <w:rsid w:val="009C1D47"/>
    <w:rsid w:val="009C26A4"/>
    <w:rsid w:val="009C3E10"/>
    <w:rsid w:val="009C750D"/>
    <w:rsid w:val="009D156E"/>
    <w:rsid w:val="009D1A7E"/>
    <w:rsid w:val="009D1E76"/>
    <w:rsid w:val="009D3C67"/>
    <w:rsid w:val="009D5407"/>
    <w:rsid w:val="009E21FD"/>
    <w:rsid w:val="009E41AB"/>
    <w:rsid w:val="009E43DF"/>
    <w:rsid w:val="009E4453"/>
    <w:rsid w:val="009E526A"/>
    <w:rsid w:val="009E6B67"/>
    <w:rsid w:val="009E7946"/>
    <w:rsid w:val="009F0304"/>
    <w:rsid w:val="009F2FD9"/>
    <w:rsid w:val="009F2FDF"/>
    <w:rsid w:val="009F3FA4"/>
    <w:rsid w:val="009F763F"/>
    <w:rsid w:val="009F7D56"/>
    <w:rsid w:val="009F7DA0"/>
    <w:rsid w:val="00A008F8"/>
    <w:rsid w:val="00A014F2"/>
    <w:rsid w:val="00A018DC"/>
    <w:rsid w:val="00A0258F"/>
    <w:rsid w:val="00A02C8A"/>
    <w:rsid w:val="00A051F2"/>
    <w:rsid w:val="00A0643C"/>
    <w:rsid w:val="00A10BCE"/>
    <w:rsid w:val="00A10DBB"/>
    <w:rsid w:val="00A121AD"/>
    <w:rsid w:val="00A13301"/>
    <w:rsid w:val="00A15C37"/>
    <w:rsid w:val="00A21547"/>
    <w:rsid w:val="00A2254B"/>
    <w:rsid w:val="00A26636"/>
    <w:rsid w:val="00A27F7D"/>
    <w:rsid w:val="00A30573"/>
    <w:rsid w:val="00A30F33"/>
    <w:rsid w:val="00A31789"/>
    <w:rsid w:val="00A326FF"/>
    <w:rsid w:val="00A330A4"/>
    <w:rsid w:val="00A33559"/>
    <w:rsid w:val="00A4236B"/>
    <w:rsid w:val="00A428B1"/>
    <w:rsid w:val="00A42FC6"/>
    <w:rsid w:val="00A42FC8"/>
    <w:rsid w:val="00A44F32"/>
    <w:rsid w:val="00A463E6"/>
    <w:rsid w:val="00A4642E"/>
    <w:rsid w:val="00A4643A"/>
    <w:rsid w:val="00A47E8E"/>
    <w:rsid w:val="00A519A6"/>
    <w:rsid w:val="00A57409"/>
    <w:rsid w:val="00A60F40"/>
    <w:rsid w:val="00A6356D"/>
    <w:rsid w:val="00A63624"/>
    <w:rsid w:val="00A63D6B"/>
    <w:rsid w:val="00A65AE4"/>
    <w:rsid w:val="00A675DD"/>
    <w:rsid w:val="00A67759"/>
    <w:rsid w:val="00A70D0A"/>
    <w:rsid w:val="00A71411"/>
    <w:rsid w:val="00A74558"/>
    <w:rsid w:val="00A77080"/>
    <w:rsid w:val="00A77C29"/>
    <w:rsid w:val="00A77F4A"/>
    <w:rsid w:val="00A81003"/>
    <w:rsid w:val="00A8430B"/>
    <w:rsid w:val="00A852FA"/>
    <w:rsid w:val="00A87B72"/>
    <w:rsid w:val="00A91717"/>
    <w:rsid w:val="00A923ED"/>
    <w:rsid w:val="00A92C0B"/>
    <w:rsid w:val="00A92C7C"/>
    <w:rsid w:val="00A942B3"/>
    <w:rsid w:val="00A95104"/>
    <w:rsid w:val="00A97BF2"/>
    <w:rsid w:val="00AA0324"/>
    <w:rsid w:val="00AA03D9"/>
    <w:rsid w:val="00AA07C1"/>
    <w:rsid w:val="00AA0AD0"/>
    <w:rsid w:val="00AA0FA1"/>
    <w:rsid w:val="00AA2B9E"/>
    <w:rsid w:val="00AA3401"/>
    <w:rsid w:val="00AA383E"/>
    <w:rsid w:val="00AB46B5"/>
    <w:rsid w:val="00AB7C2B"/>
    <w:rsid w:val="00AC16B1"/>
    <w:rsid w:val="00AC1B7E"/>
    <w:rsid w:val="00AC2BC9"/>
    <w:rsid w:val="00AC3579"/>
    <w:rsid w:val="00AC35CD"/>
    <w:rsid w:val="00AC5038"/>
    <w:rsid w:val="00AC509C"/>
    <w:rsid w:val="00AD257D"/>
    <w:rsid w:val="00AD44E2"/>
    <w:rsid w:val="00AD5A94"/>
    <w:rsid w:val="00AD5CBF"/>
    <w:rsid w:val="00AD61AB"/>
    <w:rsid w:val="00AD75B8"/>
    <w:rsid w:val="00AE00DD"/>
    <w:rsid w:val="00AE41DD"/>
    <w:rsid w:val="00AE4F63"/>
    <w:rsid w:val="00AF0440"/>
    <w:rsid w:val="00AF0A01"/>
    <w:rsid w:val="00AF3FB0"/>
    <w:rsid w:val="00AF4832"/>
    <w:rsid w:val="00AF4BB7"/>
    <w:rsid w:val="00AF557B"/>
    <w:rsid w:val="00B00561"/>
    <w:rsid w:val="00B02C52"/>
    <w:rsid w:val="00B0374F"/>
    <w:rsid w:val="00B0536B"/>
    <w:rsid w:val="00B05D01"/>
    <w:rsid w:val="00B10D43"/>
    <w:rsid w:val="00B12091"/>
    <w:rsid w:val="00B13B3D"/>
    <w:rsid w:val="00B13CFE"/>
    <w:rsid w:val="00B15836"/>
    <w:rsid w:val="00B16FCC"/>
    <w:rsid w:val="00B17E01"/>
    <w:rsid w:val="00B20CBE"/>
    <w:rsid w:val="00B21CDB"/>
    <w:rsid w:val="00B22A7C"/>
    <w:rsid w:val="00B240BC"/>
    <w:rsid w:val="00B2580B"/>
    <w:rsid w:val="00B27BD8"/>
    <w:rsid w:val="00B30751"/>
    <w:rsid w:val="00B32C75"/>
    <w:rsid w:val="00B348C5"/>
    <w:rsid w:val="00B37537"/>
    <w:rsid w:val="00B3795C"/>
    <w:rsid w:val="00B40789"/>
    <w:rsid w:val="00B40FBD"/>
    <w:rsid w:val="00B41E63"/>
    <w:rsid w:val="00B43450"/>
    <w:rsid w:val="00B471E5"/>
    <w:rsid w:val="00B476D0"/>
    <w:rsid w:val="00B47963"/>
    <w:rsid w:val="00B54FBC"/>
    <w:rsid w:val="00B558B4"/>
    <w:rsid w:val="00B57A57"/>
    <w:rsid w:val="00B6042A"/>
    <w:rsid w:val="00B605B1"/>
    <w:rsid w:val="00B61874"/>
    <w:rsid w:val="00B618C4"/>
    <w:rsid w:val="00B61DD0"/>
    <w:rsid w:val="00B62687"/>
    <w:rsid w:val="00B628FE"/>
    <w:rsid w:val="00B63EBD"/>
    <w:rsid w:val="00B63FD8"/>
    <w:rsid w:val="00B672CE"/>
    <w:rsid w:val="00B71411"/>
    <w:rsid w:val="00B741AC"/>
    <w:rsid w:val="00B74E5B"/>
    <w:rsid w:val="00B750A9"/>
    <w:rsid w:val="00B76A8B"/>
    <w:rsid w:val="00B85274"/>
    <w:rsid w:val="00B8551E"/>
    <w:rsid w:val="00B85CCC"/>
    <w:rsid w:val="00B87368"/>
    <w:rsid w:val="00B91B91"/>
    <w:rsid w:val="00B93CBC"/>
    <w:rsid w:val="00B94BF0"/>
    <w:rsid w:val="00B95743"/>
    <w:rsid w:val="00BA1483"/>
    <w:rsid w:val="00BA317A"/>
    <w:rsid w:val="00BA3C66"/>
    <w:rsid w:val="00BA4E5C"/>
    <w:rsid w:val="00BA5620"/>
    <w:rsid w:val="00BA620F"/>
    <w:rsid w:val="00BB0B5F"/>
    <w:rsid w:val="00BB0C25"/>
    <w:rsid w:val="00BB2B09"/>
    <w:rsid w:val="00BB57D4"/>
    <w:rsid w:val="00BB66DC"/>
    <w:rsid w:val="00BB7AB9"/>
    <w:rsid w:val="00BC24F8"/>
    <w:rsid w:val="00BC3002"/>
    <w:rsid w:val="00BC5ABD"/>
    <w:rsid w:val="00BC5DBB"/>
    <w:rsid w:val="00BC6030"/>
    <w:rsid w:val="00BC7074"/>
    <w:rsid w:val="00BC75C9"/>
    <w:rsid w:val="00BD3B3C"/>
    <w:rsid w:val="00BD4E7C"/>
    <w:rsid w:val="00BD5BB7"/>
    <w:rsid w:val="00BD6412"/>
    <w:rsid w:val="00BD7BE4"/>
    <w:rsid w:val="00BD7E5C"/>
    <w:rsid w:val="00BE02C6"/>
    <w:rsid w:val="00BE1518"/>
    <w:rsid w:val="00BE296B"/>
    <w:rsid w:val="00BE357B"/>
    <w:rsid w:val="00BE3A67"/>
    <w:rsid w:val="00BE5CFB"/>
    <w:rsid w:val="00BF296D"/>
    <w:rsid w:val="00BF304F"/>
    <w:rsid w:val="00BF4050"/>
    <w:rsid w:val="00C02C40"/>
    <w:rsid w:val="00C0435C"/>
    <w:rsid w:val="00C055AF"/>
    <w:rsid w:val="00C06E80"/>
    <w:rsid w:val="00C110CA"/>
    <w:rsid w:val="00C11B99"/>
    <w:rsid w:val="00C12B75"/>
    <w:rsid w:val="00C14AF7"/>
    <w:rsid w:val="00C17535"/>
    <w:rsid w:val="00C178E7"/>
    <w:rsid w:val="00C233A4"/>
    <w:rsid w:val="00C272B2"/>
    <w:rsid w:val="00C300DC"/>
    <w:rsid w:val="00C31C07"/>
    <w:rsid w:val="00C35C6E"/>
    <w:rsid w:val="00C3662D"/>
    <w:rsid w:val="00C36B01"/>
    <w:rsid w:val="00C376DE"/>
    <w:rsid w:val="00C41A1F"/>
    <w:rsid w:val="00C42307"/>
    <w:rsid w:val="00C43729"/>
    <w:rsid w:val="00C44194"/>
    <w:rsid w:val="00C44EA3"/>
    <w:rsid w:val="00C47EF1"/>
    <w:rsid w:val="00C503CA"/>
    <w:rsid w:val="00C52C1A"/>
    <w:rsid w:val="00C537AF"/>
    <w:rsid w:val="00C55E3B"/>
    <w:rsid w:val="00C56E6B"/>
    <w:rsid w:val="00C57041"/>
    <w:rsid w:val="00C61AD2"/>
    <w:rsid w:val="00C62146"/>
    <w:rsid w:val="00C62528"/>
    <w:rsid w:val="00C636D0"/>
    <w:rsid w:val="00C63EC6"/>
    <w:rsid w:val="00C64F94"/>
    <w:rsid w:val="00C66680"/>
    <w:rsid w:val="00C66C86"/>
    <w:rsid w:val="00C670D2"/>
    <w:rsid w:val="00C74AF4"/>
    <w:rsid w:val="00C77180"/>
    <w:rsid w:val="00C816CA"/>
    <w:rsid w:val="00C828D4"/>
    <w:rsid w:val="00C83B8B"/>
    <w:rsid w:val="00C8431C"/>
    <w:rsid w:val="00C94652"/>
    <w:rsid w:val="00C95477"/>
    <w:rsid w:val="00C96A34"/>
    <w:rsid w:val="00CA0E33"/>
    <w:rsid w:val="00CA182F"/>
    <w:rsid w:val="00CA1C83"/>
    <w:rsid w:val="00CA248B"/>
    <w:rsid w:val="00CA784B"/>
    <w:rsid w:val="00CB2637"/>
    <w:rsid w:val="00CB2BC7"/>
    <w:rsid w:val="00CB332A"/>
    <w:rsid w:val="00CB49C5"/>
    <w:rsid w:val="00CB4D45"/>
    <w:rsid w:val="00CB696D"/>
    <w:rsid w:val="00CC0D06"/>
    <w:rsid w:val="00CC4A9E"/>
    <w:rsid w:val="00CC6070"/>
    <w:rsid w:val="00CC7C90"/>
    <w:rsid w:val="00CD0EBA"/>
    <w:rsid w:val="00CD1C76"/>
    <w:rsid w:val="00CD1E67"/>
    <w:rsid w:val="00CD39B7"/>
    <w:rsid w:val="00CD6B7B"/>
    <w:rsid w:val="00CE5253"/>
    <w:rsid w:val="00CE5778"/>
    <w:rsid w:val="00CE6119"/>
    <w:rsid w:val="00CE6D88"/>
    <w:rsid w:val="00CE7690"/>
    <w:rsid w:val="00CE7825"/>
    <w:rsid w:val="00CE7E30"/>
    <w:rsid w:val="00CE7E62"/>
    <w:rsid w:val="00CF1324"/>
    <w:rsid w:val="00CF27E0"/>
    <w:rsid w:val="00CF2D7B"/>
    <w:rsid w:val="00CF50DD"/>
    <w:rsid w:val="00CF589D"/>
    <w:rsid w:val="00CF58F2"/>
    <w:rsid w:val="00CF6C13"/>
    <w:rsid w:val="00D05FB7"/>
    <w:rsid w:val="00D07C60"/>
    <w:rsid w:val="00D10368"/>
    <w:rsid w:val="00D11EBC"/>
    <w:rsid w:val="00D13AB1"/>
    <w:rsid w:val="00D201FF"/>
    <w:rsid w:val="00D20E8F"/>
    <w:rsid w:val="00D21A91"/>
    <w:rsid w:val="00D221E9"/>
    <w:rsid w:val="00D23212"/>
    <w:rsid w:val="00D23ED1"/>
    <w:rsid w:val="00D260A1"/>
    <w:rsid w:val="00D32FD6"/>
    <w:rsid w:val="00D35AA2"/>
    <w:rsid w:val="00D3726D"/>
    <w:rsid w:val="00D40798"/>
    <w:rsid w:val="00D4108E"/>
    <w:rsid w:val="00D424C9"/>
    <w:rsid w:val="00D44553"/>
    <w:rsid w:val="00D45844"/>
    <w:rsid w:val="00D46CA3"/>
    <w:rsid w:val="00D46FDD"/>
    <w:rsid w:val="00D4794A"/>
    <w:rsid w:val="00D501D3"/>
    <w:rsid w:val="00D51DC2"/>
    <w:rsid w:val="00D538BA"/>
    <w:rsid w:val="00D53AD7"/>
    <w:rsid w:val="00D53B49"/>
    <w:rsid w:val="00D5429D"/>
    <w:rsid w:val="00D57131"/>
    <w:rsid w:val="00D60F11"/>
    <w:rsid w:val="00D62627"/>
    <w:rsid w:val="00D65F8E"/>
    <w:rsid w:val="00D66404"/>
    <w:rsid w:val="00D702B0"/>
    <w:rsid w:val="00D72D6A"/>
    <w:rsid w:val="00D730FE"/>
    <w:rsid w:val="00D73DE6"/>
    <w:rsid w:val="00D74534"/>
    <w:rsid w:val="00D74705"/>
    <w:rsid w:val="00D74FF4"/>
    <w:rsid w:val="00D75705"/>
    <w:rsid w:val="00D815E3"/>
    <w:rsid w:val="00D81776"/>
    <w:rsid w:val="00D81E82"/>
    <w:rsid w:val="00D82918"/>
    <w:rsid w:val="00D836D3"/>
    <w:rsid w:val="00D83DD9"/>
    <w:rsid w:val="00D8567B"/>
    <w:rsid w:val="00D868FD"/>
    <w:rsid w:val="00D86AC6"/>
    <w:rsid w:val="00D91995"/>
    <w:rsid w:val="00D92DC6"/>
    <w:rsid w:val="00D933B3"/>
    <w:rsid w:val="00D9485A"/>
    <w:rsid w:val="00D96551"/>
    <w:rsid w:val="00DA026D"/>
    <w:rsid w:val="00DA1422"/>
    <w:rsid w:val="00DA1AD5"/>
    <w:rsid w:val="00DA2480"/>
    <w:rsid w:val="00DA409D"/>
    <w:rsid w:val="00DA43CE"/>
    <w:rsid w:val="00DA4FEE"/>
    <w:rsid w:val="00DA6985"/>
    <w:rsid w:val="00DA7D9F"/>
    <w:rsid w:val="00DB0291"/>
    <w:rsid w:val="00DB3F5A"/>
    <w:rsid w:val="00DB7797"/>
    <w:rsid w:val="00DC0BC9"/>
    <w:rsid w:val="00DC110D"/>
    <w:rsid w:val="00DC1EDA"/>
    <w:rsid w:val="00DC2E05"/>
    <w:rsid w:val="00DC40DA"/>
    <w:rsid w:val="00DC47E3"/>
    <w:rsid w:val="00DC5C36"/>
    <w:rsid w:val="00DC67D3"/>
    <w:rsid w:val="00DD23E0"/>
    <w:rsid w:val="00DD25AE"/>
    <w:rsid w:val="00DD318B"/>
    <w:rsid w:val="00DD3E58"/>
    <w:rsid w:val="00DD430C"/>
    <w:rsid w:val="00DD5A63"/>
    <w:rsid w:val="00DD6166"/>
    <w:rsid w:val="00DD6B68"/>
    <w:rsid w:val="00DD78CC"/>
    <w:rsid w:val="00DD7C7E"/>
    <w:rsid w:val="00DE0EE9"/>
    <w:rsid w:val="00DE223A"/>
    <w:rsid w:val="00DE300F"/>
    <w:rsid w:val="00DE45B6"/>
    <w:rsid w:val="00DE657A"/>
    <w:rsid w:val="00DF3A0C"/>
    <w:rsid w:val="00DF6F6E"/>
    <w:rsid w:val="00DF71AD"/>
    <w:rsid w:val="00DF7E3D"/>
    <w:rsid w:val="00E004F2"/>
    <w:rsid w:val="00E00CEF"/>
    <w:rsid w:val="00E0403B"/>
    <w:rsid w:val="00E0418F"/>
    <w:rsid w:val="00E04D86"/>
    <w:rsid w:val="00E06246"/>
    <w:rsid w:val="00E06DFB"/>
    <w:rsid w:val="00E107BA"/>
    <w:rsid w:val="00E10B4F"/>
    <w:rsid w:val="00E10B82"/>
    <w:rsid w:val="00E11EEE"/>
    <w:rsid w:val="00E154F8"/>
    <w:rsid w:val="00E15D97"/>
    <w:rsid w:val="00E16A4B"/>
    <w:rsid w:val="00E20393"/>
    <w:rsid w:val="00E20EBD"/>
    <w:rsid w:val="00E21622"/>
    <w:rsid w:val="00E21B50"/>
    <w:rsid w:val="00E22BF1"/>
    <w:rsid w:val="00E22C29"/>
    <w:rsid w:val="00E23189"/>
    <w:rsid w:val="00E237B5"/>
    <w:rsid w:val="00E255E1"/>
    <w:rsid w:val="00E25CA7"/>
    <w:rsid w:val="00E26537"/>
    <w:rsid w:val="00E270DF"/>
    <w:rsid w:val="00E27DD7"/>
    <w:rsid w:val="00E30BF1"/>
    <w:rsid w:val="00E317B7"/>
    <w:rsid w:val="00E3249E"/>
    <w:rsid w:val="00E37CE6"/>
    <w:rsid w:val="00E43090"/>
    <w:rsid w:val="00E449E8"/>
    <w:rsid w:val="00E472B1"/>
    <w:rsid w:val="00E50BEA"/>
    <w:rsid w:val="00E5334B"/>
    <w:rsid w:val="00E53520"/>
    <w:rsid w:val="00E53B93"/>
    <w:rsid w:val="00E55B53"/>
    <w:rsid w:val="00E55C27"/>
    <w:rsid w:val="00E55C90"/>
    <w:rsid w:val="00E56445"/>
    <w:rsid w:val="00E5671A"/>
    <w:rsid w:val="00E635F9"/>
    <w:rsid w:val="00E67C34"/>
    <w:rsid w:val="00E71B65"/>
    <w:rsid w:val="00E725E8"/>
    <w:rsid w:val="00E735FD"/>
    <w:rsid w:val="00E73899"/>
    <w:rsid w:val="00E73D46"/>
    <w:rsid w:val="00E764BD"/>
    <w:rsid w:val="00E819E0"/>
    <w:rsid w:val="00E82356"/>
    <w:rsid w:val="00E827DD"/>
    <w:rsid w:val="00E83965"/>
    <w:rsid w:val="00E841EB"/>
    <w:rsid w:val="00E87A0E"/>
    <w:rsid w:val="00E87FEB"/>
    <w:rsid w:val="00E903CD"/>
    <w:rsid w:val="00E9291B"/>
    <w:rsid w:val="00E93FFE"/>
    <w:rsid w:val="00E942F0"/>
    <w:rsid w:val="00E9443E"/>
    <w:rsid w:val="00E94B5A"/>
    <w:rsid w:val="00E94E74"/>
    <w:rsid w:val="00E95D53"/>
    <w:rsid w:val="00E96E24"/>
    <w:rsid w:val="00EA03C1"/>
    <w:rsid w:val="00EA2115"/>
    <w:rsid w:val="00EA3986"/>
    <w:rsid w:val="00EB01DA"/>
    <w:rsid w:val="00EB1EF3"/>
    <w:rsid w:val="00EB3389"/>
    <w:rsid w:val="00EB4759"/>
    <w:rsid w:val="00EB483C"/>
    <w:rsid w:val="00EB4B50"/>
    <w:rsid w:val="00EB4C78"/>
    <w:rsid w:val="00EB51AA"/>
    <w:rsid w:val="00EB56D4"/>
    <w:rsid w:val="00EB5D68"/>
    <w:rsid w:val="00EB6487"/>
    <w:rsid w:val="00EC2C2E"/>
    <w:rsid w:val="00EC3D34"/>
    <w:rsid w:val="00EC403B"/>
    <w:rsid w:val="00EC5805"/>
    <w:rsid w:val="00EC75C4"/>
    <w:rsid w:val="00EC7827"/>
    <w:rsid w:val="00EC7D57"/>
    <w:rsid w:val="00ED263B"/>
    <w:rsid w:val="00ED2E93"/>
    <w:rsid w:val="00ED370D"/>
    <w:rsid w:val="00ED5CC1"/>
    <w:rsid w:val="00EE30D6"/>
    <w:rsid w:val="00EE625C"/>
    <w:rsid w:val="00EF00A0"/>
    <w:rsid w:val="00EF04E8"/>
    <w:rsid w:val="00EF1314"/>
    <w:rsid w:val="00EF529C"/>
    <w:rsid w:val="00F01EA9"/>
    <w:rsid w:val="00F028D1"/>
    <w:rsid w:val="00F12913"/>
    <w:rsid w:val="00F13FFD"/>
    <w:rsid w:val="00F14E68"/>
    <w:rsid w:val="00F15342"/>
    <w:rsid w:val="00F16BFE"/>
    <w:rsid w:val="00F21972"/>
    <w:rsid w:val="00F2220D"/>
    <w:rsid w:val="00F22D96"/>
    <w:rsid w:val="00F24813"/>
    <w:rsid w:val="00F2568B"/>
    <w:rsid w:val="00F25B32"/>
    <w:rsid w:val="00F3260F"/>
    <w:rsid w:val="00F326EB"/>
    <w:rsid w:val="00F33A89"/>
    <w:rsid w:val="00F35316"/>
    <w:rsid w:val="00F36759"/>
    <w:rsid w:val="00F3723E"/>
    <w:rsid w:val="00F40415"/>
    <w:rsid w:val="00F413CC"/>
    <w:rsid w:val="00F42F76"/>
    <w:rsid w:val="00F43D22"/>
    <w:rsid w:val="00F443AB"/>
    <w:rsid w:val="00F46096"/>
    <w:rsid w:val="00F52C7B"/>
    <w:rsid w:val="00F55C84"/>
    <w:rsid w:val="00F56009"/>
    <w:rsid w:val="00F624D2"/>
    <w:rsid w:val="00F624EB"/>
    <w:rsid w:val="00F63B11"/>
    <w:rsid w:val="00F72CFA"/>
    <w:rsid w:val="00F7400D"/>
    <w:rsid w:val="00F76C16"/>
    <w:rsid w:val="00F779EB"/>
    <w:rsid w:val="00F8117E"/>
    <w:rsid w:val="00F84824"/>
    <w:rsid w:val="00F85230"/>
    <w:rsid w:val="00F87A41"/>
    <w:rsid w:val="00F9191A"/>
    <w:rsid w:val="00F92C10"/>
    <w:rsid w:val="00F93273"/>
    <w:rsid w:val="00F95581"/>
    <w:rsid w:val="00F97311"/>
    <w:rsid w:val="00FA05A4"/>
    <w:rsid w:val="00FA1830"/>
    <w:rsid w:val="00FA4FB7"/>
    <w:rsid w:val="00FA563B"/>
    <w:rsid w:val="00FA5931"/>
    <w:rsid w:val="00FA6180"/>
    <w:rsid w:val="00FA777D"/>
    <w:rsid w:val="00FB017D"/>
    <w:rsid w:val="00FB1876"/>
    <w:rsid w:val="00FB1D9E"/>
    <w:rsid w:val="00FB2112"/>
    <w:rsid w:val="00FB2803"/>
    <w:rsid w:val="00FB31DE"/>
    <w:rsid w:val="00FB46E5"/>
    <w:rsid w:val="00FB4798"/>
    <w:rsid w:val="00FB562C"/>
    <w:rsid w:val="00FB672F"/>
    <w:rsid w:val="00FB7699"/>
    <w:rsid w:val="00FC029D"/>
    <w:rsid w:val="00FC068C"/>
    <w:rsid w:val="00FC0AF4"/>
    <w:rsid w:val="00FC0F3F"/>
    <w:rsid w:val="00FC3114"/>
    <w:rsid w:val="00FC3197"/>
    <w:rsid w:val="00FC33F8"/>
    <w:rsid w:val="00FC3F6A"/>
    <w:rsid w:val="00FC4360"/>
    <w:rsid w:val="00FC65D3"/>
    <w:rsid w:val="00FC71A2"/>
    <w:rsid w:val="00FD1989"/>
    <w:rsid w:val="00FD29C6"/>
    <w:rsid w:val="00FD321F"/>
    <w:rsid w:val="00FD4FFE"/>
    <w:rsid w:val="00FD734F"/>
    <w:rsid w:val="00FD7D6F"/>
    <w:rsid w:val="00FE1C7E"/>
    <w:rsid w:val="00FE4474"/>
    <w:rsid w:val="00FE5E55"/>
    <w:rsid w:val="00FE669C"/>
    <w:rsid w:val="00FF1A03"/>
    <w:rsid w:val="00FF1FD0"/>
    <w:rsid w:val="00FF3F66"/>
    <w:rsid w:val="00FF580C"/>
    <w:rsid w:val="00FF6B76"/>
    <w:rsid w:val="00FF6E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E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C5"/>
    <w:rPr>
      <w:rFonts w:ascii="Arial" w:eastAsia="Arial" w:hAnsi="Arial" w:cs="Arial"/>
    </w:rPr>
  </w:style>
  <w:style w:type="paragraph" w:styleId="Balk1">
    <w:name w:val="heading 1"/>
    <w:basedOn w:val="Normal"/>
    <w:uiPriority w:val="9"/>
    <w:qFormat/>
    <w:pPr>
      <w:ind w:left="487" w:hanging="363"/>
      <w:outlineLvl w:val="0"/>
    </w:pPr>
    <w:rPr>
      <w:b/>
      <w:bCs/>
    </w:rPr>
  </w:style>
  <w:style w:type="paragraph" w:styleId="Balk2">
    <w:name w:val="heading 2"/>
    <w:basedOn w:val="Normal"/>
    <w:link w:val="Balk2Char"/>
    <w:uiPriority w:val="9"/>
    <w:unhideWhenUsed/>
    <w:qFormat/>
    <w:pPr>
      <w:ind w:left="487"/>
      <w:outlineLvl w:val="1"/>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13"/>
      <w:ind w:left="126" w:hanging="722"/>
    </w:pPr>
    <w:rPr>
      <w:sz w:val="21"/>
      <w:szCs w:val="21"/>
    </w:rPr>
  </w:style>
  <w:style w:type="paragraph" w:styleId="T2">
    <w:name w:val="toc 2"/>
    <w:basedOn w:val="Normal"/>
    <w:uiPriority w:val="1"/>
    <w:qFormat/>
    <w:pPr>
      <w:ind w:left="366" w:right="336"/>
    </w:pPr>
    <w:rPr>
      <w:sz w:val="21"/>
      <w:szCs w:val="21"/>
    </w:rPr>
  </w:style>
  <w:style w:type="paragraph" w:styleId="T3">
    <w:name w:val="toc 3"/>
    <w:basedOn w:val="Normal"/>
    <w:uiPriority w:val="1"/>
    <w:qFormat/>
    <w:pPr>
      <w:ind w:left="608" w:hanging="247"/>
    </w:pPr>
    <w:rPr>
      <w:sz w:val="21"/>
      <w:szCs w:val="21"/>
    </w:rPr>
  </w:style>
  <w:style w:type="paragraph" w:styleId="T4">
    <w:name w:val="toc 4"/>
    <w:basedOn w:val="Normal"/>
    <w:uiPriority w:val="1"/>
    <w:qFormat/>
    <w:pPr>
      <w:spacing w:line="242" w:lineRule="exact"/>
      <w:ind w:left="610"/>
    </w:pPr>
    <w:rPr>
      <w:i/>
      <w:iCs/>
      <w:sz w:val="21"/>
      <w:szCs w:val="21"/>
    </w:rPr>
  </w:style>
  <w:style w:type="paragraph" w:styleId="GvdeMetni">
    <w:name w:val="Body Text"/>
    <w:basedOn w:val="Normal"/>
    <w:link w:val="GvdeMetniChar"/>
    <w:uiPriority w:val="1"/>
    <w:qFormat/>
    <w:rPr>
      <w:sz w:val="21"/>
      <w:szCs w:val="21"/>
    </w:rPr>
  </w:style>
  <w:style w:type="paragraph" w:styleId="ListeParagraf">
    <w:name w:val="List Paragraph"/>
    <w:basedOn w:val="Normal"/>
    <w:uiPriority w:val="1"/>
    <w:qFormat/>
    <w:pPr>
      <w:ind w:left="123" w:firstLine="4"/>
      <w:jc w:val="both"/>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153E42"/>
    <w:rPr>
      <w:sz w:val="16"/>
      <w:szCs w:val="16"/>
    </w:rPr>
  </w:style>
  <w:style w:type="paragraph" w:styleId="AklamaMetni">
    <w:name w:val="annotation text"/>
    <w:basedOn w:val="Normal"/>
    <w:link w:val="AklamaMetniChar"/>
    <w:uiPriority w:val="99"/>
    <w:semiHidden/>
    <w:unhideWhenUsed/>
    <w:rsid w:val="00153E42"/>
    <w:rPr>
      <w:sz w:val="20"/>
      <w:szCs w:val="20"/>
    </w:rPr>
  </w:style>
  <w:style w:type="character" w:customStyle="1" w:styleId="AklamaMetniChar">
    <w:name w:val="Açıklama Metni Char"/>
    <w:basedOn w:val="VarsaylanParagrafYazTipi"/>
    <w:link w:val="AklamaMetni"/>
    <w:uiPriority w:val="99"/>
    <w:semiHidden/>
    <w:rsid w:val="00153E42"/>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153E42"/>
    <w:rPr>
      <w:b/>
      <w:bCs/>
    </w:rPr>
  </w:style>
  <w:style w:type="character" w:customStyle="1" w:styleId="AklamaKonusuChar">
    <w:name w:val="Açıklama Konusu Char"/>
    <w:basedOn w:val="AklamaMetniChar"/>
    <w:link w:val="AklamaKonusu"/>
    <w:uiPriority w:val="99"/>
    <w:semiHidden/>
    <w:rsid w:val="00153E42"/>
    <w:rPr>
      <w:rFonts w:ascii="Arial" w:eastAsia="Arial" w:hAnsi="Arial" w:cs="Arial"/>
      <w:b/>
      <w:bCs/>
      <w:sz w:val="20"/>
      <w:szCs w:val="20"/>
    </w:rPr>
  </w:style>
  <w:style w:type="paragraph" w:styleId="stBilgi">
    <w:name w:val="header"/>
    <w:basedOn w:val="Normal"/>
    <w:link w:val="stBilgiChar"/>
    <w:uiPriority w:val="99"/>
    <w:unhideWhenUsed/>
    <w:rsid w:val="00410DF8"/>
    <w:pPr>
      <w:tabs>
        <w:tab w:val="center" w:pos="4536"/>
        <w:tab w:val="right" w:pos="9072"/>
      </w:tabs>
    </w:pPr>
  </w:style>
  <w:style w:type="character" w:customStyle="1" w:styleId="stBilgiChar">
    <w:name w:val="Üst Bilgi Char"/>
    <w:basedOn w:val="VarsaylanParagrafYazTipi"/>
    <w:link w:val="stBilgi"/>
    <w:uiPriority w:val="99"/>
    <w:rsid w:val="00410DF8"/>
    <w:rPr>
      <w:rFonts w:ascii="Arial" w:eastAsia="Arial" w:hAnsi="Arial" w:cs="Arial"/>
    </w:rPr>
  </w:style>
  <w:style w:type="paragraph" w:styleId="AltBilgi">
    <w:name w:val="footer"/>
    <w:basedOn w:val="Normal"/>
    <w:link w:val="AltBilgiChar"/>
    <w:uiPriority w:val="99"/>
    <w:unhideWhenUsed/>
    <w:rsid w:val="00410DF8"/>
    <w:pPr>
      <w:tabs>
        <w:tab w:val="center" w:pos="4536"/>
        <w:tab w:val="right" w:pos="9072"/>
      </w:tabs>
    </w:pPr>
  </w:style>
  <w:style w:type="character" w:customStyle="1" w:styleId="AltBilgiChar">
    <w:name w:val="Alt Bilgi Char"/>
    <w:basedOn w:val="VarsaylanParagrafYazTipi"/>
    <w:link w:val="AltBilgi"/>
    <w:uiPriority w:val="99"/>
    <w:rsid w:val="00410DF8"/>
    <w:rPr>
      <w:rFonts w:ascii="Arial" w:eastAsia="Arial" w:hAnsi="Arial" w:cs="Arial"/>
    </w:rPr>
  </w:style>
  <w:style w:type="paragraph" w:styleId="DipnotMetni">
    <w:name w:val="footnote text"/>
    <w:basedOn w:val="Normal"/>
    <w:link w:val="DipnotMetniChar"/>
    <w:uiPriority w:val="99"/>
    <w:unhideWhenUsed/>
    <w:rsid w:val="00FB562C"/>
    <w:rPr>
      <w:sz w:val="20"/>
      <w:szCs w:val="20"/>
    </w:rPr>
  </w:style>
  <w:style w:type="character" w:customStyle="1" w:styleId="DipnotMetniChar">
    <w:name w:val="Dipnot Metni Char"/>
    <w:basedOn w:val="VarsaylanParagrafYazTipi"/>
    <w:link w:val="DipnotMetni"/>
    <w:uiPriority w:val="99"/>
    <w:rsid w:val="00FB562C"/>
    <w:rPr>
      <w:rFonts w:ascii="Arial" w:eastAsia="Arial" w:hAnsi="Arial" w:cs="Arial"/>
      <w:sz w:val="20"/>
      <w:szCs w:val="20"/>
    </w:rPr>
  </w:style>
  <w:style w:type="character" w:styleId="DipnotBavurusu">
    <w:name w:val="footnote reference"/>
    <w:basedOn w:val="VarsaylanParagrafYazTipi"/>
    <w:uiPriority w:val="99"/>
    <w:semiHidden/>
    <w:unhideWhenUsed/>
    <w:rsid w:val="00FB562C"/>
    <w:rPr>
      <w:vertAlign w:val="superscript"/>
    </w:rPr>
  </w:style>
  <w:style w:type="character" w:customStyle="1" w:styleId="Balk2Char">
    <w:name w:val="Başlık 2 Char"/>
    <w:basedOn w:val="VarsaylanParagrafYazTipi"/>
    <w:link w:val="Balk2"/>
    <w:uiPriority w:val="9"/>
    <w:rsid w:val="00E0403B"/>
    <w:rPr>
      <w:rFonts w:ascii="Arial" w:eastAsia="Arial" w:hAnsi="Arial" w:cs="Arial"/>
      <w:b/>
      <w:bCs/>
      <w:sz w:val="21"/>
      <w:szCs w:val="21"/>
    </w:rPr>
  </w:style>
  <w:style w:type="character" w:styleId="Kpr">
    <w:name w:val="Hyperlink"/>
    <w:basedOn w:val="VarsaylanParagrafYazTipi"/>
    <w:uiPriority w:val="99"/>
    <w:unhideWhenUsed/>
    <w:rsid w:val="00FA6180"/>
    <w:rPr>
      <w:color w:val="0000FF" w:themeColor="hyperlink"/>
      <w:u w:val="single"/>
    </w:rPr>
  </w:style>
  <w:style w:type="character" w:customStyle="1" w:styleId="UnresolvedMention">
    <w:name w:val="Unresolved Mention"/>
    <w:basedOn w:val="VarsaylanParagrafYazTipi"/>
    <w:uiPriority w:val="99"/>
    <w:semiHidden/>
    <w:unhideWhenUsed/>
    <w:rsid w:val="00FA6180"/>
    <w:rPr>
      <w:color w:val="605E5C"/>
      <w:shd w:val="clear" w:color="auto" w:fill="E1DFDD"/>
    </w:rPr>
  </w:style>
  <w:style w:type="paragraph" w:customStyle="1" w:styleId="metin">
    <w:name w:val="metin"/>
    <w:basedOn w:val="Normal"/>
    <w:rsid w:val="00C74A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FB017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B017D"/>
    <w:rPr>
      <w:rFonts w:ascii="Times New Roman" w:eastAsia="Arial" w:hAnsi="Times New Roman" w:cs="Times New Roman"/>
      <w:sz w:val="18"/>
      <w:szCs w:val="18"/>
    </w:rPr>
  </w:style>
  <w:style w:type="character" w:customStyle="1" w:styleId="GvdeMetniChar">
    <w:name w:val="Gövde Metni Char"/>
    <w:basedOn w:val="VarsaylanParagrafYazTipi"/>
    <w:link w:val="GvdeMetni"/>
    <w:uiPriority w:val="1"/>
    <w:rsid w:val="00FB017D"/>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0767">
      <w:bodyDiv w:val="1"/>
      <w:marLeft w:val="0"/>
      <w:marRight w:val="0"/>
      <w:marTop w:val="0"/>
      <w:marBottom w:val="0"/>
      <w:divBdr>
        <w:top w:val="none" w:sz="0" w:space="0" w:color="auto"/>
        <w:left w:val="none" w:sz="0" w:space="0" w:color="auto"/>
        <w:bottom w:val="none" w:sz="0" w:space="0" w:color="auto"/>
        <w:right w:val="none" w:sz="0" w:space="0" w:color="auto"/>
      </w:divBdr>
    </w:div>
    <w:div w:id="178284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enice.coe.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coi.net/en/file/local/2050294/doc.%2B15272.pdf" TargetMode="External"/><Relationship Id="rId2" Type="http://schemas.openxmlformats.org/officeDocument/2006/relationships/hyperlink" Target="http://www.ecoi.net/en/file/local/2050294/doc.%2B15272.pdf" TargetMode="External"/><Relationship Id="rId1" Type="http://schemas.openxmlformats.org/officeDocument/2006/relationships/hyperlink" Target="http://www.ecoi.net/en/file/local/2050294/doc.%2B15272.pdf" TargetMode="External"/><Relationship Id="rId6" Type="http://schemas.openxmlformats.org/officeDocument/2006/relationships/hyperlink" Target="https://www.statewatch.org/media/documents/analyses/no-171-%20fafp-report.pdf" TargetMode="External"/><Relationship Id="rId5" Type="http://schemas.openxmlformats.org/officeDocument/2006/relationships/hyperlink" Target="https://undocs.org/S/RES/1540(2004)" TargetMode="External"/><Relationship Id="rId4" Type="http://schemas.openxmlformats.org/officeDocument/2006/relationships/hyperlink" Target="https://undocs.org/S/RES/1373(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0DB7-D776-429D-9C8B-254666F6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9945</Words>
  <Characters>56692</Characters>
  <Application>Microsoft Office Word</Application>
  <DocSecurity>0</DocSecurity>
  <Lines>472</Lines>
  <Paragraphs>133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2021-11-09T07:27:00Z</dcterms:created>
  <dcterms:modified xsi:type="dcterms:W3CDTF">2021-11-09T07:27:00Z</dcterms:modified>
</cp:coreProperties>
</file>