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417AC1" w14:paraId="7740E1E4" w14:textId="77777777" w:rsidTr="00CA1AEA">
        <w:trPr>
          <w:cantSplit/>
          <w:trHeight w:hRule="exact" w:val="851"/>
        </w:trPr>
        <w:tc>
          <w:tcPr>
            <w:tcW w:w="1276" w:type="dxa"/>
            <w:tcBorders>
              <w:bottom w:val="single" w:sz="4" w:space="0" w:color="auto"/>
            </w:tcBorders>
            <w:vAlign w:val="bottom"/>
          </w:tcPr>
          <w:p w14:paraId="3AA62111" w14:textId="77777777" w:rsidR="00165C15" w:rsidRPr="00417AC1" w:rsidRDefault="00165C15" w:rsidP="00CA1AEA">
            <w:pPr>
              <w:spacing w:after="80"/>
              <w:rPr>
                <w:lang w:val="tr-TR"/>
              </w:rPr>
            </w:pPr>
          </w:p>
        </w:tc>
        <w:tc>
          <w:tcPr>
            <w:tcW w:w="2268" w:type="dxa"/>
            <w:tcBorders>
              <w:bottom w:val="single" w:sz="4" w:space="0" w:color="auto"/>
            </w:tcBorders>
            <w:vAlign w:val="bottom"/>
          </w:tcPr>
          <w:p w14:paraId="124F6C02" w14:textId="77777777" w:rsidR="00165C15" w:rsidRPr="00417AC1" w:rsidRDefault="00165C15" w:rsidP="00CA1AEA">
            <w:pPr>
              <w:spacing w:after="80" w:line="300" w:lineRule="exact"/>
              <w:rPr>
                <w:b/>
                <w:sz w:val="24"/>
                <w:szCs w:val="24"/>
                <w:lang w:val="tr-TR"/>
              </w:rPr>
            </w:pPr>
            <w:r w:rsidRPr="00417AC1">
              <w:rPr>
                <w:sz w:val="28"/>
                <w:szCs w:val="28"/>
                <w:lang w:val="tr-TR"/>
              </w:rPr>
              <w:t>Birleşmiş Milletler</w:t>
            </w:r>
          </w:p>
        </w:tc>
        <w:tc>
          <w:tcPr>
            <w:tcW w:w="6095" w:type="dxa"/>
            <w:gridSpan w:val="2"/>
            <w:tcBorders>
              <w:bottom w:val="single" w:sz="4" w:space="0" w:color="auto"/>
            </w:tcBorders>
            <w:vAlign w:val="bottom"/>
          </w:tcPr>
          <w:p w14:paraId="0BEF529C" w14:textId="77777777" w:rsidR="00165C15" w:rsidRPr="00417AC1" w:rsidRDefault="00856523" w:rsidP="00856523">
            <w:pPr>
              <w:suppressAutoHyphens w:val="0"/>
              <w:spacing w:after="20"/>
              <w:jc w:val="right"/>
              <w:rPr>
                <w:lang w:val="tr-TR"/>
              </w:rPr>
            </w:pPr>
            <w:r w:rsidRPr="00417AC1">
              <w:rPr>
                <w:sz w:val="40"/>
                <w:lang w:val="tr-TR"/>
              </w:rPr>
              <w:t xml:space="preserve">CCPR </w:t>
            </w:r>
            <w:r w:rsidRPr="00417AC1">
              <w:rPr>
                <w:lang w:val="tr-TR"/>
              </w:rPr>
              <w:t>/C/TUR/2</w:t>
            </w:r>
          </w:p>
        </w:tc>
      </w:tr>
      <w:tr w:rsidR="00165C15" w:rsidRPr="00417AC1" w14:paraId="78DFE6AD" w14:textId="77777777" w:rsidTr="00CA1AEA">
        <w:trPr>
          <w:cantSplit/>
          <w:trHeight w:hRule="exact" w:val="2835"/>
        </w:trPr>
        <w:tc>
          <w:tcPr>
            <w:tcW w:w="1276" w:type="dxa"/>
            <w:tcBorders>
              <w:top w:val="single" w:sz="4" w:space="0" w:color="auto"/>
              <w:bottom w:val="single" w:sz="12" w:space="0" w:color="auto"/>
            </w:tcBorders>
          </w:tcPr>
          <w:p w14:paraId="0F26E303" w14:textId="77777777" w:rsidR="00165C15" w:rsidRPr="00417AC1" w:rsidRDefault="00165C15" w:rsidP="00CA1AEA">
            <w:pPr>
              <w:spacing w:before="120"/>
              <w:rPr>
                <w:lang w:val="tr-TR"/>
              </w:rPr>
            </w:pPr>
            <w:r w:rsidRPr="00417AC1">
              <w:rPr>
                <w:lang w:val="tr-TR" w:eastAsia="fr-CH"/>
              </w:rPr>
              <w:drawing>
                <wp:inline distT="0" distB="0" distL="0" distR="0" wp14:anchorId="5FB1BC73" wp14:editId="409783E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FB53E" w14:textId="77777777" w:rsidR="00165C15" w:rsidRPr="00417AC1" w:rsidRDefault="00165C15" w:rsidP="00CA1AEA">
            <w:pPr>
              <w:spacing w:before="120" w:line="380" w:lineRule="exact"/>
              <w:rPr>
                <w:sz w:val="34"/>
                <w:lang w:val="tr-TR"/>
              </w:rPr>
            </w:pPr>
            <w:r w:rsidRPr="00417AC1">
              <w:rPr>
                <w:b/>
                <w:sz w:val="34"/>
                <w:szCs w:val="40"/>
                <w:lang w:val="tr-TR"/>
              </w:rPr>
              <w:t>Medeni Haklar ve Siyasi Haklar Uluslararası Sözleşmesi</w:t>
            </w:r>
            <w:r w:rsidRPr="00417AC1">
              <w:rPr>
                <w:b/>
                <w:sz w:val="34"/>
                <w:szCs w:val="40"/>
                <w:lang w:val="tr-TR"/>
              </w:rPr>
              <w:br/>
            </w:r>
          </w:p>
        </w:tc>
        <w:tc>
          <w:tcPr>
            <w:tcW w:w="2835" w:type="dxa"/>
            <w:tcBorders>
              <w:top w:val="single" w:sz="4" w:space="0" w:color="auto"/>
              <w:bottom w:val="single" w:sz="12" w:space="0" w:color="auto"/>
            </w:tcBorders>
          </w:tcPr>
          <w:p w14:paraId="3AAF4532" w14:textId="77777777" w:rsidR="00856523" w:rsidRPr="00417AC1" w:rsidRDefault="00856523" w:rsidP="00856523">
            <w:pPr>
              <w:suppressAutoHyphens w:val="0"/>
              <w:spacing w:before="240" w:line="240" w:lineRule="exact"/>
              <w:rPr>
                <w:lang w:val="tr-TR"/>
              </w:rPr>
            </w:pPr>
            <w:r w:rsidRPr="00417AC1">
              <w:rPr>
                <w:lang w:val="tr-TR"/>
              </w:rPr>
              <w:t>Dağıtım: Genel</w:t>
            </w:r>
          </w:p>
          <w:p w14:paraId="70FE549F" w14:textId="4894575C" w:rsidR="00856523" w:rsidRPr="00417AC1" w:rsidRDefault="0002030C" w:rsidP="00856523">
            <w:pPr>
              <w:suppressAutoHyphens w:val="0"/>
              <w:rPr>
                <w:lang w:val="tr-TR"/>
              </w:rPr>
            </w:pPr>
            <w:r w:rsidRPr="00417AC1">
              <w:rPr>
                <w:lang w:val="tr-TR"/>
              </w:rPr>
              <w:t>28 Nisan 2023</w:t>
            </w:r>
          </w:p>
          <w:p w14:paraId="68014036" w14:textId="77777777" w:rsidR="00856523" w:rsidRPr="00417AC1" w:rsidRDefault="00856523" w:rsidP="00856523">
            <w:pPr>
              <w:suppressAutoHyphens w:val="0"/>
              <w:rPr>
                <w:lang w:val="tr-TR"/>
              </w:rPr>
            </w:pPr>
          </w:p>
          <w:p w14:paraId="1309398D" w14:textId="77777777" w:rsidR="00856523" w:rsidRPr="00417AC1" w:rsidRDefault="00856523" w:rsidP="00856523">
            <w:pPr>
              <w:suppressAutoHyphens w:val="0"/>
              <w:rPr>
                <w:lang w:val="tr-TR"/>
              </w:rPr>
            </w:pPr>
            <w:r w:rsidRPr="00417AC1">
              <w:rPr>
                <w:lang w:val="tr-TR"/>
              </w:rPr>
              <w:t>Orijinal: İngilizce</w:t>
            </w:r>
          </w:p>
          <w:p w14:paraId="417321AE" w14:textId="63F19935" w:rsidR="00856523" w:rsidRPr="00417AC1" w:rsidRDefault="00856523" w:rsidP="00856523">
            <w:pPr>
              <w:suppressAutoHyphens w:val="0"/>
              <w:rPr>
                <w:lang w:val="tr-TR"/>
              </w:rPr>
            </w:pPr>
            <w:r w:rsidRPr="00417AC1">
              <w:rPr>
                <w:lang w:val="tr-TR"/>
              </w:rPr>
              <w:t>Yalnızca İngilizce, Fransızca ve İspanyolca</w:t>
            </w:r>
          </w:p>
        </w:tc>
      </w:tr>
    </w:tbl>
    <w:p w14:paraId="77283089" w14:textId="77777777" w:rsidR="00856523" w:rsidRPr="00417AC1" w:rsidRDefault="00856523" w:rsidP="00856523">
      <w:pPr>
        <w:spacing w:before="120"/>
        <w:rPr>
          <w:b/>
          <w:sz w:val="24"/>
          <w:szCs w:val="24"/>
          <w:lang w:val="tr-TR"/>
        </w:rPr>
      </w:pPr>
      <w:r w:rsidRPr="00417AC1">
        <w:rPr>
          <w:b/>
          <w:sz w:val="24"/>
          <w:szCs w:val="24"/>
          <w:lang w:val="tr-TR"/>
        </w:rPr>
        <w:t>İnsan Hakları Komitesi</w:t>
      </w:r>
    </w:p>
    <w:p w14:paraId="5BDAFB1E" w14:textId="77777777" w:rsidR="00856523" w:rsidRPr="00417AC1" w:rsidRDefault="00856523" w:rsidP="00856523">
      <w:pPr>
        <w:pStyle w:val="HMG"/>
        <w:rPr>
          <w:lang w:val="tr-TR"/>
        </w:rPr>
      </w:pPr>
      <w:r w:rsidRPr="00417AC1">
        <w:rPr>
          <w:lang w:val="tr-TR"/>
        </w:rPr>
        <w:tab/>
      </w:r>
      <w:r w:rsidRPr="00417AC1">
        <w:rPr>
          <w:lang w:val="tr-TR"/>
        </w:rPr>
        <w:tab/>
        <w:t xml:space="preserve">Türkiye'nin Sözleşme'nin 40. maddesi uyarınca isteğe bağlı raporlama usulü uyarınca sunduğu ikinci periyodik raporun 2022'de yayınlanması planlanıyor </w:t>
      </w:r>
      <w:r w:rsidRPr="00417AC1">
        <w:rPr>
          <w:rStyle w:val="FootnoteReference"/>
          <w:b w:val="0"/>
          <w:sz w:val="20"/>
          <w:vertAlign w:val="baseline"/>
          <w:lang w:val="tr-TR"/>
        </w:rPr>
        <w:t>*</w:t>
      </w:r>
    </w:p>
    <w:p w14:paraId="7AE097C5" w14:textId="77777777" w:rsidR="00856523" w:rsidRPr="00417AC1" w:rsidRDefault="00856523" w:rsidP="00856523">
      <w:pPr>
        <w:pStyle w:val="SingleTxtG"/>
        <w:jc w:val="right"/>
        <w:rPr>
          <w:lang w:val="tr-TR"/>
        </w:rPr>
      </w:pPr>
      <w:r w:rsidRPr="00417AC1">
        <w:rPr>
          <w:lang w:val="tr-TR"/>
        </w:rPr>
        <w:footnoteReference w:customMarkFollows="1" w:id="1"/>
        <w:t>[Alındığı tarih: 3 Ağustos 2022]</w:t>
      </w:r>
    </w:p>
    <w:p w14:paraId="152B53A9" w14:textId="77777777" w:rsidR="00856523" w:rsidRPr="00417AC1" w:rsidRDefault="00856523" w:rsidP="00856523">
      <w:pPr>
        <w:suppressAutoHyphens w:val="0"/>
        <w:spacing w:after="200" w:line="276" w:lineRule="auto"/>
        <w:rPr>
          <w:rFonts w:eastAsiaTheme="minorHAnsi"/>
          <w:lang w:val="tr-TR"/>
        </w:rPr>
      </w:pPr>
      <w:r w:rsidRPr="00417AC1">
        <w:rPr>
          <w:lang w:val="tr-TR"/>
        </w:rPr>
        <w:br w:type="page"/>
      </w:r>
    </w:p>
    <w:p w14:paraId="3A352DDF" w14:textId="77777777" w:rsidR="00856523" w:rsidRPr="00417AC1" w:rsidRDefault="00856523" w:rsidP="00856523">
      <w:pPr>
        <w:pStyle w:val="HChG"/>
        <w:rPr>
          <w:lang w:val="tr-TR"/>
        </w:rPr>
      </w:pPr>
      <w:r w:rsidRPr="00417AC1">
        <w:rPr>
          <w:lang w:val="tr-TR"/>
        </w:rPr>
        <w:lastRenderedPageBreak/>
        <w:tab/>
      </w:r>
      <w:r w:rsidRPr="00417AC1">
        <w:rPr>
          <w:lang w:val="tr-TR"/>
        </w:rPr>
        <w:tab/>
        <w:t>Kısaltmalar</w:t>
      </w:r>
    </w:p>
    <w:p w14:paraId="252D95AF" w14:textId="77777777" w:rsidR="00856523" w:rsidRPr="00417AC1" w:rsidRDefault="00856523" w:rsidP="00821185">
      <w:pPr>
        <w:pStyle w:val="SingleTxtG"/>
        <w:spacing w:line="220" w:lineRule="atLeast"/>
        <w:rPr>
          <w:lang w:val="tr-TR"/>
        </w:rPr>
      </w:pPr>
      <w:r w:rsidRPr="00417AC1">
        <w:rPr>
          <w:lang w:val="tr-TR"/>
        </w:rPr>
        <w:t xml:space="preserve">ATL </w:t>
      </w:r>
      <w:r w:rsidRPr="00417AC1">
        <w:rPr>
          <w:lang w:val="tr-TR"/>
        </w:rPr>
        <w:tab/>
      </w:r>
      <w:r w:rsidRPr="00417AC1">
        <w:rPr>
          <w:lang w:val="tr-TR"/>
        </w:rPr>
        <w:tab/>
      </w:r>
      <w:r w:rsidRPr="00417AC1">
        <w:rPr>
          <w:lang w:val="tr-TR"/>
        </w:rPr>
        <w:tab/>
        <w:t>Terörle Mücadele Kanunu</w:t>
      </w:r>
    </w:p>
    <w:p w14:paraId="60D433F6" w14:textId="77777777" w:rsidR="00856523" w:rsidRPr="00417AC1" w:rsidRDefault="00856523" w:rsidP="00821185">
      <w:pPr>
        <w:pStyle w:val="SingleTxtG"/>
        <w:spacing w:line="220" w:lineRule="atLeast"/>
        <w:rPr>
          <w:lang w:val="tr-TR"/>
        </w:rPr>
      </w:pPr>
      <w:r w:rsidRPr="00417AC1">
        <w:rPr>
          <w:lang w:val="tr-TR"/>
        </w:rPr>
        <w:t xml:space="preserve">CoE </w:t>
      </w:r>
      <w:r w:rsidRPr="00417AC1">
        <w:rPr>
          <w:lang w:val="tr-TR"/>
        </w:rPr>
        <w:tab/>
      </w:r>
      <w:r w:rsidRPr="00417AC1">
        <w:rPr>
          <w:lang w:val="tr-TR"/>
        </w:rPr>
        <w:tab/>
      </w:r>
      <w:r w:rsidRPr="00417AC1">
        <w:rPr>
          <w:lang w:val="tr-TR"/>
        </w:rPr>
        <w:tab/>
        <w:t>Avrupa Konseyi</w:t>
      </w:r>
    </w:p>
    <w:p w14:paraId="47DA58F5" w14:textId="77777777" w:rsidR="00856523" w:rsidRPr="00417AC1" w:rsidRDefault="00856523" w:rsidP="00821185">
      <w:pPr>
        <w:pStyle w:val="SingleTxtG"/>
        <w:spacing w:line="220" w:lineRule="atLeast"/>
        <w:rPr>
          <w:lang w:val="tr-TR"/>
        </w:rPr>
      </w:pPr>
      <w:r w:rsidRPr="00417AC1">
        <w:rPr>
          <w:lang w:val="tr-TR"/>
        </w:rPr>
        <w:t xml:space="preserve">CCt </w:t>
      </w:r>
      <w:r w:rsidRPr="00417AC1">
        <w:rPr>
          <w:lang w:val="tr-TR"/>
        </w:rPr>
        <w:tab/>
      </w:r>
      <w:r w:rsidRPr="00417AC1">
        <w:rPr>
          <w:lang w:val="tr-TR"/>
        </w:rPr>
        <w:tab/>
      </w:r>
      <w:r w:rsidRPr="00417AC1">
        <w:rPr>
          <w:lang w:val="tr-TR"/>
        </w:rPr>
        <w:tab/>
        <w:t>Anayasa Mahkemesi</w:t>
      </w:r>
    </w:p>
    <w:p w14:paraId="1E937AC2" w14:textId="77777777" w:rsidR="00856523" w:rsidRPr="00417AC1" w:rsidRDefault="00856523" w:rsidP="00821185">
      <w:pPr>
        <w:pStyle w:val="SingleTxtG"/>
        <w:spacing w:line="220" w:lineRule="atLeast"/>
        <w:rPr>
          <w:lang w:val="tr-TR"/>
        </w:rPr>
      </w:pPr>
      <w:r w:rsidRPr="00417AC1">
        <w:rPr>
          <w:lang w:val="tr-TR"/>
        </w:rPr>
        <w:t xml:space="preserve">ÇKP </w:t>
      </w:r>
      <w:r w:rsidRPr="00417AC1">
        <w:rPr>
          <w:lang w:val="tr-TR"/>
        </w:rPr>
        <w:tab/>
      </w:r>
      <w:r w:rsidRPr="00417AC1">
        <w:rPr>
          <w:lang w:val="tr-TR"/>
        </w:rPr>
        <w:tab/>
      </w:r>
      <w:r w:rsidRPr="00417AC1">
        <w:rPr>
          <w:lang w:val="tr-TR"/>
        </w:rPr>
        <w:tab/>
        <w:t>Ceza Usul Kanunu</w:t>
      </w:r>
    </w:p>
    <w:p w14:paraId="1AD93075" w14:textId="71274FB8" w:rsidR="00856523" w:rsidRPr="00417AC1" w:rsidRDefault="00856523" w:rsidP="00821185">
      <w:pPr>
        <w:pStyle w:val="SingleTxtG"/>
        <w:spacing w:line="220" w:lineRule="atLeast"/>
        <w:ind w:left="2835" w:hanging="1701"/>
        <w:rPr>
          <w:lang w:val="tr-TR"/>
        </w:rPr>
      </w:pPr>
      <w:r w:rsidRPr="00417AC1">
        <w:rPr>
          <w:lang w:val="tr-TR"/>
        </w:rPr>
        <w:t>Kadınlara Karşı Her Türlü Ayrımcılığın Ortadan Kaldırılmasına İlişkin CEDAW Sözleşmesi</w:t>
      </w:r>
      <w:r w:rsidRPr="00417AC1">
        <w:rPr>
          <w:lang w:val="tr-TR"/>
        </w:rPr>
        <w:tab/>
      </w:r>
    </w:p>
    <w:p w14:paraId="1924B307" w14:textId="77777777" w:rsidR="00856523" w:rsidRPr="00417AC1" w:rsidRDefault="00856523" w:rsidP="00821185">
      <w:pPr>
        <w:pStyle w:val="SingleTxtG"/>
        <w:spacing w:line="220" w:lineRule="atLeast"/>
        <w:rPr>
          <w:lang w:val="tr-TR"/>
        </w:rPr>
      </w:pPr>
      <w:r w:rsidRPr="00417AC1">
        <w:rPr>
          <w:lang w:val="tr-TR"/>
        </w:rPr>
        <w:t xml:space="preserve">HSK </w:t>
      </w:r>
      <w:r w:rsidRPr="00417AC1">
        <w:rPr>
          <w:lang w:val="tr-TR"/>
        </w:rPr>
        <w:tab/>
      </w:r>
      <w:r w:rsidRPr="00417AC1">
        <w:rPr>
          <w:lang w:val="tr-TR"/>
        </w:rPr>
        <w:tab/>
      </w:r>
      <w:r w:rsidRPr="00417AC1">
        <w:rPr>
          <w:lang w:val="tr-TR"/>
        </w:rPr>
        <w:tab/>
        <w:t>Hakimler ve Savcılar Kurulu</w:t>
      </w:r>
    </w:p>
    <w:p w14:paraId="2FF4C1B3" w14:textId="77777777" w:rsidR="00856523" w:rsidRPr="00417AC1" w:rsidRDefault="00856523" w:rsidP="00821185">
      <w:pPr>
        <w:pStyle w:val="SingleTxtG"/>
        <w:spacing w:line="220" w:lineRule="atLeast"/>
        <w:rPr>
          <w:lang w:val="tr-TR"/>
        </w:rPr>
      </w:pPr>
      <w:r w:rsidRPr="00417AC1">
        <w:rPr>
          <w:lang w:val="tr-TR"/>
        </w:rPr>
        <w:t xml:space="preserve">CPT </w:t>
      </w:r>
      <w:r w:rsidRPr="00417AC1">
        <w:rPr>
          <w:lang w:val="tr-TR"/>
        </w:rPr>
        <w:tab/>
      </w:r>
      <w:r w:rsidRPr="00417AC1">
        <w:rPr>
          <w:lang w:val="tr-TR"/>
        </w:rPr>
        <w:tab/>
      </w:r>
      <w:r w:rsidRPr="00417AC1">
        <w:rPr>
          <w:lang w:val="tr-TR"/>
        </w:rPr>
        <w:tab/>
        <w:t>Avrupa İşkenceyi Önleme Komitesi</w:t>
      </w:r>
    </w:p>
    <w:p w14:paraId="5BB7C5AB" w14:textId="77777777" w:rsidR="00856523" w:rsidRPr="00417AC1" w:rsidRDefault="00856523" w:rsidP="00821185">
      <w:pPr>
        <w:pStyle w:val="SingleTxtG"/>
        <w:spacing w:line="220" w:lineRule="atLeast"/>
        <w:rPr>
          <w:lang w:val="tr-TR"/>
        </w:rPr>
      </w:pPr>
      <w:r w:rsidRPr="00417AC1">
        <w:rPr>
          <w:lang w:val="tr-TR"/>
        </w:rPr>
        <w:t xml:space="preserve">AİHM </w:t>
      </w:r>
      <w:r w:rsidRPr="00417AC1">
        <w:rPr>
          <w:lang w:val="tr-TR"/>
        </w:rPr>
        <w:tab/>
      </w:r>
      <w:r w:rsidRPr="00417AC1">
        <w:rPr>
          <w:lang w:val="tr-TR"/>
        </w:rPr>
        <w:tab/>
      </w:r>
      <w:r w:rsidRPr="00417AC1">
        <w:rPr>
          <w:lang w:val="tr-TR"/>
        </w:rPr>
        <w:tab/>
        <w:t>Avrupa İnsan Hakları Sözleşmesi</w:t>
      </w:r>
    </w:p>
    <w:p w14:paraId="34272290" w14:textId="0C2A3112" w:rsidR="00856523" w:rsidRPr="00417AC1" w:rsidRDefault="00856523" w:rsidP="00821185">
      <w:pPr>
        <w:pStyle w:val="SingleTxtG"/>
        <w:spacing w:line="220" w:lineRule="atLeast"/>
        <w:rPr>
          <w:lang w:val="tr-TR"/>
        </w:rPr>
      </w:pPr>
      <w:r w:rsidRPr="00417AC1">
        <w:rPr>
          <w:lang w:val="tr-TR"/>
        </w:rPr>
        <w:t xml:space="preserve">AİHM </w:t>
      </w:r>
      <w:r w:rsidRPr="00417AC1">
        <w:rPr>
          <w:lang w:val="tr-TR"/>
        </w:rPr>
        <w:tab/>
      </w:r>
      <w:r w:rsidRPr="00417AC1">
        <w:rPr>
          <w:lang w:val="tr-TR"/>
        </w:rPr>
        <w:tab/>
        <w:t>Avrupa İnsan Hakları Mahkemesi</w:t>
      </w:r>
    </w:p>
    <w:p w14:paraId="5C65C84D" w14:textId="77777777" w:rsidR="00856523" w:rsidRPr="00417AC1" w:rsidRDefault="00856523" w:rsidP="00821185">
      <w:pPr>
        <w:pStyle w:val="SingleTxtG"/>
        <w:spacing w:line="220" w:lineRule="atLeast"/>
        <w:rPr>
          <w:lang w:val="tr-TR"/>
        </w:rPr>
      </w:pPr>
      <w:r w:rsidRPr="00417AC1">
        <w:rPr>
          <w:lang w:val="tr-TR"/>
        </w:rPr>
        <w:t xml:space="preserve">EKAP </w:t>
      </w:r>
      <w:r w:rsidRPr="00417AC1">
        <w:rPr>
          <w:lang w:val="tr-TR"/>
        </w:rPr>
        <w:tab/>
      </w:r>
      <w:r w:rsidRPr="00417AC1">
        <w:rPr>
          <w:lang w:val="tr-TR"/>
        </w:rPr>
        <w:tab/>
      </w:r>
      <w:r w:rsidRPr="00417AC1">
        <w:rPr>
          <w:lang w:val="tr-TR"/>
        </w:rPr>
        <w:tab/>
        <w:t>Elektronik Kamu Alımları Platformu</w:t>
      </w:r>
    </w:p>
    <w:p w14:paraId="47C21195" w14:textId="0EC61E05" w:rsidR="00856523" w:rsidRPr="00417AC1" w:rsidRDefault="00856523" w:rsidP="00821185">
      <w:pPr>
        <w:pStyle w:val="SingleTxtG"/>
        <w:spacing w:line="220" w:lineRule="atLeast"/>
        <w:rPr>
          <w:lang w:val="tr-TR"/>
        </w:rPr>
      </w:pPr>
      <w:r w:rsidRPr="00417AC1">
        <w:rPr>
          <w:lang w:val="tr-TR"/>
        </w:rPr>
        <w:t xml:space="preserve">AB </w:t>
      </w:r>
      <w:r w:rsidRPr="00417AC1">
        <w:rPr>
          <w:lang w:val="tr-TR"/>
        </w:rPr>
        <w:tab/>
      </w:r>
      <w:r w:rsidRPr="00417AC1">
        <w:rPr>
          <w:lang w:val="tr-TR"/>
        </w:rPr>
        <w:tab/>
      </w:r>
      <w:r w:rsidRPr="00417AC1">
        <w:rPr>
          <w:lang w:val="tr-TR"/>
        </w:rPr>
        <w:tab/>
        <w:t>Avrupa Birliği</w:t>
      </w:r>
      <w:r w:rsidR="005041FC" w:rsidRPr="00417AC1">
        <w:rPr>
          <w:lang w:val="tr-TR"/>
        </w:rPr>
        <w:t xml:space="preserve"> </w:t>
      </w:r>
    </w:p>
    <w:p w14:paraId="7B295246" w14:textId="77777777" w:rsidR="00856523" w:rsidRPr="00417AC1" w:rsidRDefault="00856523" w:rsidP="00821185">
      <w:pPr>
        <w:pStyle w:val="SingleTxtG"/>
        <w:spacing w:line="220" w:lineRule="atLeast"/>
        <w:rPr>
          <w:lang w:val="tr-TR"/>
        </w:rPr>
      </w:pPr>
      <w:r w:rsidRPr="00417AC1">
        <w:rPr>
          <w:lang w:val="tr-TR"/>
        </w:rPr>
        <w:t xml:space="preserve">FATF </w:t>
      </w:r>
      <w:r w:rsidRPr="00417AC1">
        <w:rPr>
          <w:lang w:val="tr-TR"/>
        </w:rPr>
        <w:tab/>
      </w:r>
      <w:r w:rsidRPr="00417AC1">
        <w:rPr>
          <w:lang w:val="tr-TR"/>
        </w:rPr>
        <w:tab/>
      </w:r>
      <w:r w:rsidRPr="00417AC1">
        <w:rPr>
          <w:lang w:val="tr-TR"/>
        </w:rPr>
        <w:tab/>
        <w:t>Mali Eylem Görev Gücü</w:t>
      </w:r>
    </w:p>
    <w:p w14:paraId="7B463CC4" w14:textId="77777777" w:rsidR="00856523" w:rsidRPr="00417AC1" w:rsidRDefault="00856523" w:rsidP="00821185">
      <w:pPr>
        <w:pStyle w:val="SingleTxtG"/>
        <w:spacing w:line="220" w:lineRule="atLeast"/>
        <w:rPr>
          <w:lang w:val="tr-TR"/>
        </w:rPr>
      </w:pPr>
      <w:r w:rsidRPr="00417AC1">
        <w:rPr>
          <w:lang w:val="tr-TR"/>
        </w:rPr>
        <w:t xml:space="preserve">FETÖ </w:t>
      </w:r>
      <w:r w:rsidRPr="00417AC1">
        <w:rPr>
          <w:lang w:val="tr-TR"/>
        </w:rPr>
        <w:tab/>
      </w:r>
      <w:r w:rsidRPr="00417AC1">
        <w:rPr>
          <w:lang w:val="tr-TR"/>
        </w:rPr>
        <w:tab/>
      </w:r>
      <w:r w:rsidRPr="00417AC1">
        <w:rPr>
          <w:lang w:val="tr-TR"/>
        </w:rPr>
        <w:tab/>
        <w:t>Fetullahçı Terör Örgütü</w:t>
      </w:r>
    </w:p>
    <w:p w14:paraId="5096166D" w14:textId="49A93051" w:rsidR="00856523" w:rsidRPr="00417AC1" w:rsidRDefault="00856523" w:rsidP="00821185">
      <w:pPr>
        <w:pStyle w:val="SingleTxtG"/>
        <w:spacing w:line="220" w:lineRule="atLeast"/>
        <w:rPr>
          <w:lang w:val="tr-TR"/>
        </w:rPr>
      </w:pPr>
      <w:r w:rsidRPr="00417AC1">
        <w:rPr>
          <w:lang w:val="tr-TR"/>
        </w:rPr>
        <w:t xml:space="preserve">GRECO </w:t>
      </w:r>
      <w:r w:rsidRPr="00417AC1">
        <w:rPr>
          <w:lang w:val="tr-TR"/>
        </w:rPr>
        <w:tab/>
      </w:r>
      <w:r w:rsidRPr="00417AC1">
        <w:rPr>
          <w:lang w:val="tr-TR"/>
        </w:rPr>
        <w:tab/>
        <w:t>Yolsuzluğa Karşı Devletler Grubu</w:t>
      </w:r>
    </w:p>
    <w:p w14:paraId="28E72ABE" w14:textId="77777777" w:rsidR="00856523" w:rsidRPr="00417AC1" w:rsidRDefault="00856523" w:rsidP="00821185">
      <w:pPr>
        <w:pStyle w:val="SingleTxtG"/>
        <w:spacing w:line="220" w:lineRule="atLeast"/>
        <w:rPr>
          <w:lang w:val="tr-TR"/>
        </w:rPr>
      </w:pPr>
      <w:r w:rsidRPr="00417AC1">
        <w:rPr>
          <w:lang w:val="tr-TR"/>
        </w:rPr>
        <w:t xml:space="preserve">İHEP </w:t>
      </w:r>
      <w:r w:rsidRPr="00417AC1">
        <w:rPr>
          <w:lang w:val="tr-TR"/>
        </w:rPr>
        <w:tab/>
      </w:r>
      <w:r w:rsidRPr="00417AC1">
        <w:rPr>
          <w:lang w:val="tr-TR"/>
        </w:rPr>
        <w:tab/>
      </w:r>
      <w:r w:rsidRPr="00417AC1">
        <w:rPr>
          <w:lang w:val="tr-TR"/>
        </w:rPr>
        <w:tab/>
        <w:t>İnsan Hakları Eylem Planı</w:t>
      </w:r>
    </w:p>
    <w:p w14:paraId="475F7804" w14:textId="77777777" w:rsidR="00856523" w:rsidRPr="00417AC1" w:rsidRDefault="00856523" w:rsidP="00821185">
      <w:pPr>
        <w:pStyle w:val="SingleTxtG"/>
        <w:spacing w:line="220" w:lineRule="atLeast"/>
        <w:rPr>
          <w:lang w:val="tr-TR"/>
        </w:rPr>
      </w:pPr>
      <w:r w:rsidRPr="00417AC1">
        <w:rPr>
          <w:lang w:val="tr-TR"/>
        </w:rPr>
        <w:t xml:space="preserve">HRC </w:t>
      </w:r>
      <w:r w:rsidRPr="00417AC1">
        <w:rPr>
          <w:lang w:val="tr-TR"/>
        </w:rPr>
        <w:tab/>
      </w:r>
      <w:r w:rsidRPr="00417AC1">
        <w:rPr>
          <w:lang w:val="tr-TR"/>
        </w:rPr>
        <w:tab/>
      </w:r>
      <w:r w:rsidRPr="00417AC1">
        <w:rPr>
          <w:lang w:val="tr-TR"/>
        </w:rPr>
        <w:tab/>
        <w:t>İnsan Hakları Komitesi</w:t>
      </w:r>
    </w:p>
    <w:p w14:paraId="348C05C0" w14:textId="7AAF76C7" w:rsidR="00856523" w:rsidRPr="00417AC1" w:rsidRDefault="00856523" w:rsidP="00821185">
      <w:pPr>
        <w:pStyle w:val="SingleTxtG"/>
        <w:spacing w:line="220" w:lineRule="atLeast"/>
        <w:rPr>
          <w:lang w:val="tr-TR"/>
        </w:rPr>
      </w:pPr>
      <w:r w:rsidRPr="00417AC1">
        <w:rPr>
          <w:lang w:val="tr-TR"/>
        </w:rPr>
        <w:t xml:space="preserve">HREIT </w:t>
      </w:r>
      <w:r w:rsidRPr="00417AC1">
        <w:rPr>
          <w:lang w:val="tr-TR"/>
        </w:rPr>
        <w:tab/>
      </w:r>
      <w:r w:rsidRPr="00417AC1">
        <w:rPr>
          <w:lang w:val="tr-TR"/>
        </w:rPr>
        <w:tab/>
        <w:t>Türkiye İnsan Hakları ve Eşitlik Kurumu</w:t>
      </w:r>
    </w:p>
    <w:p w14:paraId="7AC5577C" w14:textId="386CAAF4" w:rsidR="00856523" w:rsidRPr="00417AC1" w:rsidRDefault="00856523" w:rsidP="00821185">
      <w:pPr>
        <w:pStyle w:val="SingleTxtG"/>
        <w:spacing w:line="220" w:lineRule="atLeast"/>
        <w:rPr>
          <w:lang w:val="tr-TR"/>
        </w:rPr>
      </w:pPr>
      <w:r w:rsidRPr="00417AC1">
        <w:rPr>
          <w:lang w:val="tr-TR"/>
        </w:rPr>
        <w:t xml:space="preserve">ICCPR </w:t>
      </w:r>
      <w:r w:rsidRPr="00417AC1">
        <w:rPr>
          <w:lang w:val="tr-TR"/>
        </w:rPr>
        <w:tab/>
      </w:r>
      <w:r w:rsidRPr="00417AC1">
        <w:rPr>
          <w:lang w:val="tr-TR"/>
        </w:rPr>
        <w:tab/>
        <w:t>Uluslararası Medeni ve Siyasi Haklar Sözleşmesi</w:t>
      </w:r>
    </w:p>
    <w:p w14:paraId="7FBA2DD9" w14:textId="77777777" w:rsidR="00856523" w:rsidRPr="00417AC1" w:rsidRDefault="00856523" w:rsidP="00821185">
      <w:pPr>
        <w:pStyle w:val="SingleTxtG"/>
        <w:spacing w:line="220" w:lineRule="atLeast"/>
        <w:rPr>
          <w:lang w:val="tr-TR"/>
        </w:rPr>
      </w:pPr>
      <w:r w:rsidRPr="00417AC1">
        <w:rPr>
          <w:lang w:val="tr-TR"/>
        </w:rPr>
        <w:t xml:space="preserve">BTK </w:t>
      </w:r>
      <w:r w:rsidRPr="00417AC1">
        <w:rPr>
          <w:lang w:val="tr-TR"/>
        </w:rPr>
        <w:tab/>
      </w:r>
      <w:r w:rsidRPr="00417AC1">
        <w:rPr>
          <w:lang w:val="tr-TR"/>
        </w:rPr>
        <w:tab/>
      </w:r>
      <w:r w:rsidRPr="00417AC1">
        <w:rPr>
          <w:lang w:val="tr-TR"/>
        </w:rPr>
        <w:tab/>
        <w:t>Bilgi ve İletişim Teknolojileri Kurumu</w:t>
      </w:r>
    </w:p>
    <w:p w14:paraId="247DDD23" w14:textId="77777777" w:rsidR="00856523" w:rsidRPr="00417AC1" w:rsidRDefault="00856523" w:rsidP="00821185">
      <w:pPr>
        <w:pStyle w:val="SingleTxtG"/>
        <w:spacing w:line="220" w:lineRule="atLeast"/>
        <w:rPr>
          <w:lang w:val="tr-TR"/>
        </w:rPr>
      </w:pPr>
      <w:r w:rsidRPr="00417AC1">
        <w:rPr>
          <w:lang w:val="tr-TR"/>
        </w:rPr>
        <w:t xml:space="preserve">Bakanlığı </w:t>
      </w:r>
      <w:r w:rsidRPr="00417AC1">
        <w:rPr>
          <w:lang w:val="tr-TR"/>
        </w:rPr>
        <w:tab/>
      </w:r>
      <w:r w:rsidRPr="00417AC1">
        <w:rPr>
          <w:lang w:val="tr-TR"/>
        </w:rPr>
        <w:tab/>
      </w:r>
      <w:r w:rsidRPr="00417AC1">
        <w:rPr>
          <w:lang w:val="tr-TR"/>
        </w:rPr>
        <w:tab/>
        <w:t>Adalet Bakanlığı</w:t>
      </w:r>
    </w:p>
    <w:p w14:paraId="0B995292" w14:textId="49AE9FB6" w:rsidR="00856523" w:rsidRPr="00417AC1" w:rsidRDefault="00856523" w:rsidP="00821185">
      <w:pPr>
        <w:pStyle w:val="SingleTxtG"/>
        <w:spacing w:line="220" w:lineRule="atLeast"/>
        <w:rPr>
          <w:lang w:val="tr-TR"/>
        </w:rPr>
      </w:pPr>
      <w:r w:rsidRPr="00417AC1">
        <w:rPr>
          <w:lang w:val="tr-TR"/>
        </w:rPr>
        <w:t xml:space="preserve">NPM </w:t>
      </w:r>
      <w:r w:rsidRPr="00417AC1">
        <w:rPr>
          <w:lang w:val="tr-TR"/>
        </w:rPr>
        <w:tab/>
      </w:r>
      <w:r w:rsidR="00821185" w:rsidRPr="00417AC1">
        <w:rPr>
          <w:lang w:val="tr-TR"/>
        </w:rPr>
        <w:tab/>
      </w:r>
      <w:r w:rsidRPr="00417AC1">
        <w:rPr>
          <w:lang w:val="tr-TR"/>
        </w:rPr>
        <w:t>Ulusal Önleme Mekanizması</w:t>
      </w:r>
    </w:p>
    <w:p w14:paraId="14017020" w14:textId="77777777" w:rsidR="00856523" w:rsidRPr="00417AC1" w:rsidRDefault="00856523" w:rsidP="00821185">
      <w:pPr>
        <w:pStyle w:val="SingleTxtG"/>
        <w:spacing w:line="220" w:lineRule="atLeast"/>
        <w:rPr>
          <w:lang w:val="tr-TR"/>
        </w:rPr>
      </w:pPr>
      <w:r w:rsidRPr="00417AC1">
        <w:rPr>
          <w:lang w:val="tr-TR"/>
        </w:rPr>
        <w:t xml:space="preserve">OECD </w:t>
      </w:r>
      <w:r w:rsidRPr="00417AC1">
        <w:rPr>
          <w:lang w:val="tr-TR"/>
        </w:rPr>
        <w:tab/>
      </w:r>
      <w:r w:rsidRPr="00417AC1">
        <w:rPr>
          <w:lang w:val="tr-TR"/>
        </w:rPr>
        <w:tab/>
      </w:r>
      <w:r w:rsidRPr="00417AC1">
        <w:rPr>
          <w:lang w:val="tr-TR"/>
        </w:rPr>
        <w:tab/>
        <w:t>Ekonomik İşbirliği ve Kalkınma Örgütü</w:t>
      </w:r>
    </w:p>
    <w:p w14:paraId="1637413C" w14:textId="77777777" w:rsidR="00856523" w:rsidRPr="00417AC1" w:rsidRDefault="00856523" w:rsidP="00821185">
      <w:pPr>
        <w:pStyle w:val="SingleTxtG"/>
        <w:spacing w:line="220" w:lineRule="atLeast"/>
        <w:rPr>
          <w:lang w:val="tr-TR"/>
        </w:rPr>
      </w:pPr>
      <w:r w:rsidRPr="00417AC1">
        <w:rPr>
          <w:lang w:val="tr-TR"/>
        </w:rPr>
        <w:t xml:space="preserve">HAK </w:t>
      </w:r>
      <w:r w:rsidRPr="00417AC1">
        <w:rPr>
          <w:lang w:val="tr-TR"/>
        </w:rPr>
        <w:tab/>
      </w:r>
      <w:r w:rsidRPr="00417AC1">
        <w:rPr>
          <w:lang w:val="tr-TR"/>
        </w:rPr>
        <w:tab/>
      </w:r>
      <w:r w:rsidRPr="00417AC1">
        <w:rPr>
          <w:lang w:val="tr-TR"/>
        </w:rPr>
        <w:tab/>
        <w:t>Ombudsmanlık Kurumu</w:t>
      </w:r>
    </w:p>
    <w:p w14:paraId="60CE6AD2" w14:textId="4B31F5D6" w:rsidR="00856523" w:rsidRPr="00417AC1" w:rsidRDefault="00856523" w:rsidP="00821185">
      <w:pPr>
        <w:pStyle w:val="SingleTxtG"/>
        <w:spacing w:line="220" w:lineRule="atLeast"/>
        <w:ind w:left="2268" w:hanging="1134"/>
        <w:rPr>
          <w:lang w:val="tr-TR"/>
        </w:rPr>
      </w:pPr>
      <w:r w:rsidRPr="00417AC1">
        <w:rPr>
          <w:lang w:val="tr-TR"/>
        </w:rPr>
        <w:t>İşkenceye ve Diğer Zalimane, İnsanlık Dışı veya Aşağılayıcı Muamele veya Cezaya Karşı Sözleşmeye İlişkin OPCAT İsteğe Bağlı Protokol</w:t>
      </w:r>
      <w:r w:rsidRPr="00417AC1">
        <w:rPr>
          <w:lang w:val="tr-TR"/>
        </w:rPr>
        <w:tab/>
      </w:r>
    </w:p>
    <w:p w14:paraId="69E4D3D3" w14:textId="77777777" w:rsidR="00856523" w:rsidRPr="00417AC1" w:rsidRDefault="00856523" w:rsidP="00821185">
      <w:pPr>
        <w:pStyle w:val="SingleTxtG"/>
        <w:spacing w:line="220" w:lineRule="atLeast"/>
        <w:rPr>
          <w:lang w:val="tr-TR"/>
        </w:rPr>
      </w:pPr>
      <w:r w:rsidRPr="00417AC1">
        <w:rPr>
          <w:lang w:val="tr-TR"/>
        </w:rPr>
        <w:t xml:space="preserve">PPA </w:t>
      </w:r>
      <w:r w:rsidRPr="00417AC1">
        <w:rPr>
          <w:lang w:val="tr-TR"/>
        </w:rPr>
        <w:tab/>
      </w:r>
      <w:r w:rsidRPr="00417AC1">
        <w:rPr>
          <w:lang w:val="tr-TR"/>
        </w:rPr>
        <w:tab/>
      </w:r>
      <w:r w:rsidRPr="00417AC1">
        <w:rPr>
          <w:lang w:val="tr-TR"/>
        </w:rPr>
        <w:tab/>
        <w:t>Kamu İhale Kurumu</w:t>
      </w:r>
    </w:p>
    <w:p w14:paraId="0A9F482E" w14:textId="77777777" w:rsidR="00856523" w:rsidRPr="00417AC1" w:rsidRDefault="00856523" w:rsidP="00821185">
      <w:pPr>
        <w:pStyle w:val="SingleTxtG"/>
        <w:spacing w:line="220" w:lineRule="atLeast"/>
        <w:rPr>
          <w:lang w:val="tr-TR"/>
        </w:rPr>
      </w:pPr>
      <w:r w:rsidRPr="00417AC1">
        <w:rPr>
          <w:lang w:val="tr-TR"/>
        </w:rPr>
        <w:t xml:space="preserve">PPL </w:t>
      </w:r>
      <w:r w:rsidRPr="00417AC1">
        <w:rPr>
          <w:lang w:val="tr-TR"/>
        </w:rPr>
        <w:tab/>
      </w:r>
      <w:r w:rsidRPr="00417AC1">
        <w:rPr>
          <w:lang w:val="tr-TR"/>
        </w:rPr>
        <w:tab/>
      </w:r>
      <w:r w:rsidRPr="00417AC1">
        <w:rPr>
          <w:lang w:val="tr-TR"/>
        </w:rPr>
        <w:tab/>
        <w:t>Kamu İhale Hukuku</w:t>
      </w:r>
    </w:p>
    <w:p w14:paraId="1BA0D039" w14:textId="77777777" w:rsidR="00856523" w:rsidRPr="00417AC1" w:rsidRDefault="00856523" w:rsidP="00821185">
      <w:pPr>
        <w:pStyle w:val="SingleTxtG"/>
        <w:spacing w:line="220" w:lineRule="atLeast"/>
        <w:rPr>
          <w:lang w:val="tr-TR"/>
        </w:rPr>
      </w:pPr>
      <w:r w:rsidRPr="00417AC1">
        <w:rPr>
          <w:lang w:val="tr-TR"/>
        </w:rPr>
        <w:t xml:space="preserve">RTSC </w:t>
      </w:r>
      <w:r w:rsidRPr="00417AC1">
        <w:rPr>
          <w:lang w:val="tr-TR"/>
        </w:rPr>
        <w:tab/>
      </w:r>
      <w:r w:rsidRPr="00417AC1">
        <w:rPr>
          <w:lang w:val="tr-TR"/>
        </w:rPr>
        <w:tab/>
      </w:r>
      <w:r w:rsidRPr="00417AC1">
        <w:rPr>
          <w:lang w:val="tr-TR"/>
        </w:rPr>
        <w:tab/>
        <w:t>Radyo ve Televizyon Üst Kurulu</w:t>
      </w:r>
    </w:p>
    <w:p w14:paraId="0360E770" w14:textId="77777777" w:rsidR="00856523" w:rsidRPr="00417AC1" w:rsidRDefault="00856523" w:rsidP="00821185">
      <w:pPr>
        <w:pStyle w:val="SingleTxtG"/>
        <w:spacing w:line="220" w:lineRule="atLeast"/>
        <w:rPr>
          <w:lang w:val="tr-TR"/>
        </w:rPr>
      </w:pPr>
      <w:r w:rsidRPr="00417AC1">
        <w:rPr>
          <w:lang w:val="tr-TR"/>
        </w:rPr>
        <w:t xml:space="preserve">SCJP </w:t>
      </w:r>
      <w:r w:rsidRPr="00417AC1">
        <w:rPr>
          <w:lang w:val="tr-TR"/>
        </w:rPr>
        <w:tab/>
      </w:r>
      <w:r w:rsidRPr="00417AC1">
        <w:rPr>
          <w:lang w:val="tr-TR"/>
        </w:rPr>
        <w:tab/>
      </w:r>
      <w:r w:rsidRPr="00417AC1">
        <w:rPr>
          <w:lang w:val="tr-TR"/>
        </w:rPr>
        <w:tab/>
        <w:t>Hakimler ve Savcılar Yüksek Kurulu</w:t>
      </w:r>
    </w:p>
    <w:p w14:paraId="379B672A" w14:textId="77777777" w:rsidR="00856523" w:rsidRPr="00417AC1" w:rsidRDefault="00856523" w:rsidP="00821185">
      <w:pPr>
        <w:pStyle w:val="SingleTxtG"/>
        <w:spacing w:line="220" w:lineRule="atLeast"/>
        <w:rPr>
          <w:lang w:val="tr-TR"/>
        </w:rPr>
      </w:pPr>
      <w:r w:rsidRPr="00417AC1">
        <w:rPr>
          <w:lang w:val="tr-TR"/>
        </w:rPr>
        <w:t xml:space="preserve">TMSF </w:t>
      </w:r>
      <w:r w:rsidRPr="00417AC1">
        <w:rPr>
          <w:lang w:val="tr-TR"/>
        </w:rPr>
        <w:tab/>
      </w:r>
      <w:r w:rsidRPr="00417AC1">
        <w:rPr>
          <w:lang w:val="tr-TR"/>
        </w:rPr>
        <w:tab/>
      </w:r>
      <w:r w:rsidRPr="00417AC1">
        <w:rPr>
          <w:lang w:val="tr-TR"/>
        </w:rPr>
        <w:tab/>
        <w:t>Tasarruf Mevduatı Sigorta Fonu</w:t>
      </w:r>
    </w:p>
    <w:p w14:paraId="5FD187EE" w14:textId="77777777" w:rsidR="00856523" w:rsidRPr="00417AC1" w:rsidRDefault="00856523" w:rsidP="00821185">
      <w:pPr>
        <w:pStyle w:val="SingleTxtG"/>
        <w:spacing w:line="220" w:lineRule="atLeast"/>
        <w:rPr>
          <w:lang w:val="tr-TR"/>
        </w:rPr>
      </w:pPr>
      <w:r w:rsidRPr="00417AC1">
        <w:rPr>
          <w:lang w:val="tr-TR"/>
        </w:rPr>
        <w:t xml:space="preserve">YSK </w:t>
      </w:r>
      <w:r w:rsidRPr="00417AC1">
        <w:rPr>
          <w:lang w:val="tr-TR"/>
        </w:rPr>
        <w:tab/>
      </w:r>
      <w:r w:rsidRPr="00417AC1">
        <w:rPr>
          <w:lang w:val="tr-TR"/>
        </w:rPr>
        <w:tab/>
      </w:r>
      <w:r w:rsidRPr="00417AC1">
        <w:rPr>
          <w:lang w:val="tr-TR"/>
        </w:rPr>
        <w:tab/>
        <w:t>Yüksek Seçim Kurulu</w:t>
      </w:r>
    </w:p>
    <w:p w14:paraId="04588EDB" w14:textId="77777777" w:rsidR="00856523" w:rsidRPr="00417AC1" w:rsidRDefault="00856523" w:rsidP="00821185">
      <w:pPr>
        <w:pStyle w:val="SingleTxtG"/>
        <w:spacing w:line="220" w:lineRule="atLeast"/>
        <w:rPr>
          <w:lang w:val="tr-TR"/>
        </w:rPr>
      </w:pPr>
      <w:r w:rsidRPr="00417AC1">
        <w:rPr>
          <w:lang w:val="tr-TR"/>
        </w:rPr>
        <w:t xml:space="preserve">OHAL </w:t>
      </w:r>
      <w:r w:rsidRPr="00417AC1">
        <w:rPr>
          <w:lang w:val="tr-TR"/>
        </w:rPr>
        <w:tab/>
      </w:r>
      <w:r w:rsidRPr="00417AC1">
        <w:rPr>
          <w:lang w:val="tr-TR"/>
        </w:rPr>
        <w:tab/>
      </w:r>
      <w:r w:rsidRPr="00417AC1">
        <w:rPr>
          <w:lang w:val="tr-TR"/>
        </w:rPr>
        <w:tab/>
        <w:t>OHAL</w:t>
      </w:r>
    </w:p>
    <w:p w14:paraId="546D0F6B" w14:textId="77777777" w:rsidR="00856523" w:rsidRPr="00417AC1" w:rsidRDefault="00856523" w:rsidP="00821185">
      <w:pPr>
        <w:pStyle w:val="SingleTxtG"/>
        <w:spacing w:line="220" w:lineRule="atLeast"/>
        <w:rPr>
          <w:lang w:val="tr-TR"/>
        </w:rPr>
      </w:pPr>
      <w:r w:rsidRPr="00417AC1">
        <w:rPr>
          <w:lang w:val="tr-TR"/>
        </w:rPr>
        <w:t xml:space="preserve">SoEC </w:t>
      </w:r>
      <w:r w:rsidRPr="00417AC1">
        <w:rPr>
          <w:lang w:val="tr-TR"/>
        </w:rPr>
        <w:tab/>
      </w:r>
      <w:r w:rsidRPr="00417AC1">
        <w:rPr>
          <w:lang w:val="tr-TR"/>
        </w:rPr>
        <w:tab/>
      </w:r>
      <w:r w:rsidRPr="00417AC1">
        <w:rPr>
          <w:lang w:val="tr-TR"/>
        </w:rPr>
        <w:tab/>
        <w:t>Olağanüstü Hal Tedbirleri Soruşturma Komisyonu</w:t>
      </w:r>
    </w:p>
    <w:p w14:paraId="76F56DFC" w14:textId="78A2AB1A" w:rsidR="00856523" w:rsidRPr="00417AC1" w:rsidRDefault="00856523" w:rsidP="00821185">
      <w:pPr>
        <w:pStyle w:val="SingleTxtG"/>
        <w:spacing w:line="220" w:lineRule="atLeast"/>
        <w:ind w:left="2268" w:hanging="1134"/>
        <w:rPr>
          <w:lang w:val="tr-TR"/>
        </w:rPr>
      </w:pPr>
      <w:r w:rsidRPr="00417AC1">
        <w:rPr>
          <w:lang w:val="tr-TR"/>
        </w:rPr>
        <w:t xml:space="preserve">SPT </w:t>
      </w:r>
      <w:r w:rsidRPr="00417AC1">
        <w:rPr>
          <w:lang w:val="tr-TR"/>
        </w:rPr>
        <w:tab/>
      </w:r>
      <w:r w:rsidRPr="00417AC1">
        <w:rPr>
          <w:lang w:val="tr-TR"/>
        </w:rPr>
        <w:tab/>
        <w:t>BM İşkencenin ve Diğer Zalimane, İnsanlık Dışı veya Aşağılayıcı Muamelenin Önlenmesi Alt Komitesi</w:t>
      </w:r>
    </w:p>
    <w:p w14:paraId="40894EE3" w14:textId="77777777" w:rsidR="00856523" w:rsidRPr="00417AC1" w:rsidRDefault="00856523" w:rsidP="00821185">
      <w:pPr>
        <w:pStyle w:val="SingleTxtG"/>
        <w:spacing w:line="220" w:lineRule="atLeast"/>
        <w:rPr>
          <w:lang w:val="tr-TR"/>
        </w:rPr>
      </w:pPr>
      <w:r w:rsidRPr="00417AC1">
        <w:rPr>
          <w:lang w:val="tr-TR"/>
        </w:rPr>
        <w:t xml:space="preserve">ŞÖNİM </w:t>
      </w:r>
      <w:r w:rsidRPr="00417AC1">
        <w:rPr>
          <w:lang w:val="tr-TR"/>
        </w:rPr>
        <w:tab/>
      </w:r>
      <w:r w:rsidRPr="00417AC1">
        <w:rPr>
          <w:lang w:val="tr-TR"/>
        </w:rPr>
        <w:tab/>
        <w:t>Şiddet Önleme ve İzleme Merkezleri</w:t>
      </w:r>
    </w:p>
    <w:p w14:paraId="6EA43B7F" w14:textId="77777777" w:rsidR="00856523" w:rsidRPr="00417AC1" w:rsidRDefault="00856523" w:rsidP="00821185">
      <w:pPr>
        <w:pStyle w:val="SingleTxtG"/>
        <w:spacing w:line="220" w:lineRule="atLeast"/>
        <w:rPr>
          <w:i/>
          <w:lang w:val="tr-TR"/>
        </w:rPr>
      </w:pPr>
      <w:r w:rsidRPr="00417AC1">
        <w:rPr>
          <w:lang w:val="tr-TR"/>
        </w:rPr>
        <w:t xml:space="preserve">TBMM </w:t>
      </w:r>
      <w:r w:rsidRPr="00417AC1">
        <w:rPr>
          <w:lang w:val="tr-TR"/>
        </w:rPr>
        <w:tab/>
      </w:r>
      <w:r w:rsidRPr="00417AC1">
        <w:rPr>
          <w:lang w:val="tr-TR"/>
        </w:rPr>
        <w:tab/>
      </w:r>
      <w:r w:rsidRPr="00417AC1">
        <w:rPr>
          <w:lang w:val="tr-TR"/>
        </w:rPr>
        <w:tab/>
        <w:t>Türkiye Büyük Millet Meclisi</w:t>
      </w:r>
    </w:p>
    <w:p w14:paraId="2D8B5998" w14:textId="77777777" w:rsidR="00856523" w:rsidRPr="00417AC1" w:rsidRDefault="00856523" w:rsidP="00821185">
      <w:pPr>
        <w:pStyle w:val="SingleTxtG"/>
        <w:spacing w:line="220" w:lineRule="atLeast"/>
        <w:rPr>
          <w:lang w:val="tr-TR"/>
        </w:rPr>
      </w:pPr>
      <w:r w:rsidRPr="00417AC1">
        <w:rPr>
          <w:lang w:val="tr-TR"/>
        </w:rPr>
        <w:t xml:space="preserve">TCK </w:t>
      </w:r>
      <w:r w:rsidRPr="00417AC1">
        <w:rPr>
          <w:lang w:val="tr-TR"/>
        </w:rPr>
        <w:tab/>
      </w:r>
      <w:r w:rsidRPr="00417AC1">
        <w:rPr>
          <w:lang w:val="tr-TR"/>
        </w:rPr>
        <w:tab/>
      </w:r>
      <w:r w:rsidRPr="00417AC1">
        <w:rPr>
          <w:lang w:val="tr-TR"/>
        </w:rPr>
        <w:tab/>
        <w:t>Türk Ceza Kanunu</w:t>
      </w:r>
    </w:p>
    <w:p w14:paraId="55F8E9C5" w14:textId="77777777" w:rsidR="00856523" w:rsidRPr="00417AC1" w:rsidRDefault="00856523" w:rsidP="00821185">
      <w:pPr>
        <w:pStyle w:val="SingleTxtG"/>
        <w:spacing w:line="220" w:lineRule="atLeast"/>
        <w:rPr>
          <w:lang w:val="tr-TR"/>
        </w:rPr>
      </w:pPr>
      <w:r w:rsidRPr="00417AC1">
        <w:rPr>
          <w:lang w:val="tr-TR"/>
        </w:rPr>
        <w:t xml:space="preserve">TCC </w:t>
      </w:r>
      <w:r w:rsidRPr="00417AC1">
        <w:rPr>
          <w:lang w:val="tr-TR"/>
        </w:rPr>
        <w:tab/>
      </w:r>
      <w:r w:rsidRPr="00417AC1">
        <w:rPr>
          <w:lang w:val="tr-TR"/>
        </w:rPr>
        <w:tab/>
      </w:r>
      <w:r w:rsidRPr="00417AC1">
        <w:rPr>
          <w:lang w:val="tr-TR"/>
        </w:rPr>
        <w:tab/>
        <w:t>Türk Ticaret Kanunu</w:t>
      </w:r>
    </w:p>
    <w:p w14:paraId="69BF60A3" w14:textId="1E0F3094" w:rsidR="00856523" w:rsidRPr="00417AC1" w:rsidRDefault="00856523" w:rsidP="00821185">
      <w:pPr>
        <w:pStyle w:val="SingleTxtG"/>
        <w:spacing w:line="220" w:lineRule="atLeast"/>
        <w:rPr>
          <w:lang w:val="tr-TR"/>
        </w:rPr>
      </w:pPr>
      <w:r w:rsidRPr="00417AC1">
        <w:rPr>
          <w:lang w:val="tr-TR"/>
        </w:rPr>
        <w:lastRenderedPageBreak/>
        <w:t xml:space="preserve">BM </w:t>
      </w:r>
      <w:r w:rsidRPr="00417AC1">
        <w:rPr>
          <w:lang w:val="tr-TR"/>
        </w:rPr>
        <w:tab/>
      </w:r>
      <w:r w:rsidRPr="00417AC1">
        <w:rPr>
          <w:lang w:val="tr-TR"/>
        </w:rPr>
        <w:tab/>
      </w:r>
      <w:r w:rsidRPr="00417AC1">
        <w:rPr>
          <w:lang w:val="tr-TR"/>
        </w:rPr>
        <w:tab/>
        <w:t>Birleşmiş Milletler</w:t>
      </w:r>
      <w:bookmarkStart w:id="0" w:name="_Toc40821557"/>
      <w:bookmarkEnd w:id="0"/>
    </w:p>
    <w:p w14:paraId="6DEB416D" w14:textId="2DCD62A2" w:rsidR="00856523" w:rsidRPr="00417AC1" w:rsidRDefault="00856523" w:rsidP="00856523">
      <w:pPr>
        <w:pStyle w:val="HChG"/>
        <w:rPr>
          <w:lang w:val="tr-TR"/>
        </w:rPr>
      </w:pPr>
      <w:bookmarkStart w:id="1" w:name="_Toc110354325"/>
      <w:r w:rsidRPr="00417AC1">
        <w:rPr>
          <w:lang w:val="tr-TR"/>
        </w:rPr>
        <w:tab/>
      </w:r>
      <w:r w:rsidRPr="00417AC1">
        <w:rPr>
          <w:lang w:val="tr-TR"/>
        </w:rPr>
        <w:tab/>
      </w:r>
      <w:bookmarkEnd w:id="1"/>
      <w:r w:rsidR="00417AC1" w:rsidRPr="00417AC1">
        <w:rPr>
          <w:lang w:val="tr-TR"/>
        </w:rPr>
        <w:t>giriş</w:t>
      </w:r>
    </w:p>
    <w:p w14:paraId="7539E83B" w14:textId="77777777" w:rsidR="00856523" w:rsidRPr="00417AC1" w:rsidRDefault="00856523" w:rsidP="00856523">
      <w:pPr>
        <w:pStyle w:val="SingleTxtG"/>
        <w:rPr>
          <w:lang w:val="tr-TR"/>
        </w:rPr>
      </w:pPr>
      <w:bookmarkStart w:id="2" w:name="_Hlk109862707"/>
      <w:r w:rsidRPr="00417AC1">
        <w:rPr>
          <w:lang w:val="tr-TR"/>
        </w:rPr>
        <w:t xml:space="preserve">1. </w:t>
      </w:r>
      <w:r w:rsidRPr="00417AC1">
        <w:rPr>
          <w:lang w:val="tr-TR"/>
        </w:rPr>
        <w:tab/>
        <w:t>Türkiye, 2000'li yılların başından bu yana insan haklarını korumak ve geliştirmek amacıyla kapsamlı reform süreçlerini uygulamaktadır. Bu bağlamda Türkiye, ilgili uluslararası sözleşmelere taraf olmuş, iç hukukunda gerekli değişiklikleri yapmış ve reformların uygulamaya tam olarak yansımasını sağlamıştır.</w:t>
      </w:r>
      <w:bookmarkEnd w:id="2"/>
    </w:p>
    <w:p w14:paraId="498F2687" w14:textId="77777777" w:rsidR="00856523" w:rsidRPr="00417AC1" w:rsidRDefault="00856523" w:rsidP="00856523">
      <w:pPr>
        <w:pStyle w:val="SingleTxtG"/>
        <w:rPr>
          <w:lang w:val="tr-TR"/>
        </w:rPr>
      </w:pPr>
      <w:r w:rsidRPr="00417AC1">
        <w:rPr>
          <w:lang w:val="tr-TR"/>
        </w:rPr>
        <w:t xml:space="preserve">2. </w:t>
      </w:r>
      <w:r w:rsidRPr="00417AC1">
        <w:rPr>
          <w:lang w:val="tr-TR"/>
        </w:rPr>
        <w:tab/>
        <w:t>Yapılan çok sayıda anayasal ve hukuki düzenleme sayesinde hukuki çerçeve iyileştirildi ve Türkiye'nin taraf olduğu BM ve AK sözleşmeleri, AİHM içtihatları ve AB müktesebatıyla uyumlu hale getirildi.</w:t>
      </w:r>
    </w:p>
    <w:p w14:paraId="13C5F611" w14:textId="77777777" w:rsidR="00856523" w:rsidRPr="00417AC1" w:rsidRDefault="00856523" w:rsidP="00856523">
      <w:pPr>
        <w:pStyle w:val="SingleTxtG"/>
        <w:rPr>
          <w:lang w:val="tr-TR"/>
        </w:rPr>
      </w:pPr>
      <w:r w:rsidRPr="00417AC1">
        <w:rPr>
          <w:lang w:val="tr-TR"/>
        </w:rPr>
        <w:t xml:space="preserve">3. </w:t>
      </w:r>
      <w:r w:rsidRPr="00417AC1">
        <w:rPr>
          <w:lang w:val="tr-TR"/>
        </w:rPr>
        <w:tab/>
        <w:t>Anayasa'nın 90. maddesi usulüne uygun olarak yürürlüğe konulan milletlerarası anlaşmaların kanun hükmünde olduğunu belirtmektedir. Anayasaya aykırı oldukları gerekçesiyle bunlara itiraz edilemez. Usulüne uygun olarak yürürlüğe konulan temel hak ve özgürlüklere ilişkin milletlerarası anlaşmalar ile kanunlar arasında aynı konuda hüküm farklılığı nedeniyle çıkabilecek uyuşmazlıklarda milletlerarası anlaşma hükümleri esas alınır.</w:t>
      </w:r>
    </w:p>
    <w:p w14:paraId="2C7DA8AB" w14:textId="77777777" w:rsidR="00856523" w:rsidRPr="00417AC1" w:rsidRDefault="00856523" w:rsidP="00856523">
      <w:pPr>
        <w:pStyle w:val="SingleTxtG"/>
        <w:rPr>
          <w:lang w:val="tr-TR"/>
        </w:rPr>
      </w:pPr>
      <w:r w:rsidRPr="00417AC1">
        <w:rPr>
          <w:lang w:val="tr-TR"/>
        </w:rPr>
        <w:t xml:space="preserve">4. </w:t>
      </w:r>
      <w:r w:rsidRPr="00417AC1">
        <w:rPr>
          <w:lang w:val="tr-TR"/>
        </w:rPr>
        <w:tab/>
        <w:t>2010 yılında yapılan anayasa referandumuyla 23 Eylül 2012 tarihinde AYM'ye bireysel başvuru yolu getirilmiştir.</w:t>
      </w:r>
    </w:p>
    <w:p w14:paraId="6BBC6E54" w14:textId="77777777" w:rsidR="00856523" w:rsidRPr="00417AC1" w:rsidRDefault="00856523" w:rsidP="00856523">
      <w:pPr>
        <w:pStyle w:val="SingleTxtG"/>
        <w:rPr>
          <w:lang w:val="tr-TR"/>
        </w:rPr>
      </w:pPr>
      <w:r w:rsidRPr="00417AC1">
        <w:rPr>
          <w:lang w:val="tr-TR"/>
        </w:rPr>
        <w:t xml:space="preserve">5. </w:t>
      </w:r>
      <w:r w:rsidRPr="00417AC1">
        <w:rPr>
          <w:lang w:val="tr-TR"/>
        </w:rPr>
        <w:tab/>
        <w:t>HREIT ve HAK'nın çalışmaları aynı zamanda demokrasinin, insan haklarının ve hukukun üstünlüğünün güçlendirilmesine de katkıda bulunmaktadır.</w:t>
      </w:r>
    </w:p>
    <w:p w14:paraId="36E16DEC" w14:textId="77777777" w:rsidR="00856523" w:rsidRPr="00417AC1" w:rsidRDefault="00856523" w:rsidP="00856523">
      <w:pPr>
        <w:pStyle w:val="SingleTxtG"/>
        <w:rPr>
          <w:lang w:val="tr-TR"/>
        </w:rPr>
      </w:pPr>
      <w:r w:rsidRPr="00417AC1">
        <w:rPr>
          <w:lang w:val="tr-TR"/>
        </w:rPr>
        <w:t xml:space="preserve">6. </w:t>
      </w:r>
      <w:r w:rsidRPr="00417AC1">
        <w:rPr>
          <w:lang w:val="tr-TR"/>
        </w:rPr>
        <w:tab/>
        <w:t>Meşru demokratik Hükümete ve Anayasal düzene karşı vahşice kumpas kuran FETÖ terör örgütünün, başta yaşam hakkı olmak üzere temel hak ve özgürlükleri ağır şekilde ihlal ettiği 15 Temmuz 2016 darbe girişiminin ardından, 15 Temmuz 2016 tarihinde OHAL ilan edildi. Devletin varlığına ve demokratik toplum değerlerine yönelik tehditlerin tamamen ortadan kaldırılması amacıyla 21 Temmuz 2016. OHAL 19 Temmuz 2018'de sona erdi.</w:t>
      </w:r>
    </w:p>
    <w:p w14:paraId="0142D5AC" w14:textId="77777777" w:rsidR="00856523" w:rsidRPr="00417AC1" w:rsidRDefault="00856523" w:rsidP="00856523">
      <w:pPr>
        <w:pStyle w:val="SingleTxtG"/>
        <w:rPr>
          <w:lang w:val="tr-TR"/>
        </w:rPr>
      </w:pPr>
      <w:r w:rsidRPr="00417AC1">
        <w:rPr>
          <w:lang w:val="tr-TR"/>
        </w:rPr>
        <w:t xml:space="preserve">7. </w:t>
      </w:r>
      <w:r w:rsidRPr="00417AC1">
        <w:rPr>
          <w:lang w:val="tr-TR"/>
        </w:rPr>
        <w:tab/>
        <w:t>Türkiye, demokrasisini ve hukukun üstünlüğünü daha da güçlendirmek, temel hak ve özgürlüklere tam saygı gösterilmesini sağlamak amacıyla reformlarına devam etmektedir. Sonuç olarak Türkiye, BM, AK ve Avrupa Güvenlik ve İşbirliği Teşkilatı mekanizmalarıyla yapıcı işbirliğini sürdürmektedir.</w:t>
      </w:r>
    </w:p>
    <w:p w14:paraId="7C0BE047" w14:textId="744E4472" w:rsidR="00856523" w:rsidRPr="00417AC1" w:rsidRDefault="00856523" w:rsidP="00856523">
      <w:pPr>
        <w:pStyle w:val="HChG"/>
        <w:rPr>
          <w:lang w:val="tr-TR"/>
        </w:rPr>
      </w:pPr>
      <w:bookmarkStart w:id="3" w:name="_Toc110354326"/>
      <w:r w:rsidRPr="00417AC1">
        <w:rPr>
          <w:lang w:val="tr-TR"/>
        </w:rPr>
        <w:tab/>
      </w:r>
      <w:r w:rsidRPr="00417AC1">
        <w:rPr>
          <w:lang w:val="tr-TR"/>
        </w:rPr>
        <w:tab/>
        <w:t>Raporlamadan önce sorun listesine verilen yanıtlar (CCPR/C/TUR/QPR/2)</w:t>
      </w:r>
      <w:bookmarkEnd w:id="3"/>
    </w:p>
    <w:p w14:paraId="6EA7F7DB" w14:textId="77777777" w:rsidR="00856523" w:rsidRPr="00417AC1" w:rsidRDefault="00856523" w:rsidP="00856523">
      <w:pPr>
        <w:pStyle w:val="H1G"/>
        <w:rPr>
          <w:lang w:val="tr-TR"/>
        </w:rPr>
      </w:pPr>
      <w:bookmarkStart w:id="4" w:name="_Toc110354327"/>
      <w:r w:rsidRPr="00417AC1">
        <w:rPr>
          <w:lang w:val="tr-TR"/>
        </w:rPr>
        <w:tab/>
        <w:t>A. ICCPR'nin uygulanmasına ilişkin yeni önlemler ve gelişmeler de dahil olmak üzere ulusal insan hakları durumu hakkında genel bilgi</w:t>
      </w:r>
      <w:bookmarkEnd w:id="4"/>
    </w:p>
    <w:p w14:paraId="3CDC7FE0" w14:textId="77777777" w:rsidR="00856523" w:rsidRPr="00417AC1" w:rsidRDefault="00856523" w:rsidP="00856523">
      <w:pPr>
        <w:pStyle w:val="H4G"/>
        <w:rPr>
          <w:lang w:val="tr-TR"/>
        </w:rPr>
      </w:pPr>
      <w:r w:rsidRPr="00417AC1">
        <w:rPr>
          <w:lang w:val="tr-TR"/>
        </w:rPr>
        <w:tab/>
      </w:r>
      <w:r w:rsidRPr="00417AC1">
        <w:rPr>
          <w:lang w:val="tr-TR"/>
        </w:rPr>
        <w:tab/>
        <w:t>İHEP'in uygulanması için atılan adımlar</w:t>
      </w:r>
    </w:p>
    <w:p w14:paraId="72227CD4" w14:textId="2F148B4F" w:rsidR="00856523" w:rsidRPr="00417AC1" w:rsidRDefault="00856523" w:rsidP="00856523">
      <w:pPr>
        <w:pStyle w:val="SingleTxtG"/>
        <w:rPr>
          <w:lang w:val="tr-TR"/>
        </w:rPr>
      </w:pPr>
      <w:r w:rsidRPr="00417AC1">
        <w:rPr>
          <w:lang w:val="tr-TR"/>
        </w:rPr>
        <w:t xml:space="preserve">8. </w:t>
      </w:r>
      <w:r w:rsidRPr="00417AC1">
        <w:rPr>
          <w:lang w:val="tr-TR"/>
        </w:rPr>
        <w:tab/>
        <w:t xml:space="preserve">İHEP 2 Mart 2021'de </w:t>
      </w:r>
      <w:r w:rsidR="00BA1A10" w:rsidRPr="00417AC1">
        <w:rPr>
          <w:lang w:val="tr-TR"/>
        </w:rPr>
        <w:t>“Özgür Birey, Güçlü Toplum; Daha Demokratik Türkiye” vizyonu. Katılımcı bir ruhla hazırlanan, AK ve AB'nin yanı sıra STK'lar ve meslek kuruluşları, akademisyenler ve medya mensupları gibi yerel paydaşların görüşleri alınarak hazırlanan HRAP, 11 ana ilkeyi tanımlıyor ve 9 amaç, 50 hedef ve 393 faaliyeti kapsıyor.</w:t>
      </w:r>
    </w:p>
    <w:p w14:paraId="301BC3A8" w14:textId="4F537EA8" w:rsidR="00856523" w:rsidRPr="00417AC1" w:rsidRDefault="00856523" w:rsidP="00856523">
      <w:pPr>
        <w:pStyle w:val="SingleTxtG"/>
        <w:rPr>
          <w:lang w:val="tr-TR"/>
        </w:rPr>
      </w:pPr>
      <w:r w:rsidRPr="00417AC1">
        <w:rPr>
          <w:lang w:val="tr-TR"/>
        </w:rPr>
        <w:t xml:space="preserve">9. </w:t>
      </w:r>
      <w:r w:rsidRPr="00417AC1">
        <w:rPr>
          <w:lang w:val="tr-TR"/>
        </w:rPr>
        <w:tab/>
        <w:t xml:space="preserve">İHEP'in ortaya koyduğu temel yaklaşım, insan haklarının korunması ve geliştirilmesinin Devletin </w:t>
      </w:r>
      <w:r w:rsidR="00742BC4" w:rsidRPr="00417AC1">
        <w:rPr>
          <w:lang w:val="tr-TR"/>
        </w:rPr>
        <w:t>asli görevi olduğudur. Uygulamada görülen bir takım sorunların çözülmesi ve yasal çerçevenin iyileştirilmesi amaçlanmaktadır.</w:t>
      </w:r>
    </w:p>
    <w:p w14:paraId="342DDA93" w14:textId="77777777" w:rsidR="00856523" w:rsidRPr="00417AC1" w:rsidRDefault="00856523" w:rsidP="00856523">
      <w:pPr>
        <w:pStyle w:val="SingleTxtG"/>
        <w:rPr>
          <w:lang w:val="tr-TR"/>
        </w:rPr>
      </w:pPr>
      <w:r w:rsidRPr="00417AC1">
        <w:rPr>
          <w:lang w:val="tr-TR"/>
        </w:rPr>
        <w:t xml:space="preserve">10. </w:t>
      </w:r>
      <w:r w:rsidRPr="00417AC1">
        <w:rPr>
          <w:lang w:val="tr-TR"/>
        </w:rPr>
        <w:tab/>
        <w:t>İYEP'in duyurusunu takiben 30 Nisan 2021 tarihinde Resmi Gazete'de yayımlanan 2021/9 sayılı Cumhurbaşkanlığı Genelgesi ile Uygulama Takvimi açıklandı. Buna göre, İYEP'te yer alan her bir faaliyet için kısa (bir ila üç ay), orta Bir takım faaliyetler için (altı aydan bir yıla kadar) ve uzun (iki yıl) sürelerin yanı sıra sürekli süreler de belirlenmiştir.</w:t>
      </w:r>
    </w:p>
    <w:p w14:paraId="5E270B5F" w14:textId="42205EA0" w:rsidR="00856523" w:rsidRPr="00417AC1" w:rsidRDefault="00856523" w:rsidP="00856523">
      <w:pPr>
        <w:pStyle w:val="SingleTxtG"/>
        <w:rPr>
          <w:lang w:val="tr-TR"/>
        </w:rPr>
      </w:pPr>
      <w:r w:rsidRPr="00417AC1">
        <w:rPr>
          <w:lang w:val="tr-TR"/>
        </w:rPr>
        <w:t xml:space="preserve">11. </w:t>
      </w:r>
      <w:r w:rsidRPr="00417AC1">
        <w:rPr>
          <w:lang w:val="tr-TR"/>
        </w:rPr>
        <w:tab/>
        <w:t xml:space="preserve">İHEP'in etkin bir şekilde uygulanması ve izlenmesi amacıyla </w:t>
      </w:r>
      <w:r w:rsidR="00BA1A10" w:rsidRPr="00417AC1">
        <w:rPr>
          <w:lang w:val="tr-TR"/>
        </w:rPr>
        <w:t>“İnsan Hakları Eylem Planı İzleme ve Değerlendirme Kurulu” oluşturulmuştur. Uygulama sürecinin takibi, faaliyetlerden sorumlu kurumların raporlama ve periyodik veri girişinin sağlanması amacıyla “İzleme Takip Sistemi” kurulmuştur.</w:t>
      </w:r>
    </w:p>
    <w:p w14:paraId="1AEC30C7" w14:textId="77777777" w:rsidR="00856523" w:rsidRPr="00417AC1" w:rsidRDefault="00856523" w:rsidP="00856523">
      <w:pPr>
        <w:pStyle w:val="SingleTxtG"/>
        <w:rPr>
          <w:lang w:val="tr-TR"/>
        </w:rPr>
      </w:pPr>
      <w:r w:rsidRPr="00417AC1">
        <w:rPr>
          <w:lang w:val="tr-TR"/>
        </w:rPr>
        <w:lastRenderedPageBreak/>
        <w:t xml:space="preserve">12. Uygulamanın şeffaf olması amacıyla ayrıca </w:t>
      </w:r>
      <w:r w:rsidRPr="00417AC1">
        <w:rPr>
          <w:lang w:val="tr-TR"/>
        </w:rPr>
        <w:tab/>
      </w:r>
      <w:hyperlink r:id="rId9" w:history="1">
        <w:r w:rsidRPr="00417AC1">
          <w:rPr>
            <w:lang w:val="tr-TR"/>
          </w:rPr>
          <w:t xml:space="preserve">https://insanhaklarieylemplani.adalet.gov.tr adresindeki </w:t>
        </w:r>
      </w:hyperlink>
      <w:r w:rsidRPr="00417AC1">
        <w:rPr>
          <w:lang w:val="tr-TR"/>
        </w:rPr>
        <w:t>internet sitesi de halkın erişimine açılmıştır. İHEP'in Türkçe ve İngilizce metinleri ile Fransızca ve Arapça çevirileri, uygulama yönergesi ve takvimi tüm paydaşların bilgisine sunuldu.</w:t>
      </w:r>
    </w:p>
    <w:p w14:paraId="72180008" w14:textId="77777777" w:rsidR="00856523" w:rsidRPr="00417AC1" w:rsidRDefault="00856523" w:rsidP="00856523">
      <w:pPr>
        <w:pStyle w:val="SingleTxtG"/>
        <w:rPr>
          <w:lang w:val="tr-TR"/>
        </w:rPr>
      </w:pPr>
      <w:r w:rsidRPr="00417AC1">
        <w:rPr>
          <w:lang w:val="tr-TR"/>
        </w:rPr>
        <w:t xml:space="preserve">13. </w:t>
      </w:r>
      <w:r w:rsidRPr="00417AC1">
        <w:rPr>
          <w:lang w:val="tr-TR"/>
        </w:rPr>
        <w:tab/>
        <w:t>İHEP'teki faaliyetler Uygulama Takvimine uygun olarak yürütülmektedir. Kamuoyunda 4'üncü ve 5'inci Yargı Paketleri olarak bilinen yasal değişiklikler kabul edilmiş, ayrıca tamamlayıcı mevzuat ve idari tedbirlerle de birçok faaliyet hayata geçirilmiştir. Gerçekleştirilen faaliyetler arasında;</w:t>
      </w:r>
    </w:p>
    <w:p w14:paraId="1DC62686"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Ceza hakimlerinin tutuklama ve adli kontrol kararlarına karşı bir üst mahkemeye itirazda bulunulmaktadır.</w:t>
      </w:r>
    </w:p>
    <w:p w14:paraId="55C0A0A5" w14:textId="34222521"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 xml:space="preserve">Güçlü şüphenin tutuklama nedeni oluşturduğu katalog suçlar için, şüphenin </w:t>
      </w:r>
      <w:r w:rsidR="00BA1A10" w:rsidRPr="00417AC1">
        <w:rPr>
          <w:i/>
          <w:iCs/>
          <w:lang w:val="tr-TR"/>
        </w:rPr>
        <w:t xml:space="preserve">“somut delillere dayanması” yönünde ek bir şart </w:t>
      </w:r>
      <w:r w:rsidRPr="00417AC1">
        <w:rPr>
          <w:lang w:val="tr-TR"/>
        </w:rPr>
        <w:t>getirildi.</w:t>
      </w:r>
    </w:p>
    <w:p w14:paraId="59DFBC19"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Mesai saatleri dışında ifade almak üzere yakalama kararı bulunanlar hakkında, belirlenen tarihte yetkili adli makam huzurunda hazır bulunmak şartıyla tahliye imkânı getirildi.</w:t>
      </w:r>
    </w:p>
    <w:p w14:paraId="773FE2F8"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Tutuklama, tutuklamanın devamı ve tahliye taleplerinin reddi kararlarında adli kontrol tedbirlerinin yetersiz kalacağının ortaya konması gerekmektedir.</w:t>
      </w:r>
    </w:p>
    <w:p w14:paraId="68F346C4"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Adli kontrol tedbirlerine üst süre sınırı getirildi ve teknolojik araçların kullanılması getirildi.</w:t>
      </w:r>
    </w:p>
    <w:p w14:paraId="57EEC503"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Sulh ceza hakimleri ve savcılara tutuklama ve adli kontrol tedbirlerine ilişkin eğitimler verilmeye devam edilmektedir. Ayrıca, AYM ve AİHM içtihatlarını da içeren hizmet öncesi ve hizmet içi eğitim programlarında insan hakları eğitimleri verilmektedir.</w:t>
      </w:r>
    </w:p>
    <w:p w14:paraId="7E08EEEF"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İtiraz süreçlerinde uzayan yargılama ve gerekçesiz kararlar, terfi ve disiplin değerlendirmelerinde dikkate alınmak üzere HSK'ya bildirilecektir.</w:t>
      </w:r>
    </w:p>
    <w:p w14:paraId="37C347C7"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Mahkemeler ve savcılar tarafından verilen kararların, AYM ve AİHM kararlarının belirlediği standartları da karşılayacak şekilde yeterli, inandırıcı ve anlaşılır olmasını sağlamak amacıyla hizmet öncesi ve hizmet içi eğitimler verilmektedir.</w:t>
      </w:r>
    </w:p>
    <w:p w14:paraId="59A567FF"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Maddi sıkıntısı olan kişilerin adli yardıma başvurularını kolaylaştırmak amacıyla standart başvuru formları hazırlanarak Avukat Portalı ve e-Devlet'e eklendi.</w:t>
      </w:r>
    </w:p>
    <w:p w14:paraId="39937F26"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Aile içi şiddete karşı kurulan özel soruşturma bürolarının sayısı artırıldı. Bu suçları incelemekle görevli hakim ve savcılara özel eğitim verilmektedir.</w:t>
      </w:r>
    </w:p>
    <w:p w14:paraId="6A81A2A7"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Suç veya iddia edilen olayla ilgisi olmayan özel hayata ilişkin hususların yargılamaya yansıtılmamasını sağlayacak yasal düzenlemeler yapılmaktadır.</w:t>
      </w:r>
    </w:p>
    <w:p w14:paraId="0A49D64F"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Çocuğun menfaati gözetilerek çocuğun veliye teslimi için icra müdürlükleri yerine Adli Destek ve Mağdur Hizmetleri Müdürlükleri görevlendirildi.</w:t>
      </w:r>
    </w:p>
    <w:p w14:paraId="4DAF4EEB"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Farklı dinlere mensup mahkûmlara dini bayram günlerinde açık ziyaret ve görüntülü görüşme gibi ek olanaklar sağlanmaktadır.</w:t>
      </w:r>
    </w:p>
    <w:p w14:paraId="59736C61"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Tüm kamu görevlilerine yönelik hizmet öncesi ve hizmet içi eğitimlerde temel insan hakları konularına yer verilmektedir.</w:t>
      </w:r>
    </w:p>
    <w:p w14:paraId="3C11AB5E"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Demokratik temsilin güçlendirilmesi amacıyla ulusal seçim barajı %10'dan %7'ye düşürüldü.</w:t>
      </w:r>
    </w:p>
    <w:p w14:paraId="0CE7FEBB"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Engellilerin seçim sürecine tam katılımını sağlayacak yasal düzenlemeler yapılmaktadır.</w:t>
      </w:r>
    </w:p>
    <w:p w14:paraId="3B240DA5"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Tekrarlanan takip eylemi ayrı bir suç olarak tanımlanarak mağdurlara sağlanan koruma güçlendirilmektedir.</w:t>
      </w:r>
    </w:p>
    <w:p w14:paraId="712C583E" w14:textId="77777777" w:rsidR="00856523" w:rsidRPr="00417AC1" w:rsidRDefault="00856523" w:rsidP="00856523">
      <w:pPr>
        <w:pStyle w:val="Bullet1G"/>
        <w:numPr>
          <w:ilvl w:val="0"/>
          <w:numId w:val="0"/>
        </w:numPr>
        <w:tabs>
          <w:tab w:val="left" w:pos="1701"/>
        </w:tabs>
        <w:ind w:left="1701" w:hanging="170"/>
        <w:rPr>
          <w:lang w:val="tr-TR"/>
        </w:rPr>
      </w:pPr>
      <w:r w:rsidRPr="00417AC1">
        <w:rPr>
          <w:lang w:val="tr-TR"/>
        </w:rPr>
        <w:t xml:space="preserve">• </w:t>
      </w:r>
      <w:r w:rsidRPr="00417AC1">
        <w:rPr>
          <w:lang w:val="tr-TR"/>
        </w:rPr>
        <w:tab/>
        <w:t>Şiddet mağduru kadınlara, talep etmeleri halinde ücretsiz adli yardım ve Baro tarafından atanan avukat yardımı sağlanmaktadır.</w:t>
      </w:r>
    </w:p>
    <w:p w14:paraId="4D42328A" w14:textId="77777777" w:rsidR="00856523" w:rsidRPr="00417AC1" w:rsidRDefault="00856523" w:rsidP="00856523">
      <w:pPr>
        <w:pStyle w:val="H4G"/>
        <w:rPr>
          <w:lang w:val="tr-TR"/>
        </w:rPr>
      </w:pPr>
      <w:r w:rsidRPr="00417AC1">
        <w:rPr>
          <w:lang w:val="tr-TR"/>
        </w:rPr>
        <w:lastRenderedPageBreak/>
        <w:tab/>
      </w:r>
      <w:r w:rsidRPr="00417AC1">
        <w:rPr>
          <w:lang w:val="tr-TR"/>
        </w:rPr>
        <w:tab/>
        <w:t>İnsan Haklarına İlişkin Diğer Çalışmalar</w:t>
      </w:r>
    </w:p>
    <w:p w14:paraId="7F99C73F" w14:textId="6725D7E8" w:rsidR="00856523" w:rsidRPr="00417AC1" w:rsidRDefault="00856523" w:rsidP="00856523">
      <w:pPr>
        <w:pStyle w:val="SingleTxtG"/>
        <w:rPr>
          <w:lang w:val="tr-TR"/>
        </w:rPr>
      </w:pPr>
      <w:r w:rsidRPr="00417AC1">
        <w:rPr>
          <w:lang w:val="tr-TR"/>
        </w:rPr>
        <w:t xml:space="preserve">14. </w:t>
      </w:r>
      <w:r w:rsidRPr="00417AC1">
        <w:rPr>
          <w:lang w:val="tr-TR"/>
        </w:rPr>
        <w:tab/>
      </w:r>
      <w:r w:rsidR="00BA1A10" w:rsidRPr="00417AC1">
        <w:rPr>
          <w:lang w:val="tr-TR"/>
        </w:rPr>
        <w:t xml:space="preserve">“ </w:t>
      </w:r>
      <w:r w:rsidRPr="00417AC1">
        <w:rPr>
          <w:i/>
          <w:iCs/>
          <w:lang w:val="tr-TR"/>
        </w:rPr>
        <w:t xml:space="preserve">Güvenilir ve erişilebilir bir adalet ” </w:t>
      </w:r>
      <w:r w:rsidRPr="00417AC1">
        <w:rPr>
          <w:lang w:val="tr-TR"/>
        </w:rPr>
        <w:t xml:space="preserve">vizyonuyla hazırlanan </w:t>
      </w:r>
      <w:r w:rsidR="00BA1A10" w:rsidRPr="00417AC1">
        <w:rPr>
          <w:lang w:val="tr-TR"/>
        </w:rPr>
        <w:t>, 9 amaç, 63 hedef ve 256 faaliyetten oluşan Yargı Reformu Stratejisi 30 Mayıs 2019 tarihinde açıklandı.</w:t>
      </w:r>
    </w:p>
    <w:p w14:paraId="497DCA66" w14:textId="77777777" w:rsidR="00856523" w:rsidRPr="00417AC1" w:rsidRDefault="00856523" w:rsidP="00856523">
      <w:pPr>
        <w:pStyle w:val="SingleTxtG"/>
        <w:rPr>
          <w:lang w:val="tr-TR"/>
        </w:rPr>
      </w:pPr>
      <w:r w:rsidRPr="00417AC1">
        <w:rPr>
          <w:lang w:val="tr-TR"/>
        </w:rPr>
        <w:t xml:space="preserve">15. </w:t>
      </w:r>
      <w:r w:rsidRPr="00417AC1">
        <w:rPr>
          <w:lang w:val="tr-TR"/>
        </w:rPr>
        <w:tab/>
        <w:t>Gerçekleştirilen bazı önemli faaliyetler şunlardır:</w:t>
      </w:r>
    </w:p>
    <w:p w14:paraId="79CA9779"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Soruşturma aşamasında tutukluluk süresi, ağır ceza mahkemelerinin görev alanına giren davalarda bir yılı, diğer davalarda ise altı ayı geçemez. Devletin güvenliğini, Anayasa düzenini, milli savunmayı, Devlet sırlarını hedef alan suçlarda, TMK kapsamına giren suçlarda ve toplu olarak işlenen suçlarda bu süre en fazla bir yıl altı ay olup, altı ay daha uzatılabilir. Gerekçelerin gösterilmesi şartıyla.</w:t>
      </w:r>
    </w:p>
    <w:p w14:paraId="6C21F6CA" w14:textId="7BAA1E2E" w:rsidR="00856523" w:rsidRPr="00417AC1" w:rsidRDefault="00BA1A10" w:rsidP="00856523">
      <w:pPr>
        <w:pStyle w:val="Bullet1G"/>
        <w:numPr>
          <w:ilvl w:val="0"/>
          <w:numId w:val="6"/>
        </w:numPr>
        <w:kinsoku w:val="0"/>
        <w:overflowPunct w:val="0"/>
        <w:autoSpaceDE w:val="0"/>
        <w:autoSpaceDN w:val="0"/>
        <w:adjustRightInd w:val="0"/>
        <w:snapToGrid w:val="0"/>
        <w:rPr>
          <w:lang w:val="tr-TR"/>
        </w:rPr>
      </w:pPr>
      <w:r w:rsidRPr="00417AC1">
        <w:rPr>
          <w:i/>
          <w:lang w:val="tr-TR"/>
        </w:rPr>
        <w:t xml:space="preserve">"Haber verme sınırları içinde kalan, eleştiriye yönelik görüş belirtmek suç teşkil etmez" </w:t>
      </w:r>
      <w:r w:rsidR="00856523" w:rsidRPr="00417AC1">
        <w:rPr>
          <w:lang w:val="tr-TR"/>
        </w:rPr>
        <w:t>hükmü eklendi.</w:t>
      </w:r>
    </w:p>
    <w:p w14:paraId="6E058AB5"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İfade yoluyla işlenen ve şiddet içermeyen bazı suçlar için Yargıtay'a başvuru imkanı bulunmaktadır.</w:t>
      </w:r>
    </w:p>
    <w:p w14:paraId="65A72E2C"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Suça sürüklenen çocukların yargılama öncesi tutukluluğuna ilişkin üst sınırlar düşürüldü.</w:t>
      </w:r>
    </w:p>
    <w:p w14:paraId="59A347E4"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İnternet sitelerine erişimin engellenmesi kararları, internet sitesinin tamamının engellenmesi yerine, ihlale konu olan bir konunun yayınlanması, bir kısmı veya bölümü ile sınırlandırılmaktadır.</w:t>
      </w:r>
    </w:p>
    <w:p w14:paraId="6809E3F8"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Yükselme ve denetim süreçlerinde hakim ve savcıların hüküm ve kararlarının AYM ve AİHM içtihatlarına uygunluğu kriter olarak alınacaktır.</w:t>
      </w:r>
    </w:p>
    <w:p w14:paraId="5E7BA1BE"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bookmarkStart w:id="5" w:name="_Hlk110032799"/>
      <w:r w:rsidRPr="00417AC1">
        <w:rPr>
          <w:lang w:val="tr-TR"/>
        </w:rPr>
        <w:t>Yaşlı, kadın ve çocuklar için ev hapsine çevrilebilecek hapis cezalarının üst sınırı artırıldı.</w:t>
      </w:r>
    </w:p>
    <w:bookmarkEnd w:id="5"/>
    <w:p w14:paraId="47F8F181" w14:textId="77777777" w:rsidR="00856523" w:rsidRPr="00417AC1" w:rsidRDefault="00856523" w:rsidP="00856523">
      <w:pPr>
        <w:pStyle w:val="SingleTxtG"/>
        <w:rPr>
          <w:lang w:val="tr-TR"/>
        </w:rPr>
      </w:pPr>
      <w:r w:rsidRPr="00417AC1">
        <w:rPr>
          <w:lang w:val="tr-TR"/>
        </w:rPr>
        <w:t xml:space="preserve">16. </w:t>
      </w:r>
      <w:r w:rsidRPr="00417AC1">
        <w:rPr>
          <w:lang w:val="tr-TR"/>
        </w:rPr>
        <w:tab/>
        <w:t>İnsan haklarına ilişkin yasal ve kurumsal çerçeveye ilişkin raporlama döneminde gerçekleştirilen diğer çalışmalara ilgili paragraflarda değinilmiştir.</w:t>
      </w:r>
    </w:p>
    <w:p w14:paraId="3455C8E4" w14:textId="77777777" w:rsidR="00856523" w:rsidRPr="00417AC1" w:rsidRDefault="00856523" w:rsidP="00856523">
      <w:pPr>
        <w:pStyle w:val="H4G"/>
        <w:rPr>
          <w:lang w:val="tr-TR"/>
        </w:rPr>
      </w:pPr>
      <w:r w:rsidRPr="00417AC1">
        <w:rPr>
          <w:lang w:val="tr-TR"/>
        </w:rPr>
        <w:tab/>
      </w:r>
      <w:r w:rsidRPr="00417AC1">
        <w:rPr>
          <w:lang w:val="tr-TR"/>
        </w:rPr>
        <w:tab/>
        <w:t>27. Maddeye çekince konuldu</w:t>
      </w:r>
    </w:p>
    <w:p w14:paraId="5A08A34D" w14:textId="0A899312" w:rsidR="00856523" w:rsidRPr="00417AC1" w:rsidRDefault="00856523" w:rsidP="00856523">
      <w:pPr>
        <w:pStyle w:val="SingleTxtG"/>
        <w:shd w:val="clear" w:color="auto" w:fill="FFFFFF" w:themeFill="background1"/>
        <w:rPr>
          <w:lang w:val="tr-TR"/>
        </w:rPr>
      </w:pPr>
      <w:r w:rsidRPr="00417AC1">
        <w:rPr>
          <w:lang w:val="tr-TR"/>
        </w:rPr>
        <w:t xml:space="preserve">17. </w:t>
      </w:r>
      <w:r w:rsidRPr="00417AC1">
        <w:rPr>
          <w:lang w:val="tr-TR"/>
        </w:rPr>
        <w:tab/>
        <w:t xml:space="preserve">Çekincenin amacı, ICCPR'nin 27. maddesinin yorumlanmasında Türk Anayasasına aykırılığın önlenmesidir. Anayasanın 10. maddesine göre </w:t>
      </w:r>
      <w:r w:rsidR="00BA1A10" w:rsidRPr="00417AC1">
        <w:rPr>
          <w:i/>
          <w:lang w:val="tr-TR"/>
        </w:rPr>
        <w:t xml:space="preserve">“Herkes, dil, ırk, renk, cinsiyet, siyasi düşünce, felsefi inanç, din, mezhep ve benzeri sebeplerle ayrım gözetilmeksizin kanun önünde eşittir [...] Devletin, Bu eşitliğin uygulamada var olmasını sağlamak.” </w:t>
      </w:r>
      <w:r w:rsidRPr="00417AC1">
        <w:rPr>
          <w:lang w:val="tr-TR"/>
        </w:rPr>
        <w:t>Anayasa'ya göre azınlıklar, Türkiye'nin taraf olduğu ikili ve çok taraflı anlaşmalarla tanımlanmakta ve tanınmaktadır. Azınlık hakları, 1923 Lozan Barış Antlaşması'na tabidir. Anayasa ve Lozan Barış Antlaşması'na göre, azınlık gruplarına mensup Türk vatandaşları, diğer vatandaşlarla aynı haklara sahiptir ve azınlık statüsünden de yararlanırlar. Bu nedenle söz konusu rezervasyonun geri alınması düşünülmemektedir.</w:t>
      </w:r>
    </w:p>
    <w:p w14:paraId="186D9DF6" w14:textId="77777777" w:rsidR="00856523" w:rsidRPr="00417AC1" w:rsidRDefault="00856523" w:rsidP="00856523">
      <w:pPr>
        <w:pStyle w:val="H4G"/>
        <w:rPr>
          <w:lang w:val="tr-TR"/>
        </w:rPr>
      </w:pPr>
      <w:r w:rsidRPr="00417AC1">
        <w:rPr>
          <w:lang w:val="tr-TR"/>
        </w:rPr>
        <w:tab/>
      </w:r>
      <w:r w:rsidRPr="00417AC1">
        <w:rPr>
          <w:lang w:val="tr-TR"/>
        </w:rPr>
        <w:tab/>
        <w:t>HRC tavsiyelerinin uygulanması</w:t>
      </w:r>
    </w:p>
    <w:p w14:paraId="4051A9CE" w14:textId="7540B292" w:rsidR="00856523" w:rsidRPr="00417AC1" w:rsidRDefault="00856523" w:rsidP="00856523">
      <w:pPr>
        <w:pStyle w:val="SingleTxtG"/>
        <w:shd w:val="clear" w:color="auto" w:fill="FFFFFF" w:themeFill="background1"/>
        <w:rPr>
          <w:lang w:val="tr-TR"/>
        </w:rPr>
      </w:pPr>
      <w:r w:rsidRPr="00417AC1">
        <w:rPr>
          <w:lang w:val="tr-TR"/>
        </w:rPr>
        <w:t xml:space="preserve">18. </w:t>
      </w:r>
      <w:r w:rsidRPr="00417AC1">
        <w:rPr>
          <w:lang w:val="tr-TR"/>
        </w:rPr>
        <w:tab/>
        <w:t>Raporlama döneminde HRC tarafından benimsenen görüşler ( CCPR/C/104/D/1853-1854/2008, CCPR/C/123/D/2274/2013 ve CCPR/C/125/D/2980/2017) ilgili ulusal makamlara iletilmiş ve takip prosedürü çerçevesinde İHK'ya bilgi verilmiştir.</w:t>
      </w:r>
    </w:p>
    <w:p w14:paraId="17EC0999" w14:textId="77777777" w:rsidR="00856523" w:rsidRPr="00417AC1" w:rsidRDefault="00856523" w:rsidP="00856523">
      <w:pPr>
        <w:pStyle w:val="H1G"/>
        <w:rPr>
          <w:lang w:val="tr-TR"/>
        </w:rPr>
      </w:pPr>
      <w:bookmarkStart w:id="6" w:name="_Toc110354328"/>
      <w:r w:rsidRPr="00417AC1">
        <w:rPr>
          <w:lang w:val="tr-TR"/>
        </w:rPr>
        <w:tab/>
        <w:t>B.HRC'nin önceki tavsiyeleri de dahil olmak üzere, ICCPR'nin 1-27. Maddelerinin uygulanmasına ilişkin özel bilgiler</w:t>
      </w:r>
      <w:bookmarkEnd w:id="6"/>
    </w:p>
    <w:p w14:paraId="5538EA2E" w14:textId="77777777" w:rsidR="00856523" w:rsidRPr="00417AC1" w:rsidRDefault="00856523" w:rsidP="00856523">
      <w:pPr>
        <w:pStyle w:val="H23G"/>
        <w:rPr>
          <w:lang w:val="tr-TR"/>
        </w:rPr>
      </w:pPr>
      <w:bookmarkStart w:id="7" w:name="_Toc110354329"/>
      <w:r w:rsidRPr="00417AC1">
        <w:rPr>
          <w:lang w:val="tr-TR"/>
        </w:rPr>
        <w:tab/>
      </w:r>
      <w:r w:rsidRPr="00417AC1">
        <w:rPr>
          <w:lang w:val="tr-TR"/>
        </w:rPr>
        <w:tab/>
        <w:t>ICCPR'nin uygulandığı anayasal ve yasal çerçeve – Madde 2</w:t>
      </w:r>
      <w:bookmarkEnd w:id="7"/>
    </w:p>
    <w:p w14:paraId="037CB803" w14:textId="77777777" w:rsidR="00856523" w:rsidRPr="00417AC1" w:rsidRDefault="00856523" w:rsidP="00856523">
      <w:pPr>
        <w:pStyle w:val="H4G"/>
        <w:rPr>
          <w:lang w:val="tr-TR"/>
        </w:rPr>
      </w:pPr>
      <w:r w:rsidRPr="00417AC1">
        <w:rPr>
          <w:lang w:val="tr-TR"/>
        </w:rPr>
        <w:tab/>
      </w:r>
      <w:r w:rsidRPr="00417AC1">
        <w:rPr>
          <w:lang w:val="tr-TR"/>
        </w:rPr>
        <w:tab/>
        <w:t>HREIT</w:t>
      </w:r>
    </w:p>
    <w:p w14:paraId="62AC01A3" w14:textId="0F41B508" w:rsidR="00856523" w:rsidRPr="00417AC1" w:rsidRDefault="00856523" w:rsidP="00856523">
      <w:pPr>
        <w:pStyle w:val="SingleTxtG"/>
        <w:rPr>
          <w:lang w:val="tr-TR"/>
        </w:rPr>
      </w:pPr>
      <w:r w:rsidRPr="00417AC1">
        <w:rPr>
          <w:lang w:val="tr-TR"/>
        </w:rPr>
        <w:t xml:space="preserve">19. </w:t>
      </w:r>
      <w:r w:rsidRPr="00417AC1">
        <w:rPr>
          <w:lang w:val="tr-TR"/>
        </w:rPr>
        <w:tab/>
        <w:t xml:space="preserve">HREIT, 20 Nisan 2016 tarih ve 6701 sayılı Kanun ile Paris İlkelerine uygun olarak kurulmuştur. HREIT'in kurulmasıyla birlikte </w:t>
      </w:r>
      <w:r w:rsidR="00BA1A10" w:rsidRPr="00417AC1">
        <w:rPr>
          <w:lang w:val="tr-TR"/>
        </w:rPr>
        <w:t>2012 yılında kurulan “Türkiye İnsan Hakları Kurumu” feshedilmiştir.</w:t>
      </w:r>
    </w:p>
    <w:p w14:paraId="7BC7AD0B" w14:textId="77777777" w:rsidR="00856523" w:rsidRPr="00417AC1" w:rsidRDefault="00856523" w:rsidP="00856523">
      <w:pPr>
        <w:pStyle w:val="SingleTxtG"/>
        <w:rPr>
          <w:lang w:val="tr-TR"/>
        </w:rPr>
      </w:pPr>
      <w:r w:rsidRPr="00417AC1">
        <w:rPr>
          <w:lang w:val="tr-TR"/>
        </w:rPr>
        <w:lastRenderedPageBreak/>
        <w:t xml:space="preserve">20. </w:t>
      </w:r>
      <w:r w:rsidRPr="00417AC1">
        <w:rPr>
          <w:lang w:val="tr-TR"/>
        </w:rPr>
        <w:tab/>
        <w:t>Temel görevi insan haklarının korunması ve geliştirilmesi olan HREIT, Ulusal İnsan Hakları Kurumu, İşkence ve Kötü Muameleye Karşı UÖM ve Ayrımcılıkla Mücadele ve Eşitlik Kurumu olmak üzere üç temel görevi üstlenmektedir.</w:t>
      </w:r>
    </w:p>
    <w:p w14:paraId="36466F3D" w14:textId="77777777" w:rsidR="00856523" w:rsidRPr="00417AC1" w:rsidRDefault="00856523" w:rsidP="00856523">
      <w:pPr>
        <w:pStyle w:val="SingleTxtG"/>
        <w:rPr>
          <w:lang w:val="tr-TR"/>
        </w:rPr>
      </w:pPr>
      <w:r w:rsidRPr="00417AC1">
        <w:rPr>
          <w:lang w:val="tr-TR"/>
        </w:rPr>
        <w:t xml:space="preserve">21. </w:t>
      </w:r>
      <w:r w:rsidRPr="00417AC1">
        <w:rPr>
          <w:lang w:val="tr-TR"/>
        </w:rPr>
        <w:tab/>
        <w:t xml:space="preserve">HREIT, insan hakları ihlallerine ilişkin </w:t>
      </w:r>
      <w:r w:rsidRPr="00417AC1">
        <w:rPr>
          <w:i/>
          <w:lang w:val="tr-TR"/>
        </w:rPr>
        <w:t xml:space="preserve">re'sen </w:t>
      </w:r>
      <w:r w:rsidRPr="00417AC1">
        <w:rPr>
          <w:lang w:val="tr-TR"/>
        </w:rPr>
        <w:t>inceleme yapar, karar verir ve sonuçlarını ilgili kurumlar nezdinde takip eder. Ayrıca başvuru üzerine ayrımcılık iddialarını inceleyerek mağdurlara başvurabilecekleri idari ve hukuki yollar konusunda yardımcı oluyor. OPCAT kapsamında UPM olarak özgürlüğünden yoksun bırakılan veya koruma altına alınan kişilerin başvurularını inceler, tutuldukları yerlere önceden haber vererek veya vermeden düzenli ziyaretler yapar ve bu ziyaretlere ilişkin raporlar hazırlar.</w:t>
      </w:r>
    </w:p>
    <w:p w14:paraId="472654E5" w14:textId="77777777" w:rsidR="00856523" w:rsidRPr="00417AC1" w:rsidRDefault="00856523" w:rsidP="00856523">
      <w:pPr>
        <w:pStyle w:val="SingleTxtG"/>
        <w:rPr>
          <w:lang w:val="tr-TR"/>
        </w:rPr>
      </w:pPr>
      <w:r w:rsidRPr="00417AC1">
        <w:rPr>
          <w:lang w:val="tr-TR"/>
        </w:rPr>
        <w:t xml:space="preserve">22. </w:t>
      </w:r>
      <w:r w:rsidRPr="00417AC1">
        <w:rPr>
          <w:lang w:val="tr-TR"/>
        </w:rPr>
        <w:tab/>
        <w:t>HREIT, Türkiye'nin taraf olduğu uluslararası insan hakları sözleşmelerinin uygulanmasını izler, görev alanına giren mevzuat çalışmalarını takip ederek görüş ve önerilerini ilgili kurumlara sunar, aynı alanda ulusal ve uluslararası kurum ve kuruluşlarla işbirliği yapar. insan hakları konusunda bilinç ve eğitim düzeyinin yükseltilmesine yönelik faaliyetler yürütür.</w:t>
      </w:r>
    </w:p>
    <w:p w14:paraId="2493B7F3" w14:textId="77777777" w:rsidR="00856523" w:rsidRPr="00417AC1" w:rsidRDefault="00856523" w:rsidP="00856523">
      <w:pPr>
        <w:pStyle w:val="SingleTxtG"/>
        <w:rPr>
          <w:lang w:val="tr-TR"/>
        </w:rPr>
      </w:pPr>
      <w:r w:rsidRPr="00417AC1">
        <w:rPr>
          <w:lang w:val="tr-TR"/>
        </w:rPr>
        <w:t xml:space="preserve">23. </w:t>
      </w:r>
      <w:r w:rsidRPr="00417AC1">
        <w:rPr>
          <w:lang w:val="tr-TR"/>
        </w:rPr>
        <w:tab/>
        <w:t>HREIT, kendi bütçesine sahip, idari ve mali özerkliğe sahip bir kamu tüzel kişiliğidir. Görevlerini bağımsız olarak yerine getirir ve yetkilerini kullanır; hiçbir makam, makam, kuruluş veya kişi, görev alanına giren konularda emir, talimat, tavsiye ve öneride bulunamaz.</w:t>
      </w:r>
    </w:p>
    <w:p w14:paraId="5204A830" w14:textId="77777777" w:rsidR="00856523" w:rsidRPr="00417AC1" w:rsidRDefault="00856523" w:rsidP="00856523">
      <w:pPr>
        <w:pStyle w:val="SingleTxtG"/>
        <w:rPr>
          <w:lang w:val="tr-TR"/>
        </w:rPr>
      </w:pPr>
      <w:r w:rsidRPr="00417AC1">
        <w:rPr>
          <w:lang w:val="tr-TR"/>
        </w:rPr>
        <w:t xml:space="preserve">24. </w:t>
      </w:r>
      <w:r w:rsidRPr="00417AC1">
        <w:rPr>
          <w:lang w:val="tr-TR"/>
        </w:rPr>
        <w:tab/>
        <w:t>HREIT'in başvuru ve kararlarına ilişkin bilgiler aşağıda sunulmaktadır:</w:t>
      </w:r>
    </w:p>
    <w:p w14:paraId="17B51B26" w14:textId="77777777" w:rsidR="00856523" w:rsidRPr="00417AC1" w:rsidRDefault="00856523" w:rsidP="006B7B69">
      <w:pPr>
        <w:pStyle w:val="Bullet1G"/>
        <w:numPr>
          <w:ilvl w:val="0"/>
          <w:numId w:val="6"/>
        </w:numPr>
        <w:kinsoku w:val="0"/>
        <w:overflowPunct w:val="0"/>
        <w:autoSpaceDE w:val="0"/>
        <w:autoSpaceDN w:val="0"/>
        <w:adjustRightInd w:val="0"/>
        <w:snapToGrid w:val="0"/>
        <w:spacing w:after="240"/>
        <w:rPr>
          <w:lang w:val="tr-TR"/>
        </w:rPr>
      </w:pPr>
      <w:r w:rsidRPr="00417AC1">
        <w:rPr>
          <w:lang w:val="tr-TR"/>
        </w:rPr>
        <w:t>Resen yapılan incelemeler: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8"/>
        <w:gridCol w:w="1848"/>
        <w:gridCol w:w="1770"/>
        <w:gridCol w:w="1425"/>
        <w:gridCol w:w="1069"/>
      </w:tblGrid>
      <w:tr w:rsidR="00BC6C76" w:rsidRPr="00417AC1" w14:paraId="2F916A66" w14:textId="77777777" w:rsidTr="006B7B69">
        <w:trPr>
          <w:tblHeader/>
        </w:trPr>
        <w:tc>
          <w:tcPr>
            <w:tcW w:w="1258" w:type="dxa"/>
            <w:tcBorders>
              <w:top w:val="single" w:sz="4" w:space="0" w:color="auto"/>
              <w:bottom w:val="single" w:sz="12" w:space="0" w:color="auto"/>
            </w:tcBorders>
            <w:shd w:val="clear" w:color="auto" w:fill="auto"/>
            <w:vAlign w:val="bottom"/>
          </w:tcPr>
          <w:p w14:paraId="19DF2EE3" w14:textId="77777777" w:rsidR="00856523" w:rsidRPr="00417AC1" w:rsidRDefault="00856523" w:rsidP="006B7B69">
            <w:pPr>
              <w:suppressAutoHyphens w:val="0"/>
              <w:spacing w:before="80" w:after="80" w:line="200" w:lineRule="exact"/>
              <w:ind w:right="113"/>
              <w:rPr>
                <w:rFonts w:eastAsia="Calibri"/>
                <w:i/>
                <w:sz w:val="16"/>
                <w:lang w:val="tr-TR"/>
              </w:rPr>
            </w:pPr>
            <w:r w:rsidRPr="00417AC1">
              <w:rPr>
                <w:rFonts w:eastAsia="Calibri"/>
                <w:i/>
                <w:sz w:val="16"/>
                <w:lang w:val="tr-TR"/>
              </w:rPr>
              <w:t>Yıl/Görev</w:t>
            </w:r>
          </w:p>
        </w:tc>
        <w:tc>
          <w:tcPr>
            <w:tcW w:w="1848" w:type="dxa"/>
            <w:tcBorders>
              <w:top w:val="single" w:sz="4" w:space="0" w:color="auto"/>
              <w:bottom w:val="single" w:sz="12" w:space="0" w:color="auto"/>
            </w:tcBorders>
            <w:shd w:val="clear" w:color="auto" w:fill="auto"/>
            <w:vAlign w:val="bottom"/>
          </w:tcPr>
          <w:p w14:paraId="22168924" w14:textId="77777777" w:rsidR="00856523" w:rsidRPr="00417AC1" w:rsidRDefault="00856523" w:rsidP="006B7B69">
            <w:pPr>
              <w:suppressAutoHyphens w:val="0"/>
              <w:spacing w:before="80" w:after="80" w:line="200" w:lineRule="exact"/>
              <w:ind w:right="113"/>
              <w:jc w:val="right"/>
              <w:rPr>
                <w:rFonts w:eastAsia="Calibri"/>
                <w:i/>
                <w:sz w:val="16"/>
                <w:lang w:val="tr-TR"/>
              </w:rPr>
            </w:pPr>
            <w:r w:rsidRPr="00417AC1">
              <w:rPr>
                <w:rFonts w:eastAsia="Calibri"/>
                <w:i/>
                <w:sz w:val="16"/>
                <w:lang w:val="tr-TR"/>
              </w:rPr>
              <w:t>Ayrımcılıkla Mücadele ve Eşitliğin Sağlanması</w:t>
            </w:r>
          </w:p>
        </w:tc>
        <w:tc>
          <w:tcPr>
            <w:tcW w:w="1770" w:type="dxa"/>
            <w:tcBorders>
              <w:top w:val="single" w:sz="4" w:space="0" w:color="auto"/>
              <w:bottom w:val="single" w:sz="12" w:space="0" w:color="auto"/>
            </w:tcBorders>
            <w:shd w:val="clear" w:color="auto" w:fill="auto"/>
            <w:vAlign w:val="bottom"/>
          </w:tcPr>
          <w:p w14:paraId="5597F947" w14:textId="77777777" w:rsidR="00856523" w:rsidRPr="00417AC1" w:rsidRDefault="00856523" w:rsidP="006B7B69">
            <w:pPr>
              <w:suppressAutoHyphens w:val="0"/>
              <w:spacing w:before="80" w:after="80" w:line="200" w:lineRule="exact"/>
              <w:ind w:right="113"/>
              <w:jc w:val="right"/>
              <w:rPr>
                <w:rFonts w:eastAsia="Calibri"/>
                <w:i/>
                <w:sz w:val="16"/>
                <w:lang w:val="tr-TR"/>
              </w:rPr>
            </w:pPr>
            <w:r w:rsidRPr="00417AC1">
              <w:rPr>
                <w:i/>
                <w:sz w:val="16"/>
                <w:lang w:val="tr-TR"/>
              </w:rPr>
              <w:t>İnsan Haklarının Korunması ve Geliştirilmesi</w:t>
            </w:r>
          </w:p>
        </w:tc>
        <w:tc>
          <w:tcPr>
            <w:tcW w:w="1425" w:type="dxa"/>
            <w:tcBorders>
              <w:top w:val="single" w:sz="4" w:space="0" w:color="auto"/>
              <w:bottom w:val="single" w:sz="12" w:space="0" w:color="auto"/>
            </w:tcBorders>
            <w:shd w:val="clear" w:color="auto" w:fill="auto"/>
            <w:vAlign w:val="bottom"/>
          </w:tcPr>
          <w:p w14:paraId="4242F268" w14:textId="77777777" w:rsidR="00856523" w:rsidRPr="00417AC1" w:rsidRDefault="00856523" w:rsidP="006B7B69">
            <w:pPr>
              <w:suppressAutoHyphens w:val="0"/>
              <w:spacing w:before="80" w:after="80" w:line="200" w:lineRule="exact"/>
              <w:ind w:right="113"/>
              <w:jc w:val="right"/>
              <w:rPr>
                <w:rFonts w:eastAsia="Calibri"/>
                <w:i/>
                <w:sz w:val="16"/>
                <w:lang w:val="tr-TR"/>
              </w:rPr>
            </w:pPr>
            <w:r w:rsidRPr="00417AC1">
              <w:rPr>
                <w:rFonts w:eastAsia="Calibri"/>
                <w:i/>
                <w:sz w:val="16"/>
                <w:lang w:val="tr-TR"/>
              </w:rPr>
              <w:t>NPM</w:t>
            </w:r>
          </w:p>
        </w:tc>
        <w:tc>
          <w:tcPr>
            <w:tcW w:w="1069" w:type="dxa"/>
            <w:tcBorders>
              <w:top w:val="single" w:sz="4" w:space="0" w:color="auto"/>
              <w:bottom w:val="single" w:sz="12" w:space="0" w:color="auto"/>
            </w:tcBorders>
            <w:shd w:val="clear" w:color="auto" w:fill="auto"/>
            <w:vAlign w:val="bottom"/>
          </w:tcPr>
          <w:p w14:paraId="1D5A62EA" w14:textId="77777777" w:rsidR="00856523" w:rsidRPr="00417AC1" w:rsidRDefault="00856523" w:rsidP="006B7B69">
            <w:pPr>
              <w:suppressAutoHyphens w:val="0"/>
              <w:spacing w:before="80" w:after="80" w:line="200" w:lineRule="exact"/>
              <w:ind w:right="113"/>
              <w:jc w:val="right"/>
              <w:rPr>
                <w:rFonts w:eastAsia="Calibri"/>
                <w:i/>
                <w:sz w:val="16"/>
                <w:lang w:val="tr-TR"/>
              </w:rPr>
            </w:pPr>
            <w:r w:rsidRPr="00417AC1">
              <w:rPr>
                <w:rFonts w:eastAsia="Calibri"/>
                <w:i/>
                <w:sz w:val="16"/>
                <w:lang w:val="tr-TR"/>
              </w:rPr>
              <w:t>Toplam</w:t>
            </w:r>
          </w:p>
        </w:tc>
      </w:tr>
      <w:tr w:rsidR="00856523" w:rsidRPr="00417AC1" w14:paraId="46195AEA" w14:textId="77777777" w:rsidTr="006B7B69">
        <w:tc>
          <w:tcPr>
            <w:tcW w:w="1258" w:type="dxa"/>
            <w:tcBorders>
              <w:top w:val="single" w:sz="12" w:space="0" w:color="auto"/>
            </w:tcBorders>
            <w:shd w:val="clear" w:color="auto" w:fill="auto"/>
          </w:tcPr>
          <w:p w14:paraId="78AB9827" w14:textId="77777777" w:rsidR="00856523" w:rsidRPr="00417AC1" w:rsidRDefault="00856523" w:rsidP="006B7B69">
            <w:pPr>
              <w:suppressAutoHyphens w:val="0"/>
              <w:spacing w:before="40" w:after="40" w:line="220" w:lineRule="exact"/>
              <w:ind w:right="113"/>
              <w:rPr>
                <w:rFonts w:eastAsia="Calibri"/>
                <w:bCs/>
                <w:sz w:val="18"/>
                <w:lang w:val="tr-TR"/>
              </w:rPr>
            </w:pPr>
            <w:r w:rsidRPr="00417AC1">
              <w:rPr>
                <w:rFonts w:eastAsia="Calibri"/>
                <w:bCs/>
                <w:sz w:val="18"/>
                <w:lang w:val="tr-TR"/>
              </w:rPr>
              <w:t>2018</w:t>
            </w:r>
          </w:p>
        </w:tc>
        <w:tc>
          <w:tcPr>
            <w:tcW w:w="1848" w:type="dxa"/>
            <w:tcBorders>
              <w:top w:val="single" w:sz="12" w:space="0" w:color="auto"/>
            </w:tcBorders>
            <w:shd w:val="clear" w:color="auto" w:fill="auto"/>
            <w:vAlign w:val="bottom"/>
          </w:tcPr>
          <w:p w14:paraId="69F90CD9"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1</w:t>
            </w:r>
          </w:p>
        </w:tc>
        <w:tc>
          <w:tcPr>
            <w:tcW w:w="1770" w:type="dxa"/>
            <w:tcBorders>
              <w:top w:val="single" w:sz="12" w:space="0" w:color="auto"/>
            </w:tcBorders>
            <w:shd w:val="clear" w:color="auto" w:fill="auto"/>
            <w:vAlign w:val="bottom"/>
          </w:tcPr>
          <w:p w14:paraId="126EC444"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1</w:t>
            </w:r>
          </w:p>
        </w:tc>
        <w:tc>
          <w:tcPr>
            <w:tcW w:w="1425" w:type="dxa"/>
            <w:tcBorders>
              <w:top w:val="single" w:sz="12" w:space="0" w:color="auto"/>
            </w:tcBorders>
            <w:shd w:val="clear" w:color="auto" w:fill="auto"/>
            <w:vAlign w:val="bottom"/>
          </w:tcPr>
          <w:p w14:paraId="3E6C199A" w14:textId="77777777" w:rsidR="00856523" w:rsidRPr="00417AC1" w:rsidRDefault="00856523" w:rsidP="006B7B69">
            <w:pPr>
              <w:suppressAutoHyphens w:val="0"/>
              <w:spacing w:before="40" w:after="40" w:line="220" w:lineRule="exact"/>
              <w:ind w:right="113"/>
              <w:jc w:val="right"/>
              <w:rPr>
                <w:rFonts w:eastAsia="Calibri"/>
                <w:sz w:val="18"/>
                <w:lang w:val="tr-TR"/>
              </w:rPr>
            </w:pPr>
          </w:p>
        </w:tc>
        <w:tc>
          <w:tcPr>
            <w:tcW w:w="1069" w:type="dxa"/>
            <w:tcBorders>
              <w:top w:val="single" w:sz="12" w:space="0" w:color="auto"/>
            </w:tcBorders>
            <w:shd w:val="clear" w:color="auto" w:fill="auto"/>
            <w:vAlign w:val="bottom"/>
          </w:tcPr>
          <w:p w14:paraId="541F0BED"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2</w:t>
            </w:r>
          </w:p>
        </w:tc>
      </w:tr>
      <w:tr w:rsidR="00856523" w:rsidRPr="00417AC1" w14:paraId="1B964168" w14:textId="77777777" w:rsidTr="006B7B69">
        <w:tc>
          <w:tcPr>
            <w:tcW w:w="1258" w:type="dxa"/>
            <w:shd w:val="clear" w:color="auto" w:fill="auto"/>
          </w:tcPr>
          <w:p w14:paraId="55C1985A" w14:textId="77777777" w:rsidR="00856523" w:rsidRPr="00417AC1" w:rsidRDefault="00856523" w:rsidP="006B7B69">
            <w:pPr>
              <w:suppressAutoHyphens w:val="0"/>
              <w:spacing w:before="40" w:after="40" w:line="220" w:lineRule="exact"/>
              <w:ind w:right="113"/>
              <w:rPr>
                <w:rFonts w:eastAsia="Calibri"/>
                <w:bCs/>
                <w:sz w:val="18"/>
                <w:lang w:val="tr-TR"/>
              </w:rPr>
            </w:pPr>
            <w:r w:rsidRPr="00417AC1">
              <w:rPr>
                <w:rFonts w:eastAsia="Calibri"/>
                <w:bCs/>
                <w:sz w:val="18"/>
                <w:lang w:val="tr-TR"/>
              </w:rPr>
              <w:t>2019</w:t>
            </w:r>
          </w:p>
        </w:tc>
        <w:tc>
          <w:tcPr>
            <w:tcW w:w="1848" w:type="dxa"/>
            <w:shd w:val="clear" w:color="auto" w:fill="auto"/>
            <w:vAlign w:val="bottom"/>
          </w:tcPr>
          <w:p w14:paraId="7EFE8A43"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2</w:t>
            </w:r>
          </w:p>
        </w:tc>
        <w:tc>
          <w:tcPr>
            <w:tcW w:w="1770" w:type="dxa"/>
            <w:shd w:val="clear" w:color="auto" w:fill="auto"/>
            <w:vAlign w:val="bottom"/>
          </w:tcPr>
          <w:p w14:paraId="060B16D1"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7</w:t>
            </w:r>
          </w:p>
        </w:tc>
        <w:tc>
          <w:tcPr>
            <w:tcW w:w="1425" w:type="dxa"/>
            <w:shd w:val="clear" w:color="auto" w:fill="auto"/>
            <w:vAlign w:val="bottom"/>
          </w:tcPr>
          <w:p w14:paraId="727707BF"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2</w:t>
            </w:r>
          </w:p>
        </w:tc>
        <w:tc>
          <w:tcPr>
            <w:tcW w:w="1069" w:type="dxa"/>
            <w:shd w:val="clear" w:color="auto" w:fill="auto"/>
            <w:vAlign w:val="bottom"/>
          </w:tcPr>
          <w:p w14:paraId="5B711096"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11</w:t>
            </w:r>
          </w:p>
        </w:tc>
      </w:tr>
      <w:tr w:rsidR="00856523" w:rsidRPr="00417AC1" w14:paraId="05EA30AF" w14:textId="77777777" w:rsidTr="00097E66">
        <w:tc>
          <w:tcPr>
            <w:tcW w:w="1258" w:type="dxa"/>
            <w:tcBorders>
              <w:bottom w:val="nil"/>
            </w:tcBorders>
            <w:shd w:val="clear" w:color="auto" w:fill="auto"/>
          </w:tcPr>
          <w:p w14:paraId="6E57F05F" w14:textId="77777777" w:rsidR="00856523" w:rsidRPr="00417AC1" w:rsidRDefault="00856523" w:rsidP="006B7B69">
            <w:pPr>
              <w:suppressAutoHyphens w:val="0"/>
              <w:spacing w:before="40" w:after="40" w:line="220" w:lineRule="exact"/>
              <w:ind w:right="113"/>
              <w:rPr>
                <w:rFonts w:eastAsia="Calibri"/>
                <w:bCs/>
                <w:sz w:val="18"/>
                <w:lang w:val="tr-TR"/>
              </w:rPr>
            </w:pPr>
            <w:r w:rsidRPr="00417AC1">
              <w:rPr>
                <w:rFonts w:eastAsia="Calibri"/>
                <w:bCs/>
                <w:sz w:val="18"/>
                <w:lang w:val="tr-TR"/>
              </w:rPr>
              <w:t>2020</w:t>
            </w:r>
          </w:p>
        </w:tc>
        <w:tc>
          <w:tcPr>
            <w:tcW w:w="1848" w:type="dxa"/>
            <w:tcBorders>
              <w:bottom w:val="nil"/>
            </w:tcBorders>
            <w:shd w:val="clear" w:color="auto" w:fill="auto"/>
            <w:vAlign w:val="bottom"/>
          </w:tcPr>
          <w:p w14:paraId="3EAD5231"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3</w:t>
            </w:r>
          </w:p>
        </w:tc>
        <w:tc>
          <w:tcPr>
            <w:tcW w:w="1770" w:type="dxa"/>
            <w:tcBorders>
              <w:bottom w:val="nil"/>
            </w:tcBorders>
            <w:shd w:val="clear" w:color="auto" w:fill="auto"/>
            <w:vAlign w:val="bottom"/>
          </w:tcPr>
          <w:p w14:paraId="1A36E803"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3</w:t>
            </w:r>
          </w:p>
        </w:tc>
        <w:tc>
          <w:tcPr>
            <w:tcW w:w="1425" w:type="dxa"/>
            <w:tcBorders>
              <w:bottom w:val="nil"/>
            </w:tcBorders>
            <w:shd w:val="clear" w:color="auto" w:fill="auto"/>
            <w:vAlign w:val="bottom"/>
          </w:tcPr>
          <w:p w14:paraId="476F7622" w14:textId="77777777" w:rsidR="00856523" w:rsidRPr="00417AC1" w:rsidRDefault="00856523" w:rsidP="006B7B69">
            <w:pPr>
              <w:suppressAutoHyphens w:val="0"/>
              <w:spacing w:before="40" w:after="40" w:line="220" w:lineRule="exact"/>
              <w:ind w:right="113"/>
              <w:jc w:val="right"/>
              <w:rPr>
                <w:rFonts w:eastAsia="Calibri"/>
                <w:sz w:val="18"/>
                <w:lang w:val="tr-TR"/>
              </w:rPr>
            </w:pPr>
          </w:p>
        </w:tc>
        <w:tc>
          <w:tcPr>
            <w:tcW w:w="1069" w:type="dxa"/>
            <w:tcBorders>
              <w:bottom w:val="nil"/>
            </w:tcBorders>
            <w:shd w:val="clear" w:color="auto" w:fill="auto"/>
            <w:vAlign w:val="bottom"/>
          </w:tcPr>
          <w:p w14:paraId="1A13D54A"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6</w:t>
            </w:r>
          </w:p>
        </w:tc>
      </w:tr>
      <w:tr w:rsidR="00856523" w:rsidRPr="00417AC1" w14:paraId="7C794F31" w14:textId="77777777" w:rsidTr="00097E66">
        <w:tc>
          <w:tcPr>
            <w:tcW w:w="1258" w:type="dxa"/>
            <w:tcBorders>
              <w:top w:val="nil"/>
              <w:bottom w:val="single" w:sz="12" w:space="0" w:color="auto"/>
            </w:tcBorders>
            <w:shd w:val="clear" w:color="auto" w:fill="auto"/>
          </w:tcPr>
          <w:p w14:paraId="045A50EA" w14:textId="77777777" w:rsidR="00856523" w:rsidRPr="00417AC1" w:rsidRDefault="00856523" w:rsidP="006B7B69">
            <w:pPr>
              <w:suppressAutoHyphens w:val="0"/>
              <w:spacing w:before="40" w:after="40" w:line="220" w:lineRule="exact"/>
              <w:ind w:right="113"/>
              <w:rPr>
                <w:rFonts w:eastAsia="Calibri"/>
                <w:bCs/>
                <w:sz w:val="18"/>
                <w:lang w:val="tr-TR"/>
              </w:rPr>
            </w:pPr>
            <w:r w:rsidRPr="00417AC1">
              <w:rPr>
                <w:rFonts w:eastAsia="Calibri"/>
                <w:bCs/>
                <w:sz w:val="18"/>
                <w:lang w:val="tr-TR"/>
              </w:rPr>
              <w:t>2021</w:t>
            </w:r>
          </w:p>
        </w:tc>
        <w:tc>
          <w:tcPr>
            <w:tcW w:w="1848" w:type="dxa"/>
            <w:tcBorders>
              <w:top w:val="nil"/>
              <w:bottom w:val="single" w:sz="12" w:space="0" w:color="auto"/>
            </w:tcBorders>
            <w:shd w:val="clear" w:color="auto" w:fill="auto"/>
            <w:vAlign w:val="bottom"/>
          </w:tcPr>
          <w:p w14:paraId="17DEE259" w14:textId="77777777" w:rsidR="00856523" w:rsidRPr="00417AC1" w:rsidRDefault="00856523" w:rsidP="006B7B69">
            <w:pPr>
              <w:suppressAutoHyphens w:val="0"/>
              <w:spacing w:before="40" w:after="40" w:line="220" w:lineRule="exact"/>
              <w:ind w:right="113"/>
              <w:jc w:val="right"/>
              <w:rPr>
                <w:rFonts w:eastAsia="Calibri"/>
                <w:sz w:val="18"/>
                <w:lang w:val="tr-TR"/>
              </w:rPr>
            </w:pPr>
          </w:p>
        </w:tc>
        <w:tc>
          <w:tcPr>
            <w:tcW w:w="1770" w:type="dxa"/>
            <w:tcBorders>
              <w:top w:val="nil"/>
              <w:bottom w:val="single" w:sz="12" w:space="0" w:color="auto"/>
            </w:tcBorders>
            <w:shd w:val="clear" w:color="auto" w:fill="auto"/>
            <w:vAlign w:val="bottom"/>
          </w:tcPr>
          <w:p w14:paraId="5C9E32CB" w14:textId="77777777" w:rsidR="00856523" w:rsidRPr="00417AC1" w:rsidRDefault="00856523" w:rsidP="006B7B69">
            <w:pPr>
              <w:suppressAutoHyphens w:val="0"/>
              <w:spacing w:before="40" w:after="40" w:line="220" w:lineRule="exact"/>
              <w:ind w:right="113"/>
              <w:jc w:val="right"/>
              <w:rPr>
                <w:rFonts w:eastAsia="Calibri"/>
                <w:sz w:val="18"/>
                <w:lang w:val="tr-TR"/>
              </w:rPr>
            </w:pPr>
          </w:p>
        </w:tc>
        <w:tc>
          <w:tcPr>
            <w:tcW w:w="1425" w:type="dxa"/>
            <w:tcBorders>
              <w:top w:val="nil"/>
              <w:bottom w:val="single" w:sz="12" w:space="0" w:color="auto"/>
            </w:tcBorders>
            <w:shd w:val="clear" w:color="auto" w:fill="auto"/>
            <w:vAlign w:val="bottom"/>
          </w:tcPr>
          <w:p w14:paraId="3C0F7402"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3</w:t>
            </w:r>
          </w:p>
        </w:tc>
        <w:tc>
          <w:tcPr>
            <w:tcW w:w="1069" w:type="dxa"/>
            <w:tcBorders>
              <w:top w:val="nil"/>
              <w:bottom w:val="single" w:sz="12" w:space="0" w:color="auto"/>
            </w:tcBorders>
            <w:shd w:val="clear" w:color="auto" w:fill="auto"/>
            <w:vAlign w:val="bottom"/>
          </w:tcPr>
          <w:p w14:paraId="37E23789" w14:textId="77777777" w:rsidR="00856523" w:rsidRPr="00417AC1" w:rsidRDefault="00856523" w:rsidP="006B7B69">
            <w:pPr>
              <w:suppressAutoHyphens w:val="0"/>
              <w:spacing w:before="40" w:after="40" w:line="220" w:lineRule="exact"/>
              <w:ind w:right="113"/>
              <w:jc w:val="right"/>
              <w:rPr>
                <w:rFonts w:eastAsia="Calibri"/>
                <w:sz w:val="18"/>
                <w:lang w:val="tr-TR"/>
              </w:rPr>
            </w:pPr>
            <w:r w:rsidRPr="00417AC1">
              <w:rPr>
                <w:rFonts w:eastAsia="Calibri"/>
                <w:sz w:val="18"/>
                <w:lang w:val="tr-TR"/>
              </w:rPr>
              <w:t>3</w:t>
            </w:r>
          </w:p>
        </w:tc>
      </w:tr>
    </w:tbl>
    <w:p w14:paraId="54E0157E" w14:textId="77777777" w:rsidR="00856523" w:rsidRPr="00417AC1" w:rsidRDefault="00856523" w:rsidP="00CB34B5">
      <w:pPr>
        <w:pStyle w:val="Bullet1G"/>
        <w:numPr>
          <w:ilvl w:val="0"/>
          <w:numId w:val="6"/>
        </w:numPr>
        <w:kinsoku w:val="0"/>
        <w:overflowPunct w:val="0"/>
        <w:autoSpaceDE w:val="0"/>
        <w:autoSpaceDN w:val="0"/>
        <w:adjustRightInd w:val="0"/>
        <w:snapToGrid w:val="0"/>
        <w:spacing w:before="240" w:after="240"/>
        <w:rPr>
          <w:lang w:val="tr-TR"/>
        </w:rPr>
      </w:pPr>
      <w:r w:rsidRPr="00417AC1">
        <w:rPr>
          <w:lang w:val="tr-TR"/>
        </w:rPr>
        <w:t>Başvurular üzerine yapılan sınavlar: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1360"/>
        <w:gridCol w:w="1371"/>
        <w:gridCol w:w="1337"/>
        <w:gridCol w:w="1260"/>
        <w:gridCol w:w="795"/>
      </w:tblGrid>
      <w:tr w:rsidR="00BC6C76" w:rsidRPr="00417AC1" w14:paraId="282A0515" w14:textId="77777777" w:rsidTr="00EB6A3E">
        <w:trPr>
          <w:tblHeader/>
        </w:trPr>
        <w:tc>
          <w:tcPr>
            <w:tcW w:w="1560" w:type="dxa"/>
            <w:tcBorders>
              <w:top w:val="single" w:sz="4" w:space="0" w:color="auto"/>
              <w:bottom w:val="single" w:sz="12" w:space="0" w:color="auto"/>
            </w:tcBorders>
            <w:shd w:val="clear" w:color="auto" w:fill="auto"/>
            <w:vAlign w:val="bottom"/>
          </w:tcPr>
          <w:p w14:paraId="33A56501" w14:textId="77777777" w:rsidR="00856523" w:rsidRPr="00417AC1" w:rsidRDefault="00856523" w:rsidP="00EB6A3E">
            <w:pPr>
              <w:suppressAutoHyphens w:val="0"/>
              <w:spacing w:before="80" w:after="80" w:line="200" w:lineRule="exact"/>
              <w:ind w:right="113"/>
              <w:rPr>
                <w:rFonts w:eastAsia="Calibri"/>
                <w:i/>
                <w:sz w:val="16"/>
                <w:lang w:val="tr-TR"/>
              </w:rPr>
            </w:pPr>
            <w:r w:rsidRPr="00417AC1">
              <w:rPr>
                <w:rFonts w:eastAsia="Calibri"/>
                <w:i/>
                <w:sz w:val="16"/>
                <w:lang w:val="tr-TR"/>
              </w:rPr>
              <w:t>Yıl</w:t>
            </w:r>
          </w:p>
        </w:tc>
        <w:tc>
          <w:tcPr>
            <w:tcW w:w="1701" w:type="dxa"/>
            <w:tcBorders>
              <w:top w:val="single" w:sz="4" w:space="0" w:color="auto"/>
              <w:bottom w:val="single" w:sz="12" w:space="0" w:color="auto"/>
            </w:tcBorders>
            <w:shd w:val="clear" w:color="auto" w:fill="auto"/>
            <w:vAlign w:val="bottom"/>
          </w:tcPr>
          <w:p w14:paraId="6B20B638" w14:textId="77777777" w:rsidR="00856523" w:rsidRPr="00417AC1" w:rsidRDefault="00856523" w:rsidP="00EB6A3E">
            <w:pPr>
              <w:suppressAutoHyphens w:val="0"/>
              <w:spacing w:before="80" w:after="80" w:line="200" w:lineRule="exact"/>
              <w:ind w:right="113"/>
              <w:jc w:val="right"/>
              <w:rPr>
                <w:rFonts w:eastAsia="Calibri"/>
                <w:i/>
                <w:sz w:val="16"/>
                <w:lang w:val="tr-TR"/>
              </w:rPr>
            </w:pPr>
            <w:r w:rsidRPr="00417AC1">
              <w:rPr>
                <w:rFonts w:eastAsia="Calibri"/>
                <w:i/>
                <w:sz w:val="16"/>
                <w:lang w:val="tr-TR"/>
              </w:rPr>
              <w:t>Ayrımcılıkla Mücadele ve Eşitliğin Sağlanması</w:t>
            </w:r>
          </w:p>
        </w:tc>
        <w:tc>
          <w:tcPr>
            <w:tcW w:w="1714" w:type="dxa"/>
            <w:tcBorders>
              <w:top w:val="single" w:sz="4" w:space="0" w:color="auto"/>
              <w:bottom w:val="single" w:sz="12" w:space="0" w:color="auto"/>
            </w:tcBorders>
            <w:shd w:val="clear" w:color="auto" w:fill="auto"/>
            <w:vAlign w:val="bottom"/>
          </w:tcPr>
          <w:p w14:paraId="60FB80E5" w14:textId="77777777" w:rsidR="00856523" w:rsidRPr="00417AC1" w:rsidRDefault="00856523" w:rsidP="00EB6A3E">
            <w:pPr>
              <w:suppressAutoHyphens w:val="0"/>
              <w:spacing w:before="80" w:after="80" w:line="200" w:lineRule="exact"/>
              <w:ind w:right="113"/>
              <w:jc w:val="right"/>
              <w:rPr>
                <w:rFonts w:eastAsia="Calibri"/>
                <w:i/>
                <w:sz w:val="16"/>
                <w:lang w:val="tr-TR"/>
              </w:rPr>
            </w:pPr>
            <w:r w:rsidRPr="00417AC1">
              <w:rPr>
                <w:rFonts w:eastAsia="Calibri"/>
                <w:i/>
                <w:sz w:val="16"/>
                <w:lang w:val="tr-TR"/>
              </w:rPr>
              <w:t>İnsan Haklarının Korunması ve Geliştirilmesi</w:t>
            </w:r>
          </w:p>
        </w:tc>
        <w:tc>
          <w:tcPr>
            <w:tcW w:w="1672" w:type="dxa"/>
            <w:tcBorders>
              <w:top w:val="single" w:sz="4" w:space="0" w:color="auto"/>
              <w:bottom w:val="single" w:sz="12" w:space="0" w:color="auto"/>
            </w:tcBorders>
            <w:shd w:val="clear" w:color="auto" w:fill="auto"/>
            <w:vAlign w:val="bottom"/>
          </w:tcPr>
          <w:p w14:paraId="2B8CC974" w14:textId="77777777" w:rsidR="00856523" w:rsidRPr="00417AC1" w:rsidRDefault="00856523" w:rsidP="00EB6A3E">
            <w:pPr>
              <w:suppressAutoHyphens w:val="0"/>
              <w:spacing w:before="80" w:after="80" w:line="200" w:lineRule="exact"/>
              <w:ind w:right="113"/>
              <w:jc w:val="right"/>
              <w:rPr>
                <w:rFonts w:eastAsia="Calibri"/>
                <w:i/>
                <w:sz w:val="16"/>
                <w:lang w:val="tr-TR"/>
              </w:rPr>
            </w:pPr>
            <w:r w:rsidRPr="00417AC1">
              <w:rPr>
                <w:rFonts w:eastAsia="Calibri"/>
                <w:i/>
                <w:sz w:val="16"/>
                <w:lang w:val="tr-TR"/>
              </w:rPr>
              <w:t>NPM</w:t>
            </w:r>
          </w:p>
        </w:tc>
        <w:tc>
          <w:tcPr>
            <w:tcW w:w="1575" w:type="dxa"/>
            <w:tcBorders>
              <w:top w:val="single" w:sz="4" w:space="0" w:color="auto"/>
              <w:bottom w:val="single" w:sz="12" w:space="0" w:color="auto"/>
            </w:tcBorders>
            <w:shd w:val="clear" w:color="auto" w:fill="auto"/>
            <w:vAlign w:val="bottom"/>
          </w:tcPr>
          <w:p w14:paraId="53192F12" w14:textId="77777777" w:rsidR="00856523" w:rsidRPr="00417AC1" w:rsidRDefault="00856523" w:rsidP="00EB6A3E">
            <w:pPr>
              <w:suppressAutoHyphens w:val="0"/>
              <w:spacing w:before="80" w:after="80" w:line="200" w:lineRule="exact"/>
              <w:ind w:right="113"/>
              <w:jc w:val="right"/>
              <w:rPr>
                <w:rFonts w:eastAsia="Calibri"/>
                <w:i/>
                <w:sz w:val="16"/>
                <w:lang w:val="tr-TR"/>
              </w:rPr>
            </w:pPr>
            <w:r w:rsidRPr="00417AC1">
              <w:rPr>
                <w:rFonts w:eastAsia="Calibri"/>
                <w:i/>
                <w:sz w:val="16"/>
                <w:lang w:val="tr-TR"/>
              </w:rPr>
              <w:t>Diğer Başvurular ve Talepler</w:t>
            </w:r>
          </w:p>
        </w:tc>
        <w:tc>
          <w:tcPr>
            <w:tcW w:w="992" w:type="dxa"/>
            <w:tcBorders>
              <w:top w:val="single" w:sz="4" w:space="0" w:color="auto"/>
              <w:bottom w:val="single" w:sz="12" w:space="0" w:color="auto"/>
            </w:tcBorders>
            <w:shd w:val="clear" w:color="auto" w:fill="auto"/>
            <w:vAlign w:val="bottom"/>
          </w:tcPr>
          <w:p w14:paraId="082FADC5" w14:textId="77777777" w:rsidR="00856523" w:rsidRPr="00417AC1" w:rsidRDefault="00856523" w:rsidP="00EB6A3E">
            <w:pPr>
              <w:suppressAutoHyphens w:val="0"/>
              <w:spacing w:before="80" w:after="80" w:line="200" w:lineRule="exact"/>
              <w:ind w:right="113"/>
              <w:jc w:val="right"/>
              <w:rPr>
                <w:rFonts w:eastAsia="Calibri"/>
                <w:i/>
                <w:sz w:val="16"/>
                <w:lang w:val="tr-TR"/>
              </w:rPr>
            </w:pPr>
            <w:r w:rsidRPr="00417AC1">
              <w:rPr>
                <w:rFonts w:eastAsia="Calibri"/>
                <w:i/>
                <w:sz w:val="16"/>
                <w:lang w:val="tr-TR"/>
              </w:rPr>
              <w:t>Toplam</w:t>
            </w:r>
          </w:p>
        </w:tc>
      </w:tr>
      <w:tr w:rsidR="00856523" w:rsidRPr="00417AC1" w14:paraId="2FDD319D" w14:textId="77777777" w:rsidTr="00EB6A3E">
        <w:tc>
          <w:tcPr>
            <w:tcW w:w="1560" w:type="dxa"/>
            <w:tcBorders>
              <w:top w:val="single" w:sz="12" w:space="0" w:color="auto"/>
            </w:tcBorders>
            <w:shd w:val="clear" w:color="auto" w:fill="auto"/>
          </w:tcPr>
          <w:p w14:paraId="6F11B80A" w14:textId="77777777" w:rsidR="00856523" w:rsidRPr="00417AC1" w:rsidRDefault="00856523" w:rsidP="00EB6A3E">
            <w:pPr>
              <w:suppressAutoHyphens w:val="0"/>
              <w:spacing w:before="40" w:after="40" w:line="220" w:lineRule="exact"/>
              <w:ind w:right="113"/>
              <w:rPr>
                <w:rFonts w:eastAsia="Calibri"/>
                <w:bCs/>
                <w:sz w:val="18"/>
                <w:lang w:val="tr-TR"/>
              </w:rPr>
            </w:pPr>
            <w:r w:rsidRPr="00417AC1">
              <w:rPr>
                <w:rFonts w:eastAsia="Calibri"/>
                <w:bCs/>
                <w:sz w:val="18"/>
                <w:lang w:val="tr-TR"/>
              </w:rPr>
              <w:t>2017</w:t>
            </w:r>
          </w:p>
        </w:tc>
        <w:tc>
          <w:tcPr>
            <w:tcW w:w="1701" w:type="dxa"/>
            <w:tcBorders>
              <w:top w:val="single" w:sz="12" w:space="0" w:color="auto"/>
            </w:tcBorders>
            <w:shd w:val="clear" w:color="auto" w:fill="auto"/>
            <w:vAlign w:val="bottom"/>
          </w:tcPr>
          <w:p w14:paraId="15CE476E"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102</w:t>
            </w:r>
          </w:p>
        </w:tc>
        <w:tc>
          <w:tcPr>
            <w:tcW w:w="1714" w:type="dxa"/>
            <w:tcBorders>
              <w:top w:val="single" w:sz="12" w:space="0" w:color="auto"/>
            </w:tcBorders>
            <w:shd w:val="clear" w:color="auto" w:fill="auto"/>
            <w:vAlign w:val="bottom"/>
          </w:tcPr>
          <w:p w14:paraId="2596FABD"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129</w:t>
            </w:r>
          </w:p>
        </w:tc>
        <w:tc>
          <w:tcPr>
            <w:tcW w:w="1672" w:type="dxa"/>
            <w:tcBorders>
              <w:top w:val="single" w:sz="12" w:space="0" w:color="auto"/>
            </w:tcBorders>
            <w:shd w:val="clear" w:color="auto" w:fill="auto"/>
            <w:vAlign w:val="bottom"/>
          </w:tcPr>
          <w:p w14:paraId="2C1DEBD8"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153</w:t>
            </w:r>
          </w:p>
        </w:tc>
        <w:tc>
          <w:tcPr>
            <w:tcW w:w="1575" w:type="dxa"/>
            <w:tcBorders>
              <w:top w:val="single" w:sz="12" w:space="0" w:color="auto"/>
            </w:tcBorders>
            <w:shd w:val="clear" w:color="auto" w:fill="auto"/>
            <w:vAlign w:val="bottom"/>
          </w:tcPr>
          <w:p w14:paraId="12ED8661"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38</w:t>
            </w:r>
          </w:p>
        </w:tc>
        <w:tc>
          <w:tcPr>
            <w:tcW w:w="992" w:type="dxa"/>
            <w:tcBorders>
              <w:top w:val="single" w:sz="12" w:space="0" w:color="auto"/>
            </w:tcBorders>
            <w:shd w:val="clear" w:color="auto" w:fill="auto"/>
            <w:vAlign w:val="bottom"/>
          </w:tcPr>
          <w:p w14:paraId="3D48E099"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422</w:t>
            </w:r>
          </w:p>
        </w:tc>
      </w:tr>
      <w:tr w:rsidR="00856523" w:rsidRPr="00417AC1" w14:paraId="68985A8C" w14:textId="77777777" w:rsidTr="00EB6A3E">
        <w:tc>
          <w:tcPr>
            <w:tcW w:w="1560" w:type="dxa"/>
            <w:shd w:val="clear" w:color="auto" w:fill="auto"/>
          </w:tcPr>
          <w:p w14:paraId="53C51A51" w14:textId="77777777" w:rsidR="00856523" w:rsidRPr="00417AC1" w:rsidRDefault="00856523" w:rsidP="00EB6A3E">
            <w:pPr>
              <w:suppressAutoHyphens w:val="0"/>
              <w:spacing w:before="40" w:after="40" w:line="220" w:lineRule="exact"/>
              <w:ind w:right="113"/>
              <w:rPr>
                <w:rFonts w:eastAsia="Calibri"/>
                <w:bCs/>
                <w:sz w:val="18"/>
                <w:lang w:val="tr-TR"/>
              </w:rPr>
            </w:pPr>
            <w:r w:rsidRPr="00417AC1">
              <w:rPr>
                <w:rFonts w:eastAsia="Calibri"/>
                <w:bCs/>
                <w:sz w:val="18"/>
                <w:lang w:val="tr-TR"/>
              </w:rPr>
              <w:t>2018</w:t>
            </w:r>
          </w:p>
        </w:tc>
        <w:tc>
          <w:tcPr>
            <w:tcW w:w="1701" w:type="dxa"/>
            <w:shd w:val="clear" w:color="auto" w:fill="auto"/>
            <w:vAlign w:val="bottom"/>
          </w:tcPr>
          <w:p w14:paraId="4B8F7DCD"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371</w:t>
            </w:r>
          </w:p>
        </w:tc>
        <w:tc>
          <w:tcPr>
            <w:tcW w:w="1714" w:type="dxa"/>
            <w:shd w:val="clear" w:color="auto" w:fill="auto"/>
            <w:vAlign w:val="bottom"/>
          </w:tcPr>
          <w:p w14:paraId="5AD9FC49"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78</w:t>
            </w:r>
          </w:p>
        </w:tc>
        <w:tc>
          <w:tcPr>
            <w:tcW w:w="1672" w:type="dxa"/>
            <w:shd w:val="clear" w:color="auto" w:fill="auto"/>
            <w:vAlign w:val="bottom"/>
          </w:tcPr>
          <w:p w14:paraId="77B05C0D"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598</w:t>
            </w:r>
          </w:p>
        </w:tc>
        <w:tc>
          <w:tcPr>
            <w:tcW w:w="1575" w:type="dxa"/>
            <w:shd w:val="clear" w:color="auto" w:fill="auto"/>
            <w:vAlign w:val="bottom"/>
          </w:tcPr>
          <w:p w14:paraId="43C84F44"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60</w:t>
            </w:r>
          </w:p>
        </w:tc>
        <w:tc>
          <w:tcPr>
            <w:tcW w:w="992" w:type="dxa"/>
            <w:shd w:val="clear" w:color="auto" w:fill="auto"/>
            <w:vAlign w:val="bottom"/>
          </w:tcPr>
          <w:p w14:paraId="7695B6F2" w14:textId="47CCBA41"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1 107</w:t>
            </w:r>
          </w:p>
        </w:tc>
      </w:tr>
      <w:tr w:rsidR="00856523" w:rsidRPr="00417AC1" w14:paraId="2AB1C2F2" w14:textId="77777777" w:rsidTr="00EB6A3E">
        <w:tc>
          <w:tcPr>
            <w:tcW w:w="1560" w:type="dxa"/>
            <w:shd w:val="clear" w:color="auto" w:fill="auto"/>
          </w:tcPr>
          <w:p w14:paraId="37D697C8" w14:textId="77777777" w:rsidR="00856523" w:rsidRPr="00417AC1" w:rsidRDefault="00856523" w:rsidP="00EB6A3E">
            <w:pPr>
              <w:suppressAutoHyphens w:val="0"/>
              <w:spacing w:before="40" w:after="40" w:line="220" w:lineRule="exact"/>
              <w:ind w:right="113"/>
              <w:rPr>
                <w:rFonts w:eastAsia="Calibri"/>
                <w:bCs/>
                <w:sz w:val="18"/>
                <w:lang w:val="tr-TR"/>
              </w:rPr>
            </w:pPr>
            <w:r w:rsidRPr="00417AC1">
              <w:rPr>
                <w:rFonts w:eastAsia="Calibri"/>
                <w:bCs/>
                <w:sz w:val="18"/>
                <w:lang w:val="tr-TR"/>
              </w:rPr>
              <w:t>2019</w:t>
            </w:r>
          </w:p>
        </w:tc>
        <w:tc>
          <w:tcPr>
            <w:tcW w:w="1701" w:type="dxa"/>
            <w:shd w:val="clear" w:color="auto" w:fill="auto"/>
            <w:vAlign w:val="bottom"/>
          </w:tcPr>
          <w:p w14:paraId="3E89B537"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70</w:t>
            </w:r>
          </w:p>
        </w:tc>
        <w:tc>
          <w:tcPr>
            <w:tcW w:w="1714" w:type="dxa"/>
            <w:shd w:val="clear" w:color="auto" w:fill="auto"/>
            <w:vAlign w:val="bottom"/>
          </w:tcPr>
          <w:p w14:paraId="43F9C57D"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124</w:t>
            </w:r>
          </w:p>
        </w:tc>
        <w:tc>
          <w:tcPr>
            <w:tcW w:w="1672" w:type="dxa"/>
            <w:shd w:val="clear" w:color="auto" w:fill="auto"/>
            <w:vAlign w:val="bottom"/>
          </w:tcPr>
          <w:p w14:paraId="601A2353"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965</w:t>
            </w:r>
          </w:p>
        </w:tc>
        <w:tc>
          <w:tcPr>
            <w:tcW w:w="1575" w:type="dxa"/>
            <w:shd w:val="clear" w:color="auto" w:fill="auto"/>
            <w:vAlign w:val="bottom"/>
          </w:tcPr>
          <w:p w14:paraId="65CA1BF7"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30</w:t>
            </w:r>
          </w:p>
        </w:tc>
        <w:tc>
          <w:tcPr>
            <w:tcW w:w="992" w:type="dxa"/>
            <w:shd w:val="clear" w:color="auto" w:fill="auto"/>
            <w:vAlign w:val="bottom"/>
          </w:tcPr>
          <w:p w14:paraId="159FB364" w14:textId="141229FB"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1 189</w:t>
            </w:r>
          </w:p>
        </w:tc>
      </w:tr>
      <w:tr w:rsidR="00856523" w:rsidRPr="00417AC1" w14:paraId="6C01EEA6" w14:textId="77777777" w:rsidTr="00EB6A3E">
        <w:tc>
          <w:tcPr>
            <w:tcW w:w="1560" w:type="dxa"/>
            <w:shd w:val="clear" w:color="auto" w:fill="auto"/>
          </w:tcPr>
          <w:p w14:paraId="00907990" w14:textId="77777777" w:rsidR="00856523" w:rsidRPr="00417AC1" w:rsidRDefault="00856523" w:rsidP="00EB6A3E">
            <w:pPr>
              <w:suppressAutoHyphens w:val="0"/>
              <w:spacing w:before="40" w:after="40" w:line="220" w:lineRule="exact"/>
              <w:ind w:right="113"/>
              <w:rPr>
                <w:rFonts w:eastAsia="Calibri"/>
                <w:bCs/>
                <w:sz w:val="18"/>
                <w:lang w:val="tr-TR"/>
              </w:rPr>
            </w:pPr>
            <w:r w:rsidRPr="00417AC1">
              <w:rPr>
                <w:rFonts w:eastAsia="Calibri"/>
                <w:bCs/>
                <w:sz w:val="18"/>
                <w:lang w:val="tr-TR"/>
              </w:rPr>
              <w:t>2020</w:t>
            </w:r>
          </w:p>
        </w:tc>
        <w:tc>
          <w:tcPr>
            <w:tcW w:w="1701" w:type="dxa"/>
            <w:shd w:val="clear" w:color="auto" w:fill="auto"/>
            <w:vAlign w:val="bottom"/>
          </w:tcPr>
          <w:p w14:paraId="41942CE7"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276</w:t>
            </w:r>
          </w:p>
        </w:tc>
        <w:tc>
          <w:tcPr>
            <w:tcW w:w="1714" w:type="dxa"/>
            <w:shd w:val="clear" w:color="auto" w:fill="auto"/>
            <w:vAlign w:val="bottom"/>
          </w:tcPr>
          <w:p w14:paraId="6C8B7E78" w14:textId="77777777" w:rsidR="00856523" w:rsidRPr="00417AC1" w:rsidRDefault="00856523" w:rsidP="00EB6A3E">
            <w:pPr>
              <w:suppressAutoHyphens w:val="0"/>
              <w:spacing w:before="40" w:after="40" w:line="220" w:lineRule="exact"/>
              <w:ind w:right="113"/>
              <w:jc w:val="right"/>
              <w:rPr>
                <w:rFonts w:eastAsia="Calibri"/>
                <w:sz w:val="18"/>
                <w:lang w:val="tr-TR"/>
              </w:rPr>
            </w:pPr>
          </w:p>
        </w:tc>
        <w:tc>
          <w:tcPr>
            <w:tcW w:w="1672" w:type="dxa"/>
            <w:shd w:val="clear" w:color="auto" w:fill="auto"/>
            <w:vAlign w:val="bottom"/>
          </w:tcPr>
          <w:p w14:paraId="3E7FC41F"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679</w:t>
            </w:r>
          </w:p>
        </w:tc>
        <w:tc>
          <w:tcPr>
            <w:tcW w:w="1575" w:type="dxa"/>
            <w:shd w:val="clear" w:color="auto" w:fill="auto"/>
            <w:vAlign w:val="bottom"/>
          </w:tcPr>
          <w:p w14:paraId="46939CEC"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408</w:t>
            </w:r>
          </w:p>
        </w:tc>
        <w:tc>
          <w:tcPr>
            <w:tcW w:w="992" w:type="dxa"/>
            <w:shd w:val="clear" w:color="auto" w:fill="auto"/>
            <w:vAlign w:val="bottom"/>
          </w:tcPr>
          <w:p w14:paraId="27F7E466" w14:textId="17E14EEA"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1 363</w:t>
            </w:r>
          </w:p>
        </w:tc>
      </w:tr>
      <w:tr w:rsidR="00856523" w:rsidRPr="00417AC1" w14:paraId="300DCBA7" w14:textId="77777777" w:rsidTr="00EB6A3E">
        <w:tc>
          <w:tcPr>
            <w:tcW w:w="1560" w:type="dxa"/>
            <w:shd w:val="clear" w:color="auto" w:fill="auto"/>
          </w:tcPr>
          <w:p w14:paraId="212D4F17" w14:textId="77777777" w:rsidR="00856523" w:rsidRPr="00417AC1" w:rsidRDefault="00856523" w:rsidP="00EB6A3E">
            <w:pPr>
              <w:suppressAutoHyphens w:val="0"/>
              <w:spacing w:before="40" w:after="40" w:line="220" w:lineRule="exact"/>
              <w:ind w:right="113"/>
              <w:rPr>
                <w:rFonts w:eastAsia="Calibri"/>
                <w:bCs/>
                <w:sz w:val="18"/>
                <w:lang w:val="tr-TR"/>
              </w:rPr>
            </w:pPr>
            <w:r w:rsidRPr="00417AC1">
              <w:rPr>
                <w:rFonts w:eastAsia="Calibri"/>
                <w:bCs/>
                <w:sz w:val="18"/>
                <w:lang w:val="tr-TR"/>
              </w:rPr>
              <w:t>2021</w:t>
            </w:r>
          </w:p>
        </w:tc>
        <w:tc>
          <w:tcPr>
            <w:tcW w:w="1701" w:type="dxa"/>
            <w:shd w:val="clear" w:color="auto" w:fill="auto"/>
            <w:vAlign w:val="bottom"/>
          </w:tcPr>
          <w:p w14:paraId="623FF7B3"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180</w:t>
            </w:r>
          </w:p>
        </w:tc>
        <w:tc>
          <w:tcPr>
            <w:tcW w:w="1714" w:type="dxa"/>
            <w:shd w:val="clear" w:color="auto" w:fill="auto"/>
            <w:vAlign w:val="bottom"/>
          </w:tcPr>
          <w:p w14:paraId="4B0E7FC5"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287</w:t>
            </w:r>
          </w:p>
        </w:tc>
        <w:tc>
          <w:tcPr>
            <w:tcW w:w="1672" w:type="dxa"/>
            <w:shd w:val="clear" w:color="auto" w:fill="auto"/>
            <w:vAlign w:val="bottom"/>
          </w:tcPr>
          <w:p w14:paraId="06487812"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529</w:t>
            </w:r>
          </w:p>
        </w:tc>
        <w:tc>
          <w:tcPr>
            <w:tcW w:w="1575" w:type="dxa"/>
            <w:shd w:val="clear" w:color="auto" w:fill="auto"/>
            <w:vAlign w:val="bottom"/>
          </w:tcPr>
          <w:p w14:paraId="2532F34D" w14:textId="77777777"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189</w:t>
            </w:r>
          </w:p>
        </w:tc>
        <w:tc>
          <w:tcPr>
            <w:tcW w:w="992" w:type="dxa"/>
            <w:shd w:val="clear" w:color="auto" w:fill="auto"/>
            <w:vAlign w:val="bottom"/>
          </w:tcPr>
          <w:p w14:paraId="2EACA39F" w14:textId="399D1A7C" w:rsidR="00856523" w:rsidRPr="00417AC1" w:rsidRDefault="00856523" w:rsidP="00EB6A3E">
            <w:pPr>
              <w:suppressAutoHyphens w:val="0"/>
              <w:spacing w:before="40" w:after="40" w:line="220" w:lineRule="exact"/>
              <w:ind w:right="113"/>
              <w:jc w:val="right"/>
              <w:rPr>
                <w:rFonts w:eastAsia="Calibri"/>
                <w:sz w:val="18"/>
                <w:lang w:val="tr-TR"/>
              </w:rPr>
            </w:pPr>
            <w:r w:rsidRPr="00417AC1">
              <w:rPr>
                <w:rFonts w:eastAsia="Calibri"/>
                <w:sz w:val="18"/>
                <w:lang w:val="tr-TR"/>
              </w:rPr>
              <w:t>1 185</w:t>
            </w:r>
          </w:p>
        </w:tc>
      </w:tr>
      <w:tr w:rsidR="00856523" w:rsidRPr="00417AC1" w14:paraId="59CE3EBD" w14:textId="77777777" w:rsidTr="007919FC">
        <w:tc>
          <w:tcPr>
            <w:tcW w:w="1560" w:type="dxa"/>
            <w:tcBorders>
              <w:top w:val="single" w:sz="4" w:space="0" w:color="auto"/>
            </w:tcBorders>
            <w:shd w:val="clear" w:color="auto" w:fill="auto"/>
          </w:tcPr>
          <w:p w14:paraId="1C4A84AF" w14:textId="77777777" w:rsidR="00856523" w:rsidRPr="00417AC1" w:rsidRDefault="00856523" w:rsidP="007919FC">
            <w:pPr>
              <w:suppressAutoHyphens w:val="0"/>
              <w:spacing w:before="80" w:after="80" w:line="220" w:lineRule="exact"/>
              <w:ind w:left="283"/>
              <w:rPr>
                <w:rFonts w:eastAsia="Calibri"/>
                <w:b/>
                <w:bCs/>
                <w:sz w:val="18"/>
                <w:lang w:val="tr-TR"/>
              </w:rPr>
            </w:pPr>
            <w:r w:rsidRPr="00417AC1">
              <w:rPr>
                <w:rFonts w:eastAsia="Calibri"/>
                <w:b/>
                <w:bCs/>
                <w:sz w:val="18"/>
                <w:lang w:val="tr-TR"/>
              </w:rPr>
              <w:t>Toplam</w:t>
            </w:r>
          </w:p>
        </w:tc>
        <w:tc>
          <w:tcPr>
            <w:tcW w:w="1701" w:type="dxa"/>
            <w:tcBorders>
              <w:top w:val="single" w:sz="4" w:space="0" w:color="auto"/>
            </w:tcBorders>
            <w:shd w:val="clear" w:color="auto" w:fill="auto"/>
            <w:vAlign w:val="bottom"/>
          </w:tcPr>
          <w:p w14:paraId="71D0FE32" w14:textId="77777777" w:rsidR="00856523" w:rsidRPr="00417AC1" w:rsidRDefault="00856523" w:rsidP="007919FC">
            <w:pPr>
              <w:suppressAutoHyphens w:val="0"/>
              <w:spacing w:before="80" w:after="80" w:line="220" w:lineRule="exact"/>
              <w:ind w:right="113"/>
              <w:jc w:val="right"/>
              <w:rPr>
                <w:rFonts w:eastAsia="Calibri"/>
                <w:b/>
                <w:sz w:val="18"/>
                <w:lang w:val="tr-TR"/>
              </w:rPr>
            </w:pPr>
            <w:r w:rsidRPr="00417AC1">
              <w:rPr>
                <w:rFonts w:eastAsia="Calibri"/>
                <w:b/>
                <w:sz w:val="18"/>
                <w:lang w:val="tr-TR"/>
              </w:rPr>
              <w:t>999</w:t>
            </w:r>
          </w:p>
        </w:tc>
        <w:tc>
          <w:tcPr>
            <w:tcW w:w="1714" w:type="dxa"/>
            <w:tcBorders>
              <w:top w:val="single" w:sz="4" w:space="0" w:color="auto"/>
            </w:tcBorders>
            <w:shd w:val="clear" w:color="auto" w:fill="auto"/>
            <w:vAlign w:val="bottom"/>
          </w:tcPr>
          <w:p w14:paraId="79B4AF15" w14:textId="77777777" w:rsidR="00856523" w:rsidRPr="00417AC1" w:rsidRDefault="00856523" w:rsidP="007919FC">
            <w:pPr>
              <w:suppressAutoHyphens w:val="0"/>
              <w:spacing w:before="80" w:after="80" w:line="220" w:lineRule="exact"/>
              <w:ind w:right="113"/>
              <w:jc w:val="right"/>
              <w:rPr>
                <w:rFonts w:eastAsia="Calibri"/>
                <w:b/>
                <w:sz w:val="18"/>
                <w:lang w:val="tr-TR"/>
              </w:rPr>
            </w:pPr>
            <w:r w:rsidRPr="00417AC1">
              <w:rPr>
                <w:rFonts w:eastAsia="Calibri"/>
                <w:b/>
                <w:sz w:val="18"/>
                <w:lang w:val="tr-TR"/>
              </w:rPr>
              <w:t>618</w:t>
            </w:r>
          </w:p>
        </w:tc>
        <w:tc>
          <w:tcPr>
            <w:tcW w:w="1672" w:type="dxa"/>
            <w:tcBorders>
              <w:top w:val="single" w:sz="4" w:space="0" w:color="auto"/>
            </w:tcBorders>
            <w:shd w:val="clear" w:color="auto" w:fill="auto"/>
            <w:vAlign w:val="bottom"/>
          </w:tcPr>
          <w:p w14:paraId="23ADC0A0" w14:textId="4CB14AB0" w:rsidR="00856523" w:rsidRPr="00417AC1" w:rsidRDefault="00856523" w:rsidP="007919FC">
            <w:pPr>
              <w:suppressAutoHyphens w:val="0"/>
              <w:spacing w:before="80" w:after="80" w:line="220" w:lineRule="exact"/>
              <w:ind w:right="113"/>
              <w:jc w:val="right"/>
              <w:rPr>
                <w:rFonts w:eastAsia="Calibri"/>
                <w:b/>
                <w:sz w:val="18"/>
                <w:lang w:val="tr-TR"/>
              </w:rPr>
            </w:pPr>
            <w:r w:rsidRPr="00417AC1">
              <w:rPr>
                <w:rFonts w:eastAsia="Calibri"/>
                <w:b/>
                <w:sz w:val="18"/>
                <w:lang w:val="tr-TR"/>
              </w:rPr>
              <w:t>2 924</w:t>
            </w:r>
          </w:p>
        </w:tc>
        <w:tc>
          <w:tcPr>
            <w:tcW w:w="1575" w:type="dxa"/>
            <w:tcBorders>
              <w:top w:val="single" w:sz="4" w:space="0" w:color="auto"/>
            </w:tcBorders>
            <w:shd w:val="clear" w:color="auto" w:fill="auto"/>
            <w:vAlign w:val="bottom"/>
          </w:tcPr>
          <w:p w14:paraId="5BC387AD" w14:textId="77777777" w:rsidR="00856523" w:rsidRPr="00417AC1" w:rsidRDefault="00856523" w:rsidP="007919FC">
            <w:pPr>
              <w:suppressAutoHyphens w:val="0"/>
              <w:spacing w:before="80" w:after="80" w:line="220" w:lineRule="exact"/>
              <w:ind w:right="113"/>
              <w:jc w:val="right"/>
              <w:rPr>
                <w:rFonts w:eastAsia="Calibri"/>
                <w:b/>
                <w:sz w:val="18"/>
                <w:lang w:val="tr-TR"/>
              </w:rPr>
            </w:pPr>
            <w:r w:rsidRPr="00417AC1">
              <w:rPr>
                <w:rFonts w:eastAsia="Calibri"/>
                <w:b/>
                <w:sz w:val="18"/>
                <w:lang w:val="tr-TR"/>
              </w:rPr>
              <w:t>725</w:t>
            </w:r>
          </w:p>
        </w:tc>
        <w:tc>
          <w:tcPr>
            <w:tcW w:w="992" w:type="dxa"/>
            <w:tcBorders>
              <w:top w:val="single" w:sz="4" w:space="0" w:color="auto"/>
            </w:tcBorders>
            <w:shd w:val="clear" w:color="auto" w:fill="auto"/>
            <w:vAlign w:val="bottom"/>
          </w:tcPr>
          <w:p w14:paraId="7738D19C" w14:textId="028873BD" w:rsidR="00856523" w:rsidRPr="00417AC1" w:rsidRDefault="00856523" w:rsidP="007919FC">
            <w:pPr>
              <w:suppressAutoHyphens w:val="0"/>
              <w:spacing w:before="80" w:after="80" w:line="220" w:lineRule="exact"/>
              <w:ind w:right="113"/>
              <w:jc w:val="right"/>
              <w:rPr>
                <w:rFonts w:eastAsia="Calibri"/>
                <w:b/>
                <w:sz w:val="18"/>
                <w:lang w:val="tr-TR"/>
              </w:rPr>
            </w:pPr>
            <w:r w:rsidRPr="00417AC1">
              <w:rPr>
                <w:rFonts w:eastAsia="Calibri"/>
                <w:b/>
                <w:sz w:val="18"/>
                <w:lang w:val="tr-TR"/>
              </w:rPr>
              <w:t>5 266</w:t>
            </w:r>
          </w:p>
        </w:tc>
      </w:tr>
    </w:tbl>
    <w:p w14:paraId="5849B63F" w14:textId="488B26B7" w:rsidR="00856523" w:rsidRPr="00417AC1" w:rsidRDefault="00856523" w:rsidP="00220CBE">
      <w:pPr>
        <w:pStyle w:val="Bullet1G"/>
        <w:keepNext/>
        <w:keepLines/>
        <w:numPr>
          <w:ilvl w:val="0"/>
          <w:numId w:val="6"/>
        </w:numPr>
        <w:kinsoku w:val="0"/>
        <w:overflowPunct w:val="0"/>
        <w:autoSpaceDE w:val="0"/>
        <w:autoSpaceDN w:val="0"/>
        <w:adjustRightInd w:val="0"/>
        <w:snapToGrid w:val="0"/>
        <w:spacing w:before="120"/>
        <w:rPr>
          <w:lang w:val="tr-TR"/>
        </w:rPr>
      </w:pPr>
      <w:r w:rsidRPr="00417AC1">
        <w:rPr>
          <w:lang w:val="tr-TR"/>
        </w:rPr>
        <w:t>Kararlar: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1360"/>
        <w:gridCol w:w="1371"/>
        <w:gridCol w:w="1337"/>
        <w:gridCol w:w="1260"/>
        <w:gridCol w:w="795"/>
      </w:tblGrid>
      <w:tr w:rsidR="00BC6C76" w:rsidRPr="00417AC1" w14:paraId="3F211810" w14:textId="77777777" w:rsidTr="00621984">
        <w:trPr>
          <w:tblHeader/>
        </w:trPr>
        <w:tc>
          <w:tcPr>
            <w:tcW w:w="1560" w:type="dxa"/>
            <w:tcBorders>
              <w:top w:val="single" w:sz="4" w:space="0" w:color="auto"/>
              <w:bottom w:val="single" w:sz="12" w:space="0" w:color="auto"/>
            </w:tcBorders>
            <w:shd w:val="clear" w:color="auto" w:fill="auto"/>
            <w:vAlign w:val="bottom"/>
          </w:tcPr>
          <w:p w14:paraId="1EE163B5" w14:textId="77777777" w:rsidR="00856523" w:rsidRPr="00417AC1" w:rsidRDefault="00856523" w:rsidP="00621984">
            <w:pPr>
              <w:suppressAutoHyphens w:val="0"/>
              <w:spacing w:before="80" w:after="80" w:line="200" w:lineRule="exact"/>
              <w:ind w:right="113"/>
              <w:rPr>
                <w:rFonts w:eastAsia="Calibri"/>
                <w:i/>
                <w:sz w:val="16"/>
                <w:lang w:val="tr-TR"/>
              </w:rPr>
            </w:pPr>
            <w:r w:rsidRPr="00417AC1">
              <w:rPr>
                <w:rFonts w:eastAsia="Calibri"/>
                <w:i/>
                <w:sz w:val="16"/>
                <w:lang w:val="tr-TR"/>
              </w:rPr>
              <w:t>Yıl</w:t>
            </w:r>
          </w:p>
        </w:tc>
        <w:tc>
          <w:tcPr>
            <w:tcW w:w="1701" w:type="dxa"/>
            <w:tcBorders>
              <w:top w:val="single" w:sz="4" w:space="0" w:color="auto"/>
              <w:bottom w:val="single" w:sz="12" w:space="0" w:color="auto"/>
            </w:tcBorders>
            <w:shd w:val="clear" w:color="auto" w:fill="auto"/>
            <w:vAlign w:val="bottom"/>
          </w:tcPr>
          <w:p w14:paraId="47BAE1E8" w14:textId="77777777" w:rsidR="00856523" w:rsidRPr="00417AC1" w:rsidRDefault="00856523" w:rsidP="00621984">
            <w:pPr>
              <w:suppressAutoHyphens w:val="0"/>
              <w:spacing w:before="80" w:after="80" w:line="200" w:lineRule="exact"/>
              <w:ind w:right="113"/>
              <w:jc w:val="right"/>
              <w:rPr>
                <w:rFonts w:eastAsia="Calibri"/>
                <w:i/>
                <w:sz w:val="16"/>
                <w:lang w:val="tr-TR"/>
              </w:rPr>
            </w:pPr>
            <w:r w:rsidRPr="00417AC1">
              <w:rPr>
                <w:rFonts w:eastAsia="Calibri"/>
                <w:i/>
                <w:sz w:val="16"/>
                <w:lang w:val="tr-TR"/>
              </w:rPr>
              <w:t>Ayrımcılıkla Mücadele ve Eşitliğin Sağlanması</w:t>
            </w:r>
          </w:p>
        </w:tc>
        <w:tc>
          <w:tcPr>
            <w:tcW w:w="1714" w:type="dxa"/>
            <w:tcBorders>
              <w:top w:val="single" w:sz="4" w:space="0" w:color="auto"/>
              <w:bottom w:val="single" w:sz="12" w:space="0" w:color="auto"/>
            </w:tcBorders>
            <w:shd w:val="clear" w:color="auto" w:fill="auto"/>
            <w:vAlign w:val="bottom"/>
          </w:tcPr>
          <w:p w14:paraId="6779623D" w14:textId="77777777" w:rsidR="00856523" w:rsidRPr="00417AC1" w:rsidRDefault="00856523" w:rsidP="00621984">
            <w:pPr>
              <w:suppressAutoHyphens w:val="0"/>
              <w:spacing w:before="80" w:after="80" w:line="200" w:lineRule="exact"/>
              <w:ind w:right="113"/>
              <w:jc w:val="right"/>
              <w:rPr>
                <w:rFonts w:eastAsia="Calibri"/>
                <w:i/>
                <w:sz w:val="16"/>
                <w:lang w:val="tr-TR"/>
              </w:rPr>
            </w:pPr>
            <w:r w:rsidRPr="00417AC1">
              <w:rPr>
                <w:i/>
                <w:sz w:val="16"/>
                <w:lang w:val="tr-TR"/>
              </w:rPr>
              <w:t>İnsan Haklarının Korunması ve Geliştirilmesi</w:t>
            </w:r>
          </w:p>
        </w:tc>
        <w:tc>
          <w:tcPr>
            <w:tcW w:w="1672" w:type="dxa"/>
            <w:tcBorders>
              <w:top w:val="single" w:sz="4" w:space="0" w:color="auto"/>
              <w:bottom w:val="single" w:sz="12" w:space="0" w:color="auto"/>
            </w:tcBorders>
            <w:shd w:val="clear" w:color="auto" w:fill="auto"/>
            <w:vAlign w:val="bottom"/>
          </w:tcPr>
          <w:p w14:paraId="36BA99A6" w14:textId="77777777" w:rsidR="00856523" w:rsidRPr="00417AC1" w:rsidRDefault="00856523" w:rsidP="00621984">
            <w:pPr>
              <w:suppressAutoHyphens w:val="0"/>
              <w:spacing w:before="80" w:after="80" w:line="200" w:lineRule="exact"/>
              <w:ind w:right="113"/>
              <w:jc w:val="right"/>
              <w:rPr>
                <w:rFonts w:eastAsia="Calibri"/>
                <w:i/>
                <w:sz w:val="16"/>
                <w:lang w:val="tr-TR"/>
              </w:rPr>
            </w:pPr>
            <w:r w:rsidRPr="00417AC1">
              <w:rPr>
                <w:rFonts w:eastAsia="Calibri"/>
                <w:i/>
                <w:sz w:val="16"/>
                <w:lang w:val="tr-TR"/>
              </w:rPr>
              <w:t>NPM</w:t>
            </w:r>
          </w:p>
        </w:tc>
        <w:tc>
          <w:tcPr>
            <w:tcW w:w="1575" w:type="dxa"/>
            <w:tcBorders>
              <w:top w:val="single" w:sz="4" w:space="0" w:color="auto"/>
              <w:bottom w:val="single" w:sz="12" w:space="0" w:color="auto"/>
            </w:tcBorders>
            <w:shd w:val="clear" w:color="auto" w:fill="auto"/>
            <w:vAlign w:val="bottom"/>
          </w:tcPr>
          <w:p w14:paraId="2FA546D4" w14:textId="77777777" w:rsidR="00856523" w:rsidRPr="00417AC1" w:rsidRDefault="00856523" w:rsidP="00621984">
            <w:pPr>
              <w:suppressAutoHyphens w:val="0"/>
              <w:spacing w:before="80" w:after="80" w:line="200" w:lineRule="exact"/>
              <w:ind w:right="113"/>
              <w:jc w:val="right"/>
              <w:rPr>
                <w:rFonts w:eastAsia="Calibri"/>
                <w:i/>
                <w:sz w:val="16"/>
                <w:lang w:val="tr-TR"/>
              </w:rPr>
            </w:pPr>
            <w:r w:rsidRPr="00417AC1">
              <w:rPr>
                <w:rFonts w:eastAsia="Calibri"/>
                <w:i/>
                <w:sz w:val="16"/>
                <w:lang w:val="tr-TR"/>
              </w:rPr>
              <w:t>Diğer Başvurular ve Talepler</w:t>
            </w:r>
          </w:p>
        </w:tc>
        <w:tc>
          <w:tcPr>
            <w:tcW w:w="992" w:type="dxa"/>
            <w:tcBorders>
              <w:top w:val="single" w:sz="4" w:space="0" w:color="auto"/>
              <w:bottom w:val="single" w:sz="12" w:space="0" w:color="auto"/>
            </w:tcBorders>
            <w:shd w:val="clear" w:color="auto" w:fill="auto"/>
            <w:vAlign w:val="bottom"/>
          </w:tcPr>
          <w:p w14:paraId="729AFE77" w14:textId="77777777" w:rsidR="00856523" w:rsidRPr="00417AC1" w:rsidRDefault="00856523" w:rsidP="00621984">
            <w:pPr>
              <w:suppressAutoHyphens w:val="0"/>
              <w:spacing w:before="80" w:after="80" w:line="200" w:lineRule="exact"/>
              <w:ind w:right="113"/>
              <w:jc w:val="right"/>
              <w:rPr>
                <w:rFonts w:eastAsia="Calibri"/>
                <w:i/>
                <w:sz w:val="16"/>
                <w:lang w:val="tr-TR"/>
              </w:rPr>
            </w:pPr>
            <w:r w:rsidRPr="00417AC1">
              <w:rPr>
                <w:rFonts w:eastAsia="Calibri"/>
                <w:i/>
                <w:sz w:val="16"/>
                <w:lang w:val="tr-TR"/>
              </w:rPr>
              <w:t>Toplam</w:t>
            </w:r>
          </w:p>
        </w:tc>
      </w:tr>
      <w:tr w:rsidR="00856523" w:rsidRPr="00417AC1" w14:paraId="0F487806" w14:textId="77777777" w:rsidTr="00621984">
        <w:tc>
          <w:tcPr>
            <w:tcW w:w="1560" w:type="dxa"/>
            <w:tcBorders>
              <w:top w:val="single" w:sz="12" w:space="0" w:color="auto"/>
            </w:tcBorders>
            <w:shd w:val="clear" w:color="auto" w:fill="auto"/>
          </w:tcPr>
          <w:p w14:paraId="73A4E8F6" w14:textId="77777777" w:rsidR="00856523" w:rsidRPr="00417AC1" w:rsidRDefault="00856523" w:rsidP="00621984">
            <w:pPr>
              <w:suppressAutoHyphens w:val="0"/>
              <w:spacing w:before="40" w:after="40" w:line="220" w:lineRule="exact"/>
              <w:ind w:right="113"/>
              <w:rPr>
                <w:rFonts w:eastAsia="Calibri"/>
                <w:bCs/>
                <w:sz w:val="18"/>
                <w:lang w:val="tr-TR"/>
              </w:rPr>
            </w:pPr>
            <w:r w:rsidRPr="00417AC1">
              <w:rPr>
                <w:rFonts w:eastAsia="Calibri"/>
                <w:bCs/>
                <w:sz w:val="18"/>
                <w:lang w:val="tr-TR"/>
              </w:rPr>
              <w:t>2018</w:t>
            </w:r>
          </w:p>
        </w:tc>
        <w:tc>
          <w:tcPr>
            <w:tcW w:w="1701" w:type="dxa"/>
            <w:tcBorders>
              <w:top w:val="single" w:sz="12" w:space="0" w:color="auto"/>
            </w:tcBorders>
            <w:shd w:val="clear" w:color="auto" w:fill="auto"/>
            <w:vAlign w:val="bottom"/>
          </w:tcPr>
          <w:p w14:paraId="188A2CB1"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30</w:t>
            </w:r>
          </w:p>
        </w:tc>
        <w:tc>
          <w:tcPr>
            <w:tcW w:w="1714" w:type="dxa"/>
            <w:tcBorders>
              <w:top w:val="single" w:sz="12" w:space="0" w:color="auto"/>
            </w:tcBorders>
            <w:shd w:val="clear" w:color="auto" w:fill="auto"/>
            <w:vAlign w:val="bottom"/>
          </w:tcPr>
          <w:p w14:paraId="07E13794"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1</w:t>
            </w:r>
          </w:p>
        </w:tc>
        <w:tc>
          <w:tcPr>
            <w:tcW w:w="1672" w:type="dxa"/>
            <w:tcBorders>
              <w:top w:val="single" w:sz="12" w:space="0" w:color="auto"/>
            </w:tcBorders>
            <w:shd w:val="clear" w:color="auto" w:fill="auto"/>
            <w:vAlign w:val="bottom"/>
          </w:tcPr>
          <w:p w14:paraId="661DE1DC"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30</w:t>
            </w:r>
          </w:p>
        </w:tc>
        <w:tc>
          <w:tcPr>
            <w:tcW w:w="1575" w:type="dxa"/>
            <w:tcBorders>
              <w:top w:val="single" w:sz="12" w:space="0" w:color="auto"/>
            </w:tcBorders>
            <w:shd w:val="clear" w:color="auto" w:fill="auto"/>
            <w:vAlign w:val="bottom"/>
          </w:tcPr>
          <w:p w14:paraId="236E9E7F" w14:textId="77777777" w:rsidR="00856523" w:rsidRPr="00417AC1" w:rsidRDefault="00856523" w:rsidP="00621984">
            <w:pPr>
              <w:suppressAutoHyphens w:val="0"/>
              <w:spacing w:before="40" w:after="40" w:line="220" w:lineRule="exact"/>
              <w:ind w:right="113"/>
              <w:jc w:val="right"/>
              <w:rPr>
                <w:rFonts w:eastAsia="Calibri"/>
                <w:sz w:val="18"/>
                <w:lang w:val="tr-TR"/>
              </w:rPr>
            </w:pPr>
          </w:p>
        </w:tc>
        <w:tc>
          <w:tcPr>
            <w:tcW w:w="992" w:type="dxa"/>
            <w:tcBorders>
              <w:top w:val="single" w:sz="12" w:space="0" w:color="auto"/>
            </w:tcBorders>
            <w:shd w:val="clear" w:color="auto" w:fill="auto"/>
            <w:vAlign w:val="bottom"/>
          </w:tcPr>
          <w:p w14:paraId="65C3455A"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61</w:t>
            </w:r>
          </w:p>
        </w:tc>
      </w:tr>
      <w:tr w:rsidR="00856523" w:rsidRPr="00417AC1" w14:paraId="29D24D78" w14:textId="77777777" w:rsidTr="00621984">
        <w:tc>
          <w:tcPr>
            <w:tcW w:w="1560" w:type="dxa"/>
            <w:shd w:val="clear" w:color="auto" w:fill="auto"/>
          </w:tcPr>
          <w:p w14:paraId="6A3127FD" w14:textId="77777777" w:rsidR="00856523" w:rsidRPr="00417AC1" w:rsidRDefault="00856523" w:rsidP="00621984">
            <w:pPr>
              <w:suppressAutoHyphens w:val="0"/>
              <w:spacing w:before="40" w:after="40" w:line="220" w:lineRule="exact"/>
              <w:ind w:right="113"/>
              <w:rPr>
                <w:rFonts w:eastAsia="Calibri"/>
                <w:bCs/>
                <w:sz w:val="18"/>
                <w:lang w:val="tr-TR"/>
              </w:rPr>
            </w:pPr>
            <w:r w:rsidRPr="00417AC1">
              <w:rPr>
                <w:rFonts w:eastAsia="Calibri"/>
                <w:bCs/>
                <w:sz w:val="18"/>
                <w:lang w:val="tr-TR"/>
              </w:rPr>
              <w:t>2019</w:t>
            </w:r>
          </w:p>
        </w:tc>
        <w:tc>
          <w:tcPr>
            <w:tcW w:w="1701" w:type="dxa"/>
            <w:shd w:val="clear" w:color="auto" w:fill="auto"/>
            <w:vAlign w:val="bottom"/>
          </w:tcPr>
          <w:p w14:paraId="7AD7FC62"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18</w:t>
            </w:r>
          </w:p>
        </w:tc>
        <w:tc>
          <w:tcPr>
            <w:tcW w:w="1714" w:type="dxa"/>
            <w:shd w:val="clear" w:color="auto" w:fill="auto"/>
            <w:vAlign w:val="bottom"/>
          </w:tcPr>
          <w:p w14:paraId="4AFA35E2"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7</w:t>
            </w:r>
          </w:p>
        </w:tc>
        <w:tc>
          <w:tcPr>
            <w:tcW w:w="1672" w:type="dxa"/>
            <w:shd w:val="clear" w:color="auto" w:fill="auto"/>
            <w:vAlign w:val="bottom"/>
          </w:tcPr>
          <w:p w14:paraId="7BF209B9"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193</w:t>
            </w:r>
          </w:p>
        </w:tc>
        <w:tc>
          <w:tcPr>
            <w:tcW w:w="1575" w:type="dxa"/>
            <w:shd w:val="clear" w:color="auto" w:fill="auto"/>
            <w:vAlign w:val="bottom"/>
          </w:tcPr>
          <w:p w14:paraId="0F6BEA42" w14:textId="77777777" w:rsidR="00856523" w:rsidRPr="00417AC1" w:rsidRDefault="00856523" w:rsidP="00621984">
            <w:pPr>
              <w:suppressAutoHyphens w:val="0"/>
              <w:spacing w:before="40" w:after="40" w:line="220" w:lineRule="exact"/>
              <w:ind w:right="113"/>
              <w:jc w:val="right"/>
              <w:rPr>
                <w:rFonts w:eastAsia="Calibri"/>
                <w:sz w:val="18"/>
                <w:lang w:val="tr-TR"/>
              </w:rPr>
            </w:pPr>
          </w:p>
        </w:tc>
        <w:tc>
          <w:tcPr>
            <w:tcW w:w="992" w:type="dxa"/>
            <w:shd w:val="clear" w:color="auto" w:fill="auto"/>
            <w:vAlign w:val="bottom"/>
          </w:tcPr>
          <w:p w14:paraId="3A0696C1"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218</w:t>
            </w:r>
          </w:p>
        </w:tc>
      </w:tr>
      <w:tr w:rsidR="00856523" w:rsidRPr="00417AC1" w14:paraId="77A7FACC" w14:textId="77777777" w:rsidTr="00621984">
        <w:tc>
          <w:tcPr>
            <w:tcW w:w="1560" w:type="dxa"/>
            <w:shd w:val="clear" w:color="auto" w:fill="auto"/>
          </w:tcPr>
          <w:p w14:paraId="03F2C8E4" w14:textId="77777777" w:rsidR="00856523" w:rsidRPr="00417AC1" w:rsidRDefault="00856523" w:rsidP="00621984">
            <w:pPr>
              <w:suppressAutoHyphens w:val="0"/>
              <w:spacing w:before="40" w:after="40" w:line="220" w:lineRule="exact"/>
              <w:ind w:right="113"/>
              <w:rPr>
                <w:rFonts w:eastAsia="Calibri"/>
                <w:bCs/>
                <w:sz w:val="18"/>
                <w:lang w:val="tr-TR"/>
              </w:rPr>
            </w:pPr>
            <w:r w:rsidRPr="00417AC1">
              <w:rPr>
                <w:rFonts w:eastAsia="Calibri"/>
                <w:bCs/>
                <w:sz w:val="18"/>
                <w:lang w:val="tr-TR"/>
              </w:rPr>
              <w:t>2020</w:t>
            </w:r>
          </w:p>
        </w:tc>
        <w:tc>
          <w:tcPr>
            <w:tcW w:w="1701" w:type="dxa"/>
            <w:shd w:val="clear" w:color="auto" w:fill="auto"/>
            <w:vAlign w:val="bottom"/>
          </w:tcPr>
          <w:p w14:paraId="14119392"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43</w:t>
            </w:r>
          </w:p>
        </w:tc>
        <w:tc>
          <w:tcPr>
            <w:tcW w:w="1714" w:type="dxa"/>
            <w:shd w:val="clear" w:color="auto" w:fill="auto"/>
            <w:vAlign w:val="bottom"/>
          </w:tcPr>
          <w:p w14:paraId="0156F91F"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3</w:t>
            </w:r>
          </w:p>
        </w:tc>
        <w:tc>
          <w:tcPr>
            <w:tcW w:w="1672" w:type="dxa"/>
            <w:shd w:val="clear" w:color="auto" w:fill="auto"/>
            <w:vAlign w:val="bottom"/>
          </w:tcPr>
          <w:p w14:paraId="009FCCC5"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176</w:t>
            </w:r>
          </w:p>
        </w:tc>
        <w:tc>
          <w:tcPr>
            <w:tcW w:w="1575" w:type="dxa"/>
            <w:shd w:val="clear" w:color="auto" w:fill="auto"/>
            <w:vAlign w:val="bottom"/>
          </w:tcPr>
          <w:p w14:paraId="0D7F3F05"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203</w:t>
            </w:r>
          </w:p>
        </w:tc>
        <w:tc>
          <w:tcPr>
            <w:tcW w:w="992" w:type="dxa"/>
            <w:shd w:val="clear" w:color="auto" w:fill="auto"/>
            <w:vAlign w:val="bottom"/>
          </w:tcPr>
          <w:p w14:paraId="65A14A30"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425</w:t>
            </w:r>
          </w:p>
        </w:tc>
      </w:tr>
      <w:tr w:rsidR="00856523" w:rsidRPr="00417AC1" w14:paraId="66431839" w14:textId="77777777" w:rsidTr="00621984">
        <w:tc>
          <w:tcPr>
            <w:tcW w:w="1560" w:type="dxa"/>
            <w:tcBorders>
              <w:bottom w:val="single" w:sz="4" w:space="0" w:color="auto"/>
            </w:tcBorders>
            <w:shd w:val="clear" w:color="auto" w:fill="auto"/>
          </w:tcPr>
          <w:p w14:paraId="024D6717" w14:textId="77777777" w:rsidR="00856523" w:rsidRPr="00417AC1" w:rsidRDefault="00856523" w:rsidP="00621984">
            <w:pPr>
              <w:suppressAutoHyphens w:val="0"/>
              <w:spacing w:before="40" w:after="40" w:line="220" w:lineRule="exact"/>
              <w:ind w:right="113"/>
              <w:rPr>
                <w:rFonts w:eastAsia="Calibri"/>
                <w:bCs/>
                <w:sz w:val="18"/>
                <w:lang w:val="tr-TR"/>
              </w:rPr>
            </w:pPr>
            <w:r w:rsidRPr="00417AC1">
              <w:rPr>
                <w:rFonts w:eastAsia="Calibri"/>
                <w:bCs/>
                <w:sz w:val="18"/>
                <w:lang w:val="tr-TR"/>
              </w:rPr>
              <w:t>2021</w:t>
            </w:r>
          </w:p>
        </w:tc>
        <w:tc>
          <w:tcPr>
            <w:tcW w:w="1701" w:type="dxa"/>
            <w:tcBorders>
              <w:bottom w:val="single" w:sz="4" w:space="0" w:color="auto"/>
            </w:tcBorders>
            <w:shd w:val="clear" w:color="auto" w:fill="auto"/>
            <w:vAlign w:val="bottom"/>
          </w:tcPr>
          <w:p w14:paraId="6E787DF2"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69</w:t>
            </w:r>
          </w:p>
        </w:tc>
        <w:tc>
          <w:tcPr>
            <w:tcW w:w="1714" w:type="dxa"/>
            <w:tcBorders>
              <w:bottom w:val="single" w:sz="4" w:space="0" w:color="auto"/>
            </w:tcBorders>
            <w:shd w:val="clear" w:color="auto" w:fill="auto"/>
            <w:vAlign w:val="bottom"/>
          </w:tcPr>
          <w:p w14:paraId="1F84ADA5"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152</w:t>
            </w:r>
          </w:p>
        </w:tc>
        <w:tc>
          <w:tcPr>
            <w:tcW w:w="1672" w:type="dxa"/>
            <w:tcBorders>
              <w:bottom w:val="single" w:sz="4" w:space="0" w:color="auto"/>
            </w:tcBorders>
            <w:shd w:val="clear" w:color="auto" w:fill="auto"/>
            <w:vAlign w:val="bottom"/>
          </w:tcPr>
          <w:p w14:paraId="40065FBE"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212</w:t>
            </w:r>
          </w:p>
        </w:tc>
        <w:tc>
          <w:tcPr>
            <w:tcW w:w="1575" w:type="dxa"/>
            <w:tcBorders>
              <w:bottom w:val="single" w:sz="4" w:space="0" w:color="auto"/>
            </w:tcBorders>
            <w:shd w:val="clear" w:color="auto" w:fill="auto"/>
            <w:vAlign w:val="bottom"/>
          </w:tcPr>
          <w:p w14:paraId="4F93DCD5" w14:textId="77777777" w:rsidR="00856523" w:rsidRPr="00417AC1" w:rsidRDefault="00856523" w:rsidP="00621984">
            <w:pPr>
              <w:suppressAutoHyphens w:val="0"/>
              <w:spacing w:before="40" w:after="40" w:line="220" w:lineRule="exact"/>
              <w:ind w:right="113"/>
              <w:jc w:val="right"/>
              <w:rPr>
                <w:rFonts w:eastAsia="Calibri"/>
                <w:sz w:val="18"/>
                <w:lang w:val="tr-TR"/>
              </w:rPr>
            </w:pPr>
          </w:p>
        </w:tc>
        <w:tc>
          <w:tcPr>
            <w:tcW w:w="992" w:type="dxa"/>
            <w:tcBorders>
              <w:bottom w:val="single" w:sz="4" w:space="0" w:color="auto"/>
            </w:tcBorders>
            <w:shd w:val="clear" w:color="auto" w:fill="auto"/>
            <w:vAlign w:val="bottom"/>
          </w:tcPr>
          <w:p w14:paraId="768BA4ED" w14:textId="77777777" w:rsidR="00856523" w:rsidRPr="00417AC1" w:rsidRDefault="00856523" w:rsidP="00621984">
            <w:pPr>
              <w:suppressAutoHyphens w:val="0"/>
              <w:spacing w:before="40" w:after="40" w:line="220" w:lineRule="exact"/>
              <w:ind w:right="113"/>
              <w:jc w:val="right"/>
              <w:rPr>
                <w:rFonts w:eastAsia="Calibri"/>
                <w:sz w:val="18"/>
                <w:lang w:val="tr-TR"/>
              </w:rPr>
            </w:pPr>
            <w:r w:rsidRPr="00417AC1">
              <w:rPr>
                <w:rFonts w:eastAsia="Calibri"/>
                <w:sz w:val="18"/>
                <w:lang w:val="tr-TR"/>
              </w:rPr>
              <w:t>433</w:t>
            </w:r>
          </w:p>
        </w:tc>
      </w:tr>
      <w:tr w:rsidR="00856523" w:rsidRPr="00417AC1" w14:paraId="188AC21C" w14:textId="77777777" w:rsidTr="00621984">
        <w:tc>
          <w:tcPr>
            <w:tcW w:w="1560" w:type="dxa"/>
            <w:tcBorders>
              <w:top w:val="single" w:sz="4" w:space="0" w:color="auto"/>
            </w:tcBorders>
            <w:shd w:val="clear" w:color="auto" w:fill="auto"/>
          </w:tcPr>
          <w:p w14:paraId="370533ED" w14:textId="77777777" w:rsidR="00856523" w:rsidRPr="00417AC1" w:rsidRDefault="00856523" w:rsidP="00621984">
            <w:pPr>
              <w:suppressAutoHyphens w:val="0"/>
              <w:spacing w:before="80" w:after="80" w:line="220" w:lineRule="exact"/>
              <w:ind w:left="283"/>
              <w:rPr>
                <w:rFonts w:eastAsia="Calibri"/>
                <w:b/>
                <w:bCs/>
                <w:sz w:val="18"/>
                <w:lang w:val="tr-TR"/>
              </w:rPr>
            </w:pPr>
            <w:r w:rsidRPr="00417AC1">
              <w:rPr>
                <w:rFonts w:eastAsia="Calibri"/>
                <w:b/>
                <w:bCs/>
                <w:sz w:val="18"/>
                <w:lang w:val="tr-TR"/>
              </w:rPr>
              <w:t>Toplam</w:t>
            </w:r>
          </w:p>
        </w:tc>
        <w:tc>
          <w:tcPr>
            <w:tcW w:w="1701" w:type="dxa"/>
            <w:tcBorders>
              <w:top w:val="single" w:sz="4" w:space="0" w:color="auto"/>
            </w:tcBorders>
            <w:shd w:val="clear" w:color="auto" w:fill="auto"/>
            <w:vAlign w:val="bottom"/>
          </w:tcPr>
          <w:p w14:paraId="5DA5D02E" w14:textId="77777777" w:rsidR="00856523" w:rsidRPr="00417AC1" w:rsidRDefault="00856523" w:rsidP="00621984">
            <w:pPr>
              <w:suppressAutoHyphens w:val="0"/>
              <w:spacing w:before="80" w:after="80" w:line="220" w:lineRule="exact"/>
              <w:ind w:right="113"/>
              <w:jc w:val="right"/>
              <w:rPr>
                <w:rFonts w:eastAsia="Calibri"/>
                <w:b/>
                <w:sz w:val="18"/>
                <w:lang w:val="tr-TR"/>
              </w:rPr>
            </w:pPr>
            <w:r w:rsidRPr="00417AC1">
              <w:rPr>
                <w:rFonts w:eastAsia="Calibri"/>
                <w:b/>
                <w:sz w:val="18"/>
                <w:lang w:val="tr-TR"/>
              </w:rPr>
              <w:t>160</w:t>
            </w:r>
          </w:p>
        </w:tc>
        <w:tc>
          <w:tcPr>
            <w:tcW w:w="1714" w:type="dxa"/>
            <w:tcBorders>
              <w:top w:val="single" w:sz="4" w:space="0" w:color="auto"/>
            </w:tcBorders>
            <w:shd w:val="clear" w:color="auto" w:fill="auto"/>
            <w:vAlign w:val="bottom"/>
          </w:tcPr>
          <w:p w14:paraId="3D3060AF" w14:textId="77777777" w:rsidR="00856523" w:rsidRPr="00417AC1" w:rsidRDefault="00856523" w:rsidP="00621984">
            <w:pPr>
              <w:suppressAutoHyphens w:val="0"/>
              <w:spacing w:before="80" w:after="80" w:line="220" w:lineRule="exact"/>
              <w:ind w:right="113"/>
              <w:jc w:val="right"/>
              <w:rPr>
                <w:rFonts w:eastAsia="Calibri"/>
                <w:b/>
                <w:sz w:val="18"/>
                <w:lang w:val="tr-TR"/>
              </w:rPr>
            </w:pPr>
            <w:r w:rsidRPr="00417AC1">
              <w:rPr>
                <w:rFonts w:eastAsia="Calibri"/>
                <w:b/>
                <w:sz w:val="18"/>
                <w:lang w:val="tr-TR"/>
              </w:rPr>
              <w:t>163</w:t>
            </w:r>
          </w:p>
        </w:tc>
        <w:tc>
          <w:tcPr>
            <w:tcW w:w="1672" w:type="dxa"/>
            <w:tcBorders>
              <w:top w:val="single" w:sz="4" w:space="0" w:color="auto"/>
            </w:tcBorders>
            <w:shd w:val="clear" w:color="auto" w:fill="auto"/>
            <w:vAlign w:val="bottom"/>
          </w:tcPr>
          <w:p w14:paraId="03F9E99A" w14:textId="77777777" w:rsidR="00856523" w:rsidRPr="00417AC1" w:rsidRDefault="00856523" w:rsidP="00621984">
            <w:pPr>
              <w:suppressAutoHyphens w:val="0"/>
              <w:spacing w:before="80" w:after="80" w:line="220" w:lineRule="exact"/>
              <w:ind w:right="113"/>
              <w:jc w:val="right"/>
              <w:rPr>
                <w:rFonts w:eastAsia="Calibri"/>
                <w:b/>
                <w:sz w:val="18"/>
                <w:lang w:val="tr-TR"/>
              </w:rPr>
            </w:pPr>
            <w:r w:rsidRPr="00417AC1">
              <w:rPr>
                <w:rFonts w:eastAsia="Calibri"/>
                <w:b/>
                <w:sz w:val="18"/>
                <w:lang w:val="tr-TR"/>
              </w:rPr>
              <w:t>611</w:t>
            </w:r>
          </w:p>
        </w:tc>
        <w:tc>
          <w:tcPr>
            <w:tcW w:w="1575" w:type="dxa"/>
            <w:tcBorders>
              <w:top w:val="single" w:sz="4" w:space="0" w:color="auto"/>
            </w:tcBorders>
            <w:shd w:val="clear" w:color="auto" w:fill="auto"/>
            <w:vAlign w:val="bottom"/>
          </w:tcPr>
          <w:p w14:paraId="25836C20" w14:textId="77777777" w:rsidR="00856523" w:rsidRPr="00417AC1" w:rsidRDefault="00856523" w:rsidP="00621984">
            <w:pPr>
              <w:suppressAutoHyphens w:val="0"/>
              <w:spacing w:before="80" w:after="80" w:line="220" w:lineRule="exact"/>
              <w:ind w:right="113"/>
              <w:jc w:val="right"/>
              <w:rPr>
                <w:rFonts w:eastAsia="Calibri"/>
                <w:b/>
                <w:sz w:val="18"/>
                <w:lang w:val="tr-TR"/>
              </w:rPr>
            </w:pPr>
            <w:r w:rsidRPr="00417AC1">
              <w:rPr>
                <w:rFonts w:eastAsia="Calibri"/>
                <w:b/>
                <w:sz w:val="18"/>
                <w:lang w:val="tr-TR"/>
              </w:rPr>
              <w:t>203</w:t>
            </w:r>
          </w:p>
        </w:tc>
        <w:tc>
          <w:tcPr>
            <w:tcW w:w="992" w:type="dxa"/>
            <w:tcBorders>
              <w:top w:val="single" w:sz="4" w:space="0" w:color="auto"/>
            </w:tcBorders>
            <w:shd w:val="clear" w:color="auto" w:fill="auto"/>
            <w:vAlign w:val="bottom"/>
          </w:tcPr>
          <w:p w14:paraId="3DD7BD6D" w14:textId="57DD2521" w:rsidR="00856523" w:rsidRPr="00417AC1" w:rsidRDefault="00856523" w:rsidP="00621984">
            <w:pPr>
              <w:suppressAutoHyphens w:val="0"/>
              <w:spacing w:before="80" w:after="80" w:line="220" w:lineRule="exact"/>
              <w:ind w:right="113"/>
              <w:jc w:val="right"/>
              <w:rPr>
                <w:rFonts w:eastAsia="Calibri"/>
                <w:b/>
                <w:sz w:val="18"/>
                <w:lang w:val="tr-TR"/>
              </w:rPr>
            </w:pPr>
            <w:r w:rsidRPr="00417AC1">
              <w:rPr>
                <w:rFonts w:eastAsia="Calibri"/>
                <w:b/>
                <w:sz w:val="18"/>
                <w:lang w:val="tr-TR"/>
              </w:rPr>
              <w:t>1 137</w:t>
            </w:r>
          </w:p>
        </w:tc>
      </w:tr>
    </w:tbl>
    <w:p w14:paraId="6A3BE964" w14:textId="216BA66F" w:rsidR="00856523" w:rsidRPr="00417AC1" w:rsidRDefault="00856523" w:rsidP="00A454FD">
      <w:pPr>
        <w:pStyle w:val="SingleTxtG"/>
        <w:spacing w:before="240"/>
        <w:rPr>
          <w:lang w:val="tr-TR"/>
        </w:rPr>
      </w:pPr>
      <w:r w:rsidRPr="00417AC1">
        <w:rPr>
          <w:lang w:val="tr-TR"/>
        </w:rPr>
        <w:lastRenderedPageBreak/>
        <w:t xml:space="preserve">25. </w:t>
      </w:r>
      <w:r w:rsidRPr="00417AC1">
        <w:rPr>
          <w:lang w:val="tr-TR"/>
        </w:rPr>
        <w:tab/>
        <w:t xml:space="preserve">HREIT, Avrupa Ulusal İnsan Hakları Kurumları Ağı'nın bir üyesidir. HRAP </w:t>
      </w:r>
      <w:r w:rsidR="00BA1A10" w:rsidRPr="00417AC1">
        <w:rPr>
          <w:lang w:val="tr-TR"/>
        </w:rPr>
        <w:t xml:space="preserve">, “HREIT'in yapısının Ulusal Kurumların Statüsüne İlişkin BM İlkelerine uygun hale getirilmesi ve Ulusal İnsan Hakları Kurumları Küresel İttifakı tarafından akreditasyonunun güvence altına alınmasını” </w:t>
      </w:r>
      <w:r w:rsidRPr="00417AC1">
        <w:rPr>
          <w:lang w:val="tr-TR"/>
        </w:rPr>
        <w:t xml:space="preserve">öngörmektedir . </w:t>
      </w:r>
      <w:r w:rsidR="00BA1A10" w:rsidRPr="00417AC1">
        <w:rPr>
          <w:lang w:val="tr-TR"/>
        </w:rPr>
        <w:t>Akreditasyon süreci için gerekli belgeler HREIT tarafından 1 Haziran 2022 tarihinde Küresel Ulusal İnsan Hakları Kurumları Birliği'ne sunuldu. Akreditasyona ilişkin değerlendirme Ekim 2022'de tamamlanacak.</w:t>
      </w:r>
    </w:p>
    <w:p w14:paraId="1775995E" w14:textId="77777777" w:rsidR="00856523" w:rsidRPr="00417AC1" w:rsidRDefault="00856523" w:rsidP="00856523">
      <w:pPr>
        <w:pStyle w:val="H4G"/>
        <w:rPr>
          <w:lang w:val="tr-TR"/>
        </w:rPr>
      </w:pPr>
      <w:r w:rsidRPr="00417AC1">
        <w:rPr>
          <w:lang w:val="tr-TR"/>
        </w:rPr>
        <w:tab/>
      </w:r>
      <w:r w:rsidRPr="00417AC1">
        <w:rPr>
          <w:lang w:val="tr-TR"/>
        </w:rPr>
        <w:tab/>
        <w:t>HA</w:t>
      </w:r>
    </w:p>
    <w:p w14:paraId="15895E2D" w14:textId="77777777" w:rsidR="00856523" w:rsidRPr="00417AC1" w:rsidRDefault="00856523" w:rsidP="00856523">
      <w:pPr>
        <w:pStyle w:val="SingleTxtG"/>
        <w:rPr>
          <w:lang w:val="tr-TR"/>
        </w:rPr>
      </w:pPr>
      <w:r w:rsidRPr="00417AC1">
        <w:rPr>
          <w:lang w:val="tr-TR"/>
        </w:rPr>
        <w:t xml:space="preserve">26. </w:t>
      </w:r>
      <w:r w:rsidRPr="00417AC1">
        <w:rPr>
          <w:lang w:val="tr-TR"/>
        </w:rPr>
        <w:tab/>
        <w:t>HAK, Anayasa'nın 74. maddesi uyarınca ve Paris İlkelerine uygun olarak 29 Haziran 2012 tarih ve 6328 sayılı Kanunla kurulmuştur. Anayasal statüye sahip olan HAK, performansında bağımsız ve etkili bir şikayet mekanizması amacına hizmet etmektedir. kamu hizmetlerinden.</w:t>
      </w:r>
    </w:p>
    <w:p w14:paraId="51EEB292" w14:textId="77777777" w:rsidR="00856523" w:rsidRPr="00417AC1" w:rsidRDefault="00856523" w:rsidP="00856523">
      <w:pPr>
        <w:pStyle w:val="SingleTxtG"/>
        <w:rPr>
          <w:lang w:val="tr-TR"/>
        </w:rPr>
      </w:pPr>
      <w:r w:rsidRPr="00417AC1">
        <w:rPr>
          <w:lang w:val="tr-TR"/>
        </w:rPr>
        <w:t xml:space="preserve">27. </w:t>
      </w:r>
      <w:r w:rsidRPr="00417AC1">
        <w:rPr>
          <w:lang w:val="tr-TR"/>
        </w:rPr>
        <w:tab/>
        <w:t>HAK, TBMM'de gizli oyla dört yıl için seçilen bir Başdenetçi ve beş kamu denetçisinden oluşur. TBMM'ye bağlı, kamu tüzel kişiliğine sahip ve kendi bütçesi olan bir kurumdur. Başdenetçi ve denetçilerin görev alanına giren konularda hiçbir makam, makam, kuruluş veya kişinin emir, talimat veremeyeceği, genelge gönderemeyeceği, tavsiye ve öneride bulunamayacağı, Başdenetçi ve denetçilerin görev alanına gireceği kanunla düzenlenmiştir. Görevlerini yerine getirirken tarafsızlık ilkesine uygun olarak çalışırlar.</w:t>
      </w:r>
    </w:p>
    <w:p w14:paraId="4D457D28" w14:textId="77777777" w:rsidR="00856523" w:rsidRPr="00417AC1" w:rsidRDefault="00856523" w:rsidP="00856523">
      <w:pPr>
        <w:pStyle w:val="SingleTxtG"/>
        <w:rPr>
          <w:lang w:val="tr-TR"/>
        </w:rPr>
      </w:pPr>
      <w:r w:rsidRPr="00417AC1">
        <w:rPr>
          <w:lang w:val="tr-TR"/>
        </w:rPr>
        <w:t xml:space="preserve">28. </w:t>
      </w:r>
      <w:r w:rsidRPr="00417AC1">
        <w:rPr>
          <w:lang w:val="tr-TR"/>
        </w:rPr>
        <w:tab/>
        <w:t>Ayrıca Başdenetçi ve kamu denetçilerinin, herhangi bir siyasi partiye üye olmamak, TBMM Genel Kurulu ve TBMM Karma Komisyon tarafından üçte iki çoğunlukla seçilmek, hakkında soruşturmaya tabi olmak gibi kanunen aranan şartlar HAK'nın, TBMM Başkanının izniyle görev yapması ve başka bir iş ile meşgul olmaması, HAK'nın bağımsız olarak hareket etmesini sağlar.</w:t>
      </w:r>
    </w:p>
    <w:p w14:paraId="7DDF3381" w14:textId="0C6AADB2" w:rsidR="00856523" w:rsidRPr="00417AC1" w:rsidRDefault="00856523" w:rsidP="00856523">
      <w:pPr>
        <w:pStyle w:val="SingleTxtG"/>
        <w:rPr>
          <w:lang w:val="tr-TR"/>
        </w:rPr>
      </w:pPr>
      <w:r w:rsidRPr="00417AC1">
        <w:rPr>
          <w:lang w:val="tr-TR"/>
        </w:rPr>
        <w:t xml:space="preserve">29. </w:t>
      </w:r>
      <w:r w:rsidRPr="00417AC1">
        <w:rPr>
          <w:lang w:val="tr-TR"/>
        </w:rPr>
        <w:tab/>
        <w:t xml:space="preserve">HAK, idarenin her türlü eylem ve davranışlarını hukuka ve hakkaniyete uygunluk açısından incelemek, araştırmak ve önerilerde bulunmakla görevlidir. Herkes Türkçe dışındaki dillerde de olmak üzere kuruma şikâyetlerini şahsen veya yasal temsilcisi aracılığıyla ücretsiz olarak iletebilmektedir. Başvurular şahsen, posta yoluyla, resmi internet sitesindeki ( </w:t>
      </w:r>
      <w:hyperlink r:id="rId10" w:history="1">
        <w:r w:rsidRPr="00417AC1">
          <w:rPr>
            <w:rStyle w:val="Hyperlink"/>
            <w:lang w:val="tr-TR"/>
          </w:rPr>
          <w:t xml:space="preserve">www.ombudsman.gov.tr </w:t>
        </w:r>
      </w:hyperlink>
      <w:r w:rsidRPr="00417AC1">
        <w:rPr>
          <w:lang w:val="tr-TR"/>
        </w:rPr>
        <w:t xml:space="preserve">) elektronik başvuru formu aracılığıyla veya il veya kaymakamlıklara yapılabilir . Çocuklar </w:t>
      </w:r>
      <w:hyperlink r:id="rId11" w:history="1">
        <w:r w:rsidRPr="00417AC1">
          <w:rPr>
            <w:rStyle w:val="Hyperlink"/>
            <w:lang w:val="tr-TR"/>
          </w:rPr>
          <w:t xml:space="preserve">www.kdkcocuk.gov.tr </w:t>
        </w:r>
      </w:hyperlink>
      <w:r w:rsidRPr="00417AC1">
        <w:rPr>
          <w:lang w:val="tr-TR"/>
        </w:rPr>
        <w:t>adresinden elektronik başvurularını kendileri de yapabilecekler .</w:t>
      </w:r>
    </w:p>
    <w:p w14:paraId="76C7E31B" w14:textId="77777777" w:rsidR="00856523" w:rsidRPr="00417AC1" w:rsidRDefault="00856523" w:rsidP="00856523">
      <w:pPr>
        <w:pStyle w:val="SingleTxtG"/>
        <w:rPr>
          <w:lang w:val="tr-TR"/>
        </w:rPr>
      </w:pPr>
      <w:r w:rsidRPr="00417AC1">
        <w:rPr>
          <w:lang w:val="tr-TR"/>
        </w:rPr>
        <w:t xml:space="preserve">30. </w:t>
      </w:r>
      <w:r w:rsidRPr="00417AC1">
        <w:rPr>
          <w:lang w:val="tr-TR"/>
        </w:rPr>
        <w:tab/>
        <w:t>HAK, ihlallerin giderilmesi ve anlaşmazlıkların çözümlenmesi için gerekli tüm incelemeleri yapar. İdari makamlar her türlü bilgi ve belgeyi sunmakla yükümlüdür. HAK bir bilirkişi atama ve tanık dinleme yetkisine sahiptir.</w:t>
      </w:r>
    </w:p>
    <w:p w14:paraId="6D607DC3" w14:textId="77777777" w:rsidR="00856523" w:rsidRPr="00417AC1" w:rsidRDefault="00856523" w:rsidP="00856523">
      <w:pPr>
        <w:pStyle w:val="SingleTxtG"/>
        <w:rPr>
          <w:lang w:val="tr-TR"/>
        </w:rPr>
      </w:pPr>
      <w:r w:rsidRPr="00417AC1">
        <w:rPr>
          <w:lang w:val="tr-TR"/>
        </w:rPr>
        <w:t xml:space="preserve">31. </w:t>
      </w:r>
      <w:r w:rsidRPr="00417AC1">
        <w:rPr>
          <w:lang w:val="tr-TR"/>
        </w:rPr>
        <w:tab/>
        <w:t>HAK, kabul edilen başvuruları, tespit edilen eksiklikleri, giderilen ihlalleri, tavsiye ve alınan diğer kararları, bu kararlara uyan veya uymayan idarelere ilişkin tespitleri, tavsiye ve görüşleri içeren ve mevzuat ilkelerine uygun olarak TBMM'ye sunulan yıllık bir rapor hazırlar. Şeffaflık ve hesap verebilirlik. Rapor TBMM Genel Kurulu'nda görüşülür ve Resmi Gazete'de yayımlanır.</w:t>
      </w:r>
    </w:p>
    <w:p w14:paraId="29C5A4E4" w14:textId="77777777" w:rsidR="00856523" w:rsidRPr="00417AC1" w:rsidRDefault="00856523" w:rsidP="00856523">
      <w:pPr>
        <w:pStyle w:val="SingleTxtG"/>
        <w:rPr>
          <w:lang w:val="tr-TR"/>
        </w:rPr>
      </w:pPr>
      <w:r w:rsidRPr="00417AC1">
        <w:rPr>
          <w:lang w:val="tr-TR"/>
        </w:rPr>
        <w:t xml:space="preserve">32. </w:t>
      </w:r>
      <w:r w:rsidRPr="00417AC1">
        <w:rPr>
          <w:lang w:val="tr-TR"/>
        </w:rPr>
        <w:tab/>
        <w:t>HAK ayrıca, başvuru veya yıllık rapor beklenmeden özel raporlar hazırlamaya ve gerekli gördüğü konularda açıklamalarda bulunmaya yetkilidir. Böylece sektörel müdahalelerde bulunarak sorunların çözümüne katkı sağlayabilmektedir. HAK'nın tüm raporlarına web sitesinden ulaşılabilir.</w:t>
      </w:r>
    </w:p>
    <w:p w14:paraId="1E538CD5" w14:textId="0A00875E" w:rsidR="00856523" w:rsidRPr="00417AC1" w:rsidRDefault="00856523" w:rsidP="00856523">
      <w:pPr>
        <w:pStyle w:val="SingleTxtG"/>
        <w:rPr>
          <w:lang w:val="tr-TR"/>
        </w:rPr>
      </w:pPr>
      <w:r w:rsidRPr="00417AC1">
        <w:rPr>
          <w:lang w:val="tr-TR"/>
        </w:rPr>
        <w:t xml:space="preserve">33. </w:t>
      </w:r>
      <w:r w:rsidRPr="00417AC1">
        <w:rPr>
          <w:lang w:val="tr-TR"/>
        </w:rPr>
        <w:tab/>
        <w:t xml:space="preserve">HAK'ya başvuru, Anayasa'nın 74. maddesi uyarınca anayasal bir haktır. Yapılan ön inceleme sonrasında başvurunun kabul edilemez bulunması halinde inceleme yapmama veya sevk kararı verilir. Sevk kararlarında, başvurucunun talebinin yanı sıra </w:t>
      </w:r>
      <w:r w:rsidR="00742BC4" w:rsidRPr="00417AC1">
        <w:rPr>
          <w:lang w:val="tr-TR"/>
        </w:rPr>
        <w:t>, gerektiğinde başvuruya ilişkin hukuki çerçeve açıklanmakta, idareye yapması gerekenler hatırlatılmakta, başvurucunun talebinin dikkate alınması talep edilmekte ve sulh yoluyla çözüme davet edilmektedir. Yönlendirme kararlarının çoğu idare tarafından dostane bir çözümle sonuçlanır ve başvuru sahiplerinin mağduriyetleri giderilir.</w:t>
      </w:r>
    </w:p>
    <w:p w14:paraId="064E7E3B" w14:textId="77777777" w:rsidR="00856523" w:rsidRPr="00417AC1" w:rsidRDefault="00856523" w:rsidP="00856523">
      <w:pPr>
        <w:pStyle w:val="SingleTxtG"/>
        <w:rPr>
          <w:lang w:val="tr-TR"/>
        </w:rPr>
      </w:pPr>
      <w:r w:rsidRPr="00417AC1">
        <w:rPr>
          <w:lang w:val="tr-TR"/>
        </w:rPr>
        <w:t xml:space="preserve">34. </w:t>
      </w:r>
      <w:r w:rsidRPr="00417AC1">
        <w:rPr>
          <w:lang w:val="tr-TR"/>
        </w:rPr>
        <w:tab/>
        <w:t>Ön inceleme aşamasını geçen başvurular esas itibarıyla incelenir ve başvurunun ve/veya ihlalin niteliğine göre tavsiye, ret, sulh yoluyla çözüm veya karar vermeme kararı verilir. HAK başvuruları altı ay içerisinde sonuçlandırmak zorundadır.</w:t>
      </w:r>
    </w:p>
    <w:p w14:paraId="0C4D4F6A" w14:textId="77777777" w:rsidR="00856523" w:rsidRPr="00417AC1" w:rsidRDefault="00856523" w:rsidP="00BC6C76">
      <w:pPr>
        <w:pStyle w:val="SingleTxtG"/>
        <w:spacing w:after="240"/>
        <w:rPr>
          <w:lang w:val="tr-TR"/>
        </w:rPr>
      </w:pPr>
      <w:r w:rsidRPr="00417AC1">
        <w:rPr>
          <w:lang w:val="tr-TR"/>
        </w:rPr>
        <w:t xml:space="preserve">35. </w:t>
      </w:r>
      <w:r w:rsidRPr="00417AC1">
        <w:rPr>
          <w:lang w:val="tr-TR"/>
        </w:rPr>
        <w:tab/>
        <w:t>HAK'nın başvuru ve kararlarına ilişkin bilgiler aşağıda yer almaktadır: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99"/>
        <w:gridCol w:w="800"/>
        <w:gridCol w:w="800"/>
        <w:gridCol w:w="800"/>
        <w:gridCol w:w="800"/>
        <w:gridCol w:w="1386"/>
      </w:tblGrid>
      <w:tr w:rsidR="00BC6C76" w:rsidRPr="00417AC1" w14:paraId="57AE4B00" w14:textId="77777777" w:rsidTr="00BC6C76">
        <w:trPr>
          <w:tblHeader/>
        </w:trPr>
        <w:tc>
          <w:tcPr>
            <w:tcW w:w="1985" w:type="dxa"/>
            <w:tcBorders>
              <w:top w:val="single" w:sz="4" w:space="0" w:color="auto"/>
              <w:bottom w:val="single" w:sz="12" w:space="0" w:color="auto"/>
            </w:tcBorders>
            <w:shd w:val="clear" w:color="auto" w:fill="auto"/>
            <w:vAlign w:val="bottom"/>
          </w:tcPr>
          <w:p w14:paraId="0CEC4EE8" w14:textId="77777777" w:rsidR="00856523" w:rsidRPr="00417AC1" w:rsidRDefault="00856523" w:rsidP="00BC6C76">
            <w:pPr>
              <w:suppressAutoHyphens w:val="0"/>
              <w:spacing w:before="80" w:after="80" w:line="200" w:lineRule="exact"/>
              <w:ind w:right="113"/>
              <w:rPr>
                <w:i/>
                <w:sz w:val="16"/>
                <w:lang w:val="tr-TR"/>
              </w:rPr>
            </w:pPr>
            <w:r w:rsidRPr="00417AC1">
              <w:rPr>
                <w:i/>
                <w:sz w:val="16"/>
                <w:lang w:val="tr-TR"/>
              </w:rPr>
              <w:lastRenderedPageBreak/>
              <w:t>Karar türü</w:t>
            </w:r>
          </w:p>
        </w:tc>
        <w:tc>
          <w:tcPr>
            <w:tcW w:w="799" w:type="dxa"/>
            <w:tcBorders>
              <w:top w:val="single" w:sz="4" w:space="0" w:color="auto"/>
              <w:bottom w:val="single" w:sz="12" w:space="0" w:color="auto"/>
            </w:tcBorders>
            <w:shd w:val="clear" w:color="auto" w:fill="auto"/>
            <w:vAlign w:val="bottom"/>
          </w:tcPr>
          <w:p w14:paraId="609BD300" w14:textId="77777777" w:rsidR="00856523" w:rsidRPr="00417AC1" w:rsidRDefault="00856523" w:rsidP="00BC6C76">
            <w:pPr>
              <w:suppressAutoHyphens w:val="0"/>
              <w:spacing w:before="80" w:after="80" w:line="200" w:lineRule="exact"/>
              <w:ind w:right="113"/>
              <w:jc w:val="right"/>
              <w:rPr>
                <w:i/>
                <w:sz w:val="16"/>
                <w:lang w:val="tr-TR"/>
              </w:rPr>
            </w:pPr>
            <w:r w:rsidRPr="00417AC1">
              <w:rPr>
                <w:i/>
                <w:sz w:val="16"/>
                <w:lang w:val="tr-TR"/>
              </w:rPr>
              <w:t>2017</w:t>
            </w:r>
          </w:p>
        </w:tc>
        <w:tc>
          <w:tcPr>
            <w:tcW w:w="800" w:type="dxa"/>
            <w:tcBorders>
              <w:top w:val="single" w:sz="4" w:space="0" w:color="auto"/>
              <w:bottom w:val="single" w:sz="12" w:space="0" w:color="auto"/>
            </w:tcBorders>
            <w:shd w:val="clear" w:color="auto" w:fill="auto"/>
            <w:vAlign w:val="bottom"/>
          </w:tcPr>
          <w:p w14:paraId="54FA9418" w14:textId="77777777" w:rsidR="00856523" w:rsidRPr="00417AC1" w:rsidRDefault="00856523" w:rsidP="00BC6C76">
            <w:pPr>
              <w:suppressAutoHyphens w:val="0"/>
              <w:spacing w:before="80" w:after="80" w:line="200" w:lineRule="exact"/>
              <w:ind w:right="113"/>
              <w:jc w:val="right"/>
              <w:rPr>
                <w:i/>
                <w:sz w:val="16"/>
                <w:lang w:val="tr-TR"/>
              </w:rPr>
            </w:pPr>
            <w:r w:rsidRPr="00417AC1">
              <w:rPr>
                <w:i/>
                <w:sz w:val="16"/>
                <w:lang w:val="tr-TR"/>
              </w:rPr>
              <w:t>2018</w:t>
            </w:r>
          </w:p>
        </w:tc>
        <w:tc>
          <w:tcPr>
            <w:tcW w:w="800" w:type="dxa"/>
            <w:tcBorders>
              <w:top w:val="single" w:sz="4" w:space="0" w:color="auto"/>
              <w:bottom w:val="single" w:sz="12" w:space="0" w:color="auto"/>
            </w:tcBorders>
            <w:shd w:val="clear" w:color="auto" w:fill="auto"/>
            <w:vAlign w:val="bottom"/>
          </w:tcPr>
          <w:p w14:paraId="2C10488B" w14:textId="77777777" w:rsidR="00856523" w:rsidRPr="00417AC1" w:rsidRDefault="00856523" w:rsidP="00BC6C76">
            <w:pPr>
              <w:suppressAutoHyphens w:val="0"/>
              <w:spacing w:before="80" w:after="80" w:line="200" w:lineRule="exact"/>
              <w:ind w:right="113"/>
              <w:jc w:val="right"/>
              <w:rPr>
                <w:i/>
                <w:sz w:val="16"/>
                <w:lang w:val="tr-TR"/>
              </w:rPr>
            </w:pPr>
            <w:r w:rsidRPr="00417AC1">
              <w:rPr>
                <w:i/>
                <w:sz w:val="16"/>
                <w:lang w:val="tr-TR"/>
              </w:rPr>
              <w:t>2019</w:t>
            </w:r>
          </w:p>
        </w:tc>
        <w:tc>
          <w:tcPr>
            <w:tcW w:w="800" w:type="dxa"/>
            <w:tcBorders>
              <w:top w:val="single" w:sz="4" w:space="0" w:color="auto"/>
              <w:bottom w:val="single" w:sz="12" w:space="0" w:color="auto"/>
            </w:tcBorders>
            <w:shd w:val="clear" w:color="auto" w:fill="auto"/>
            <w:vAlign w:val="bottom"/>
          </w:tcPr>
          <w:p w14:paraId="07BBBE96" w14:textId="77777777" w:rsidR="00856523" w:rsidRPr="00417AC1" w:rsidRDefault="00856523" w:rsidP="00BC6C76">
            <w:pPr>
              <w:suppressAutoHyphens w:val="0"/>
              <w:spacing w:before="80" w:after="80" w:line="200" w:lineRule="exact"/>
              <w:ind w:right="113"/>
              <w:jc w:val="right"/>
              <w:rPr>
                <w:i/>
                <w:sz w:val="16"/>
                <w:lang w:val="tr-TR"/>
              </w:rPr>
            </w:pPr>
            <w:r w:rsidRPr="00417AC1">
              <w:rPr>
                <w:i/>
                <w:sz w:val="16"/>
                <w:lang w:val="tr-TR"/>
              </w:rPr>
              <w:t>2020</w:t>
            </w:r>
          </w:p>
        </w:tc>
        <w:tc>
          <w:tcPr>
            <w:tcW w:w="800" w:type="dxa"/>
            <w:tcBorders>
              <w:top w:val="single" w:sz="4" w:space="0" w:color="auto"/>
              <w:bottom w:val="single" w:sz="12" w:space="0" w:color="auto"/>
            </w:tcBorders>
            <w:shd w:val="clear" w:color="auto" w:fill="auto"/>
            <w:vAlign w:val="bottom"/>
          </w:tcPr>
          <w:p w14:paraId="488B3BE9" w14:textId="77777777" w:rsidR="00856523" w:rsidRPr="00417AC1" w:rsidRDefault="00856523" w:rsidP="00BC6C76">
            <w:pPr>
              <w:suppressAutoHyphens w:val="0"/>
              <w:spacing w:before="80" w:after="80" w:line="200" w:lineRule="exact"/>
              <w:ind w:right="113"/>
              <w:jc w:val="right"/>
              <w:rPr>
                <w:i/>
                <w:sz w:val="16"/>
                <w:lang w:val="tr-TR"/>
              </w:rPr>
            </w:pPr>
            <w:r w:rsidRPr="00417AC1">
              <w:rPr>
                <w:i/>
                <w:sz w:val="16"/>
                <w:lang w:val="tr-TR"/>
              </w:rPr>
              <w:t>2021</w:t>
            </w:r>
          </w:p>
        </w:tc>
        <w:tc>
          <w:tcPr>
            <w:tcW w:w="1386" w:type="dxa"/>
            <w:tcBorders>
              <w:top w:val="single" w:sz="4" w:space="0" w:color="auto"/>
              <w:bottom w:val="single" w:sz="12" w:space="0" w:color="auto"/>
            </w:tcBorders>
            <w:shd w:val="clear" w:color="auto" w:fill="auto"/>
            <w:vAlign w:val="bottom"/>
          </w:tcPr>
          <w:p w14:paraId="2086350F" w14:textId="77777777" w:rsidR="00856523" w:rsidRPr="00417AC1" w:rsidRDefault="00856523" w:rsidP="00BC6C76">
            <w:pPr>
              <w:suppressAutoHyphens w:val="0"/>
              <w:spacing w:before="80" w:after="80" w:line="200" w:lineRule="exact"/>
              <w:ind w:right="57"/>
              <w:jc w:val="right"/>
              <w:rPr>
                <w:i/>
                <w:sz w:val="16"/>
                <w:lang w:val="tr-TR"/>
              </w:rPr>
            </w:pPr>
            <w:r w:rsidRPr="00417AC1">
              <w:rPr>
                <w:i/>
                <w:sz w:val="16"/>
                <w:lang w:val="tr-TR"/>
              </w:rPr>
              <w:t>2022 (1 Nisan'a kadar)</w:t>
            </w:r>
          </w:p>
        </w:tc>
      </w:tr>
      <w:tr w:rsidR="00BC6C76" w:rsidRPr="00417AC1" w14:paraId="7B1FB1FC" w14:textId="77777777" w:rsidTr="00BC6C76">
        <w:tc>
          <w:tcPr>
            <w:tcW w:w="1985" w:type="dxa"/>
            <w:tcBorders>
              <w:top w:val="single" w:sz="12" w:space="0" w:color="auto"/>
            </w:tcBorders>
            <w:shd w:val="clear" w:color="auto" w:fill="auto"/>
          </w:tcPr>
          <w:p w14:paraId="548034F0"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Referans</w:t>
            </w:r>
          </w:p>
        </w:tc>
        <w:tc>
          <w:tcPr>
            <w:tcW w:w="799" w:type="dxa"/>
            <w:tcBorders>
              <w:top w:val="single" w:sz="12" w:space="0" w:color="auto"/>
            </w:tcBorders>
            <w:shd w:val="clear" w:color="auto" w:fill="auto"/>
            <w:vAlign w:val="bottom"/>
          </w:tcPr>
          <w:p w14:paraId="557BB147" w14:textId="20337979"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4 629</w:t>
            </w:r>
          </w:p>
        </w:tc>
        <w:tc>
          <w:tcPr>
            <w:tcW w:w="800" w:type="dxa"/>
            <w:tcBorders>
              <w:top w:val="single" w:sz="12" w:space="0" w:color="auto"/>
            </w:tcBorders>
            <w:shd w:val="clear" w:color="auto" w:fill="auto"/>
            <w:vAlign w:val="bottom"/>
          </w:tcPr>
          <w:p w14:paraId="054CE5AF" w14:textId="33284B18"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4 812</w:t>
            </w:r>
          </w:p>
        </w:tc>
        <w:tc>
          <w:tcPr>
            <w:tcW w:w="800" w:type="dxa"/>
            <w:tcBorders>
              <w:top w:val="single" w:sz="12" w:space="0" w:color="auto"/>
            </w:tcBorders>
            <w:shd w:val="clear" w:color="auto" w:fill="auto"/>
            <w:vAlign w:val="bottom"/>
          </w:tcPr>
          <w:p w14:paraId="72142BD6" w14:textId="37E55EE4"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8 112</w:t>
            </w:r>
          </w:p>
        </w:tc>
        <w:tc>
          <w:tcPr>
            <w:tcW w:w="800" w:type="dxa"/>
            <w:tcBorders>
              <w:top w:val="single" w:sz="12" w:space="0" w:color="auto"/>
            </w:tcBorders>
            <w:shd w:val="clear" w:color="auto" w:fill="auto"/>
            <w:vAlign w:val="bottom"/>
          </w:tcPr>
          <w:p w14:paraId="0AE2929A" w14:textId="4C56405E"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8 555</w:t>
            </w:r>
          </w:p>
        </w:tc>
        <w:tc>
          <w:tcPr>
            <w:tcW w:w="800" w:type="dxa"/>
            <w:tcBorders>
              <w:top w:val="single" w:sz="12" w:space="0" w:color="auto"/>
            </w:tcBorders>
            <w:shd w:val="clear" w:color="auto" w:fill="auto"/>
            <w:vAlign w:val="bottom"/>
          </w:tcPr>
          <w:p w14:paraId="311EDA1D" w14:textId="6302A94A"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7 148</w:t>
            </w:r>
          </w:p>
        </w:tc>
        <w:tc>
          <w:tcPr>
            <w:tcW w:w="1386" w:type="dxa"/>
            <w:tcBorders>
              <w:top w:val="single" w:sz="12" w:space="0" w:color="auto"/>
            </w:tcBorders>
            <w:shd w:val="clear" w:color="auto" w:fill="auto"/>
            <w:vAlign w:val="bottom"/>
          </w:tcPr>
          <w:p w14:paraId="07A25EE8" w14:textId="44A3FACB"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1 644</w:t>
            </w:r>
          </w:p>
        </w:tc>
      </w:tr>
      <w:tr w:rsidR="00BC6C76" w:rsidRPr="00417AC1" w14:paraId="127508D9" w14:textId="77777777" w:rsidTr="00BC6C76">
        <w:tc>
          <w:tcPr>
            <w:tcW w:w="1985" w:type="dxa"/>
            <w:shd w:val="clear" w:color="auto" w:fill="auto"/>
          </w:tcPr>
          <w:p w14:paraId="09FC0A3C"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Kabul edilemezlik</w:t>
            </w:r>
          </w:p>
        </w:tc>
        <w:tc>
          <w:tcPr>
            <w:tcW w:w="799" w:type="dxa"/>
            <w:shd w:val="clear" w:color="auto" w:fill="auto"/>
            <w:vAlign w:val="bottom"/>
          </w:tcPr>
          <w:p w14:paraId="252152AD" w14:textId="71C7C9D5"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4 381</w:t>
            </w:r>
          </w:p>
        </w:tc>
        <w:tc>
          <w:tcPr>
            <w:tcW w:w="800" w:type="dxa"/>
            <w:shd w:val="clear" w:color="auto" w:fill="auto"/>
            <w:vAlign w:val="bottom"/>
          </w:tcPr>
          <w:p w14:paraId="0A6D7724" w14:textId="59942EBC"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6 517</w:t>
            </w:r>
          </w:p>
        </w:tc>
        <w:tc>
          <w:tcPr>
            <w:tcW w:w="800" w:type="dxa"/>
            <w:shd w:val="clear" w:color="auto" w:fill="auto"/>
            <w:vAlign w:val="bottom"/>
          </w:tcPr>
          <w:p w14:paraId="24804DB6" w14:textId="75761C5A"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6 981</w:t>
            </w:r>
          </w:p>
        </w:tc>
        <w:tc>
          <w:tcPr>
            <w:tcW w:w="800" w:type="dxa"/>
            <w:shd w:val="clear" w:color="auto" w:fill="auto"/>
            <w:vAlign w:val="bottom"/>
          </w:tcPr>
          <w:p w14:paraId="69320A58" w14:textId="23F04079"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9 254</w:t>
            </w:r>
          </w:p>
        </w:tc>
        <w:tc>
          <w:tcPr>
            <w:tcW w:w="800" w:type="dxa"/>
            <w:shd w:val="clear" w:color="auto" w:fill="auto"/>
            <w:vAlign w:val="bottom"/>
          </w:tcPr>
          <w:p w14:paraId="3FC3B9E5" w14:textId="78255C63"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5 514</w:t>
            </w:r>
          </w:p>
        </w:tc>
        <w:tc>
          <w:tcPr>
            <w:tcW w:w="1386" w:type="dxa"/>
            <w:shd w:val="clear" w:color="auto" w:fill="auto"/>
            <w:vAlign w:val="bottom"/>
          </w:tcPr>
          <w:p w14:paraId="52BF5D8F" w14:textId="61D928E4"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1 491</w:t>
            </w:r>
          </w:p>
        </w:tc>
      </w:tr>
      <w:tr w:rsidR="00BC6C76" w:rsidRPr="00417AC1" w14:paraId="05979CE6" w14:textId="77777777" w:rsidTr="00BC6C76">
        <w:tc>
          <w:tcPr>
            <w:tcW w:w="1985" w:type="dxa"/>
            <w:shd w:val="clear" w:color="auto" w:fill="auto"/>
          </w:tcPr>
          <w:p w14:paraId="2EE134C4"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Geçersiz uygulama</w:t>
            </w:r>
          </w:p>
        </w:tc>
        <w:tc>
          <w:tcPr>
            <w:tcW w:w="799" w:type="dxa"/>
            <w:shd w:val="clear" w:color="auto" w:fill="auto"/>
            <w:vAlign w:val="bottom"/>
          </w:tcPr>
          <w:p w14:paraId="10B20511"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56</w:t>
            </w:r>
          </w:p>
        </w:tc>
        <w:tc>
          <w:tcPr>
            <w:tcW w:w="800" w:type="dxa"/>
            <w:shd w:val="clear" w:color="auto" w:fill="auto"/>
            <w:vAlign w:val="bottom"/>
          </w:tcPr>
          <w:p w14:paraId="18792A0E"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187</w:t>
            </w:r>
          </w:p>
        </w:tc>
        <w:tc>
          <w:tcPr>
            <w:tcW w:w="800" w:type="dxa"/>
            <w:shd w:val="clear" w:color="auto" w:fill="auto"/>
            <w:vAlign w:val="bottom"/>
          </w:tcPr>
          <w:p w14:paraId="7B4F1C7F"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159</w:t>
            </w:r>
          </w:p>
        </w:tc>
        <w:tc>
          <w:tcPr>
            <w:tcW w:w="800" w:type="dxa"/>
            <w:shd w:val="clear" w:color="auto" w:fill="auto"/>
            <w:vAlign w:val="bottom"/>
          </w:tcPr>
          <w:p w14:paraId="250523EF"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164</w:t>
            </w:r>
          </w:p>
        </w:tc>
        <w:tc>
          <w:tcPr>
            <w:tcW w:w="800" w:type="dxa"/>
            <w:shd w:val="clear" w:color="auto" w:fill="auto"/>
            <w:vAlign w:val="bottom"/>
          </w:tcPr>
          <w:p w14:paraId="51403B99"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426</w:t>
            </w:r>
          </w:p>
        </w:tc>
        <w:tc>
          <w:tcPr>
            <w:tcW w:w="1386" w:type="dxa"/>
            <w:shd w:val="clear" w:color="auto" w:fill="auto"/>
            <w:vAlign w:val="bottom"/>
          </w:tcPr>
          <w:p w14:paraId="283B4A21"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17</w:t>
            </w:r>
          </w:p>
        </w:tc>
      </w:tr>
      <w:tr w:rsidR="00BC6C76" w:rsidRPr="00417AC1" w14:paraId="05CDF851" w14:textId="77777777" w:rsidTr="00BC6C76">
        <w:tc>
          <w:tcPr>
            <w:tcW w:w="1985" w:type="dxa"/>
            <w:shd w:val="clear" w:color="auto" w:fill="auto"/>
          </w:tcPr>
          <w:p w14:paraId="246ACCEB"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Uygulamaları birleştirme</w:t>
            </w:r>
          </w:p>
        </w:tc>
        <w:tc>
          <w:tcPr>
            <w:tcW w:w="799" w:type="dxa"/>
            <w:shd w:val="clear" w:color="auto" w:fill="auto"/>
            <w:vAlign w:val="bottom"/>
          </w:tcPr>
          <w:p w14:paraId="3044110A"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94</w:t>
            </w:r>
          </w:p>
        </w:tc>
        <w:tc>
          <w:tcPr>
            <w:tcW w:w="800" w:type="dxa"/>
            <w:shd w:val="clear" w:color="auto" w:fill="auto"/>
            <w:vAlign w:val="bottom"/>
          </w:tcPr>
          <w:p w14:paraId="3E4E72EA"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75</w:t>
            </w:r>
          </w:p>
        </w:tc>
        <w:tc>
          <w:tcPr>
            <w:tcW w:w="800" w:type="dxa"/>
            <w:shd w:val="clear" w:color="auto" w:fill="auto"/>
            <w:vAlign w:val="bottom"/>
          </w:tcPr>
          <w:p w14:paraId="629B6362"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98</w:t>
            </w:r>
          </w:p>
        </w:tc>
        <w:tc>
          <w:tcPr>
            <w:tcW w:w="800" w:type="dxa"/>
            <w:shd w:val="clear" w:color="auto" w:fill="auto"/>
            <w:vAlign w:val="bottom"/>
          </w:tcPr>
          <w:p w14:paraId="7E408169"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87</w:t>
            </w:r>
          </w:p>
        </w:tc>
        <w:tc>
          <w:tcPr>
            <w:tcW w:w="800" w:type="dxa"/>
            <w:shd w:val="clear" w:color="auto" w:fill="auto"/>
            <w:vAlign w:val="bottom"/>
          </w:tcPr>
          <w:p w14:paraId="0BB19F0B"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95</w:t>
            </w:r>
          </w:p>
        </w:tc>
        <w:tc>
          <w:tcPr>
            <w:tcW w:w="1386" w:type="dxa"/>
            <w:shd w:val="clear" w:color="auto" w:fill="auto"/>
            <w:vAlign w:val="bottom"/>
          </w:tcPr>
          <w:p w14:paraId="382F3340"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w:t>
            </w:r>
          </w:p>
        </w:tc>
      </w:tr>
      <w:tr w:rsidR="00BC6C76" w:rsidRPr="00417AC1" w14:paraId="369584B0" w14:textId="77777777" w:rsidTr="00BC6C76">
        <w:tc>
          <w:tcPr>
            <w:tcW w:w="1985" w:type="dxa"/>
            <w:shd w:val="clear" w:color="auto" w:fill="auto"/>
          </w:tcPr>
          <w:p w14:paraId="49BBFBA4"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Uygulamaları ayırma</w:t>
            </w:r>
          </w:p>
        </w:tc>
        <w:tc>
          <w:tcPr>
            <w:tcW w:w="799" w:type="dxa"/>
            <w:shd w:val="clear" w:color="auto" w:fill="auto"/>
            <w:vAlign w:val="bottom"/>
          </w:tcPr>
          <w:p w14:paraId="4BB18F9B"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14</w:t>
            </w:r>
          </w:p>
        </w:tc>
        <w:tc>
          <w:tcPr>
            <w:tcW w:w="800" w:type="dxa"/>
            <w:shd w:val="clear" w:color="auto" w:fill="auto"/>
            <w:vAlign w:val="bottom"/>
          </w:tcPr>
          <w:p w14:paraId="75DEFCA8"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24</w:t>
            </w:r>
          </w:p>
        </w:tc>
        <w:tc>
          <w:tcPr>
            <w:tcW w:w="800" w:type="dxa"/>
            <w:shd w:val="clear" w:color="auto" w:fill="auto"/>
            <w:vAlign w:val="bottom"/>
          </w:tcPr>
          <w:p w14:paraId="068FA096"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27</w:t>
            </w:r>
          </w:p>
        </w:tc>
        <w:tc>
          <w:tcPr>
            <w:tcW w:w="800" w:type="dxa"/>
            <w:shd w:val="clear" w:color="auto" w:fill="auto"/>
            <w:vAlign w:val="bottom"/>
          </w:tcPr>
          <w:p w14:paraId="4F104F2B"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20</w:t>
            </w:r>
          </w:p>
        </w:tc>
        <w:tc>
          <w:tcPr>
            <w:tcW w:w="800" w:type="dxa"/>
            <w:shd w:val="clear" w:color="auto" w:fill="auto"/>
            <w:vAlign w:val="bottom"/>
          </w:tcPr>
          <w:p w14:paraId="3FB9F2B2"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36</w:t>
            </w:r>
          </w:p>
        </w:tc>
        <w:tc>
          <w:tcPr>
            <w:tcW w:w="1386" w:type="dxa"/>
            <w:shd w:val="clear" w:color="auto" w:fill="auto"/>
            <w:vAlign w:val="bottom"/>
          </w:tcPr>
          <w:p w14:paraId="5BA07AD8"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7</w:t>
            </w:r>
          </w:p>
        </w:tc>
      </w:tr>
      <w:tr w:rsidR="00BC6C76" w:rsidRPr="00417AC1" w14:paraId="72091545" w14:textId="77777777" w:rsidTr="00BC6C76">
        <w:tc>
          <w:tcPr>
            <w:tcW w:w="1985" w:type="dxa"/>
            <w:shd w:val="clear" w:color="auto" w:fill="auto"/>
          </w:tcPr>
          <w:p w14:paraId="21103413"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Dostane çözüm</w:t>
            </w:r>
          </w:p>
        </w:tc>
        <w:tc>
          <w:tcPr>
            <w:tcW w:w="799" w:type="dxa"/>
            <w:shd w:val="clear" w:color="auto" w:fill="auto"/>
            <w:vAlign w:val="bottom"/>
          </w:tcPr>
          <w:p w14:paraId="05AA721B" w14:textId="1896D709"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1 575</w:t>
            </w:r>
          </w:p>
        </w:tc>
        <w:tc>
          <w:tcPr>
            <w:tcW w:w="800" w:type="dxa"/>
            <w:shd w:val="clear" w:color="auto" w:fill="auto"/>
            <w:vAlign w:val="bottom"/>
          </w:tcPr>
          <w:p w14:paraId="76E827EF" w14:textId="24D1D05E"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1 916</w:t>
            </w:r>
          </w:p>
        </w:tc>
        <w:tc>
          <w:tcPr>
            <w:tcW w:w="800" w:type="dxa"/>
            <w:shd w:val="clear" w:color="auto" w:fill="auto"/>
            <w:vAlign w:val="bottom"/>
          </w:tcPr>
          <w:p w14:paraId="4350E985" w14:textId="4F2AAC7E"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1 607</w:t>
            </w:r>
          </w:p>
        </w:tc>
        <w:tc>
          <w:tcPr>
            <w:tcW w:w="800" w:type="dxa"/>
            <w:shd w:val="clear" w:color="auto" w:fill="auto"/>
            <w:vAlign w:val="bottom"/>
          </w:tcPr>
          <w:p w14:paraId="121B6A29" w14:textId="52E63221"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1 808</w:t>
            </w:r>
          </w:p>
        </w:tc>
        <w:tc>
          <w:tcPr>
            <w:tcW w:w="800" w:type="dxa"/>
            <w:shd w:val="clear" w:color="auto" w:fill="auto"/>
            <w:vAlign w:val="bottom"/>
          </w:tcPr>
          <w:p w14:paraId="40C46E60" w14:textId="641E0376"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1 928</w:t>
            </w:r>
          </w:p>
        </w:tc>
        <w:tc>
          <w:tcPr>
            <w:tcW w:w="1386" w:type="dxa"/>
            <w:shd w:val="clear" w:color="auto" w:fill="auto"/>
            <w:vAlign w:val="bottom"/>
          </w:tcPr>
          <w:p w14:paraId="4ACB3DA7"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530</w:t>
            </w:r>
          </w:p>
        </w:tc>
      </w:tr>
      <w:tr w:rsidR="00BC6C76" w:rsidRPr="00417AC1" w14:paraId="3E01FD77" w14:textId="77777777" w:rsidTr="00BC6C76">
        <w:tc>
          <w:tcPr>
            <w:tcW w:w="1985" w:type="dxa"/>
            <w:shd w:val="clear" w:color="auto" w:fill="auto"/>
          </w:tcPr>
          <w:p w14:paraId="6181DD98"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Karar almak için hiçbir gerekçe yok</w:t>
            </w:r>
          </w:p>
        </w:tc>
        <w:tc>
          <w:tcPr>
            <w:tcW w:w="799" w:type="dxa"/>
            <w:shd w:val="clear" w:color="auto" w:fill="auto"/>
            <w:vAlign w:val="bottom"/>
          </w:tcPr>
          <w:p w14:paraId="4E1EEEDA"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469</w:t>
            </w:r>
          </w:p>
        </w:tc>
        <w:tc>
          <w:tcPr>
            <w:tcW w:w="800" w:type="dxa"/>
            <w:shd w:val="clear" w:color="auto" w:fill="auto"/>
            <w:vAlign w:val="bottom"/>
          </w:tcPr>
          <w:p w14:paraId="13BE0AD9"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433</w:t>
            </w:r>
          </w:p>
        </w:tc>
        <w:tc>
          <w:tcPr>
            <w:tcW w:w="800" w:type="dxa"/>
            <w:shd w:val="clear" w:color="auto" w:fill="auto"/>
            <w:vAlign w:val="bottom"/>
          </w:tcPr>
          <w:p w14:paraId="7CB2DEA6"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435</w:t>
            </w:r>
          </w:p>
        </w:tc>
        <w:tc>
          <w:tcPr>
            <w:tcW w:w="800" w:type="dxa"/>
            <w:shd w:val="clear" w:color="auto" w:fill="auto"/>
            <w:vAlign w:val="bottom"/>
          </w:tcPr>
          <w:p w14:paraId="751492DE"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284</w:t>
            </w:r>
          </w:p>
        </w:tc>
        <w:tc>
          <w:tcPr>
            <w:tcW w:w="800" w:type="dxa"/>
            <w:shd w:val="clear" w:color="auto" w:fill="auto"/>
            <w:vAlign w:val="bottom"/>
          </w:tcPr>
          <w:p w14:paraId="31534590"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280</w:t>
            </w:r>
          </w:p>
        </w:tc>
        <w:tc>
          <w:tcPr>
            <w:tcW w:w="1386" w:type="dxa"/>
            <w:shd w:val="clear" w:color="auto" w:fill="auto"/>
            <w:vAlign w:val="bottom"/>
          </w:tcPr>
          <w:p w14:paraId="62A062FA"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182</w:t>
            </w:r>
          </w:p>
        </w:tc>
      </w:tr>
      <w:tr w:rsidR="00BC6C76" w:rsidRPr="00417AC1" w14:paraId="00B51756" w14:textId="77777777" w:rsidTr="00BC6C76">
        <w:tc>
          <w:tcPr>
            <w:tcW w:w="1985" w:type="dxa"/>
            <w:shd w:val="clear" w:color="auto" w:fill="auto"/>
          </w:tcPr>
          <w:p w14:paraId="6D65A69A"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Öneri</w:t>
            </w:r>
          </w:p>
        </w:tc>
        <w:tc>
          <w:tcPr>
            <w:tcW w:w="799" w:type="dxa"/>
            <w:shd w:val="clear" w:color="auto" w:fill="auto"/>
            <w:vAlign w:val="bottom"/>
          </w:tcPr>
          <w:p w14:paraId="6FB5631E"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245</w:t>
            </w:r>
          </w:p>
        </w:tc>
        <w:tc>
          <w:tcPr>
            <w:tcW w:w="800" w:type="dxa"/>
            <w:shd w:val="clear" w:color="auto" w:fill="auto"/>
            <w:vAlign w:val="bottom"/>
          </w:tcPr>
          <w:p w14:paraId="1CA87BCC"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677</w:t>
            </w:r>
          </w:p>
        </w:tc>
        <w:tc>
          <w:tcPr>
            <w:tcW w:w="800" w:type="dxa"/>
            <w:shd w:val="clear" w:color="auto" w:fill="auto"/>
            <w:vAlign w:val="bottom"/>
          </w:tcPr>
          <w:p w14:paraId="06A20B5E"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860</w:t>
            </w:r>
          </w:p>
        </w:tc>
        <w:tc>
          <w:tcPr>
            <w:tcW w:w="800" w:type="dxa"/>
            <w:shd w:val="clear" w:color="auto" w:fill="auto"/>
            <w:vAlign w:val="bottom"/>
          </w:tcPr>
          <w:p w14:paraId="119AC8DA" w14:textId="18CDADB9"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68 128</w:t>
            </w:r>
          </w:p>
        </w:tc>
        <w:tc>
          <w:tcPr>
            <w:tcW w:w="800" w:type="dxa"/>
            <w:shd w:val="clear" w:color="auto" w:fill="auto"/>
            <w:vAlign w:val="bottom"/>
          </w:tcPr>
          <w:p w14:paraId="7A181368" w14:textId="6E77C026"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1 201</w:t>
            </w:r>
          </w:p>
        </w:tc>
        <w:tc>
          <w:tcPr>
            <w:tcW w:w="1386" w:type="dxa"/>
            <w:shd w:val="clear" w:color="auto" w:fill="auto"/>
            <w:vAlign w:val="bottom"/>
          </w:tcPr>
          <w:p w14:paraId="08AD702D"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199</w:t>
            </w:r>
          </w:p>
        </w:tc>
      </w:tr>
      <w:tr w:rsidR="00BC6C76" w:rsidRPr="00417AC1" w14:paraId="762A631C" w14:textId="77777777" w:rsidTr="00BC6C76">
        <w:tc>
          <w:tcPr>
            <w:tcW w:w="1985" w:type="dxa"/>
            <w:shd w:val="clear" w:color="auto" w:fill="auto"/>
          </w:tcPr>
          <w:p w14:paraId="3E4CFF6E"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Reddetme</w:t>
            </w:r>
          </w:p>
        </w:tc>
        <w:tc>
          <w:tcPr>
            <w:tcW w:w="799" w:type="dxa"/>
            <w:shd w:val="clear" w:color="auto" w:fill="auto"/>
            <w:vAlign w:val="bottom"/>
          </w:tcPr>
          <w:p w14:paraId="2AEFF9DA"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353</w:t>
            </w:r>
          </w:p>
        </w:tc>
        <w:tc>
          <w:tcPr>
            <w:tcW w:w="800" w:type="dxa"/>
            <w:shd w:val="clear" w:color="auto" w:fill="auto"/>
            <w:vAlign w:val="bottom"/>
          </w:tcPr>
          <w:p w14:paraId="5350EBCC"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662</w:t>
            </w:r>
          </w:p>
        </w:tc>
        <w:tc>
          <w:tcPr>
            <w:tcW w:w="800" w:type="dxa"/>
            <w:shd w:val="clear" w:color="auto" w:fill="auto"/>
            <w:vAlign w:val="bottom"/>
          </w:tcPr>
          <w:p w14:paraId="6272D583"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895</w:t>
            </w:r>
          </w:p>
        </w:tc>
        <w:tc>
          <w:tcPr>
            <w:tcW w:w="800" w:type="dxa"/>
            <w:shd w:val="clear" w:color="auto" w:fill="auto"/>
            <w:vAlign w:val="bottom"/>
          </w:tcPr>
          <w:p w14:paraId="6A75EBB6"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941</w:t>
            </w:r>
          </w:p>
        </w:tc>
        <w:tc>
          <w:tcPr>
            <w:tcW w:w="800" w:type="dxa"/>
            <w:shd w:val="clear" w:color="auto" w:fill="auto"/>
            <w:vAlign w:val="bottom"/>
          </w:tcPr>
          <w:p w14:paraId="48E09F40" w14:textId="03135C6F"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1 320</w:t>
            </w:r>
          </w:p>
        </w:tc>
        <w:tc>
          <w:tcPr>
            <w:tcW w:w="1386" w:type="dxa"/>
            <w:shd w:val="clear" w:color="auto" w:fill="auto"/>
            <w:vAlign w:val="bottom"/>
          </w:tcPr>
          <w:p w14:paraId="6C4A36EF"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229</w:t>
            </w:r>
          </w:p>
        </w:tc>
      </w:tr>
      <w:tr w:rsidR="00BC6C76" w:rsidRPr="00417AC1" w14:paraId="657B34DD" w14:textId="77777777" w:rsidTr="00CB522A">
        <w:tc>
          <w:tcPr>
            <w:tcW w:w="1985" w:type="dxa"/>
            <w:tcBorders>
              <w:bottom w:val="single" w:sz="4" w:space="0" w:color="auto"/>
            </w:tcBorders>
            <w:shd w:val="clear" w:color="auto" w:fill="auto"/>
          </w:tcPr>
          <w:p w14:paraId="532925C7" w14:textId="77777777" w:rsidR="00856523" w:rsidRPr="00417AC1" w:rsidRDefault="00856523" w:rsidP="00BC6C76">
            <w:pPr>
              <w:suppressAutoHyphens w:val="0"/>
              <w:spacing w:before="40" w:after="40" w:line="220" w:lineRule="exact"/>
              <w:ind w:right="113"/>
              <w:rPr>
                <w:sz w:val="18"/>
                <w:lang w:val="tr-TR"/>
              </w:rPr>
            </w:pPr>
            <w:r w:rsidRPr="00417AC1">
              <w:rPr>
                <w:sz w:val="18"/>
                <w:lang w:val="tr-TR"/>
              </w:rPr>
              <w:t>Kısmi öneri/Kısmi ret</w:t>
            </w:r>
          </w:p>
        </w:tc>
        <w:tc>
          <w:tcPr>
            <w:tcW w:w="799" w:type="dxa"/>
            <w:tcBorders>
              <w:bottom w:val="single" w:sz="4" w:space="0" w:color="auto"/>
            </w:tcBorders>
            <w:shd w:val="clear" w:color="auto" w:fill="auto"/>
            <w:vAlign w:val="bottom"/>
          </w:tcPr>
          <w:p w14:paraId="6C9B1FD4"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177</w:t>
            </w:r>
          </w:p>
        </w:tc>
        <w:tc>
          <w:tcPr>
            <w:tcW w:w="800" w:type="dxa"/>
            <w:tcBorders>
              <w:bottom w:val="single" w:sz="4" w:space="0" w:color="auto"/>
            </w:tcBorders>
            <w:shd w:val="clear" w:color="auto" w:fill="auto"/>
            <w:vAlign w:val="bottom"/>
          </w:tcPr>
          <w:p w14:paraId="1620EE5F"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269</w:t>
            </w:r>
          </w:p>
        </w:tc>
        <w:tc>
          <w:tcPr>
            <w:tcW w:w="800" w:type="dxa"/>
            <w:tcBorders>
              <w:bottom w:val="single" w:sz="4" w:space="0" w:color="auto"/>
            </w:tcBorders>
            <w:shd w:val="clear" w:color="auto" w:fill="auto"/>
            <w:vAlign w:val="bottom"/>
          </w:tcPr>
          <w:p w14:paraId="08656AC9"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410</w:t>
            </w:r>
          </w:p>
        </w:tc>
        <w:tc>
          <w:tcPr>
            <w:tcW w:w="800" w:type="dxa"/>
            <w:tcBorders>
              <w:bottom w:val="single" w:sz="4" w:space="0" w:color="auto"/>
            </w:tcBorders>
            <w:shd w:val="clear" w:color="auto" w:fill="auto"/>
            <w:vAlign w:val="bottom"/>
          </w:tcPr>
          <w:p w14:paraId="35BE644E"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704</w:t>
            </w:r>
          </w:p>
        </w:tc>
        <w:tc>
          <w:tcPr>
            <w:tcW w:w="800" w:type="dxa"/>
            <w:tcBorders>
              <w:bottom w:val="single" w:sz="4" w:space="0" w:color="auto"/>
            </w:tcBorders>
            <w:shd w:val="clear" w:color="auto" w:fill="auto"/>
            <w:vAlign w:val="bottom"/>
          </w:tcPr>
          <w:p w14:paraId="641AE285"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403</w:t>
            </w:r>
          </w:p>
        </w:tc>
        <w:tc>
          <w:tcPr>
            <w:tcW w:w="1386" w:type="dxa"/>
            <w:tcBorders>
              <w:bottom w:val="single" w:sz="4" w:space="0" w:color="auto"/>
            </w:tcBorders>
            <w:shd w:val="clear" w:color="auto" w:fill="auto"/>
            <w:vAlign w:val="bottom"/>
          </w:tcPr>
          <w:p w14:paraId="7670EE84" w14:textId="77777777" w:rsidR="00856523" w:rsidRPr="00417AC1" w:rsidRDefault="00856523" w:rsidP="00BC6C76">
            <w:pPr>
              <w:suppressAutoHyphens w:val="0"/>
              <w:spacing w:before="40" w:after="40" w:line="220" w:lineRule="exact"/>
              <w:ind w:right="113"/>
              <w:jc w:val="right"/>
              <w:rPr>
                <w:sz w:val="18"/>
                <w:lang w:val="tr-TR"/>
              </w:rPr>
            </w:pPr>
            <w:r w:rsidRPr="00417AC1">
              <w:rPr>
                <w:sz w:val="18"/>
                <w:lang w:val="tr-TR"/>
              </w:rPr>
              <w:t>193</w:t>
            </w:r>
          </w:p>
        </w:tc>
      </w:tr>
      <w:tr w:rsidR="00BC6C76" w:rsidRPr="00417AC1" w14:paraId="1D3D6377" w14:textId="77777777" w:rsidTr="00CB522A">
        <w:tc>
          <w:tcPr>
            <w:tcW w:w="1985" w:type="dxa"/>
            <w:tcBorders>
              <w:top w:val="single" w:sz="4" w:space="0" w:color="auto"/>
              <w:bottom w:val="single" w:sz="4" w:space="0" w:color="auto"/>
            </w:tcBorders>
            <w:shd w:val="clear" w:color="auto" w:fill="auto"/>
          </w:tcPr>
          <w:p w14:paraId="42A7E651" w14:textId="77777777" w:rsidR="00856523" w:rsidRPr="00417AC1" w:rsidRDefault="00856523" w:rsidP="00CB522A">
            <w:pPr>
              <w:suppressAutoHyphens w:val="0"/>
              <w:spacing w:before="80" w:after="80" w:line="220" w:lineRule="exact"/>
              <w:ind w:left="283"/>
              <w:rPr>
                <w:b/>
                <w:bCs/>
                <w:sz w:val="18"/>
                <w:lang w:val="tr-TR"/>
              </w:rPr>
            </w:pPr>
            <w:r w:rsidRPr="00417AC1">
              <w:rPr>
                <w:b/>
                <w:bCs/>
                <w:sz w:val="18"/>
                <w:lang w:val="tr-TR"/>
              </w:rPr>
              <w:t>Toplam kararlar</w:t>
            </w:r>
          </w:p>
        </w:tc>
        <w:tc>
          <w:tcPr>
            <w:tcW w:w="799" w:type="dxa"/>
            <w:tcBorders>
              <w:top w:val="single" w:sz="4" w:space="0" w:color="auto"/>
              <w:bottom w:val="single" w:sz="4" w:space="0" w:color="auto"/>
            </w:tcBorders>
            <w:shd w:val="clear" w:color="auto" w:fill="auto"/>
            <w:vAlign w:val="bottom"/>
          </w:tcPr>
          <w:p w14:paraId="3E3B77B5" w14:textId="7665C628"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11 993</w:t>
            </w:r>
          </w:p>
        </w:tc>
        <w:tc>
          <w:tcPr>
            <w:tcW w:w="800" w:type="dxa"/>
            <w:tcBorders>
              <w:top w:val="single" w:sz="4" w:space="0" w:color="auto"/>
              <w:bottom w:val="single" w:sz="4" w:space="0" w:color="auto"/>
            </w:tcBorders>
            <w:shd w:val="clear" w:color="auto" w:fill="auto"/>
            <w:vAlign w:val="bottom"/>
          </w:tcPr>
          <w:p w14:paraId="0A6C4322" w14:textId="3895D03F"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15 572</w:t>
            </w:r>
          </w:p>
        </w:tc>
        <w:tc>
          <w:tcPr>
            <w:tcW w:w="800" w:type="dxa"/>
            <w:tcBorders>
              <w:top w:val="single" w:sz="4" w:space="0" w:color="auto"/>
              <w:bottom w:val="single" w:sz="4" w:space="0" w:color="auto"/>
            </w:tcBorders>
            <w:shd w:val="clear" w:color="auto" w:fill="auto"/>
            <w:vAlign w:val="bottom"/>
          </w:tcPr>
          <w:p w14:paraId="765823CC" w14:textId="1361DFCA"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19 584</w:t>
            </w:r>
          </w:p>
        </w:tc>
        <w:tc>
          <w:tcPr>
            <w:tcW w:w="800" w:type="dxa"/>
            <w:tcBorders>
              <w:top w:val="single" w:sz="4" w:space="0" w:color="auto"/>
              <w:bottom w:val="single" w:sz="4" w:space="0" w:color="auto"/>
            </w:tcBorders>
            <w:shd w:val="clear" w:color="auto" w:fill="auto"/>
            <w:vAlign w:val="bottom"/>
          </w:tcPr>
          <w:p w14:paraId="2E624F02" w14:textId="501C7D5B"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89 945</w:t>
            </w:r>
          </w:p>
        </w:tc>
        <w:tc>
          <w:tcPr>
            <w:tcW w:w="800" w:type="dxa"/>
            <w:tcBorders>
              <w:top w:val="single" w:sz="4" w:space="0" w:color="auto"/>
              <w:bottom w:val="single" w:sz="4" w:space="0" w:color="auto"/>
            </w:tcBorders>
            <w:shd w:val="clear" w:color="auto" w:fill="auto"/>
            <w:vAlign w:val="bottom"/>
          </w:tcPr>
          <w:p w14:paraId="0C7DC9FC" w14:textId="52BDF1DD"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18 351</w:t>
            </w:r>
          </w:p>
        </w:tc>
        <w:tc>
          <w:tcPr>
            <w:tcW w:w="1386" w:type="dxa"/>
            <w:tcBorders>
              <w:top w:val="single" w:sz="4" w:space="0" w:color="auto"/>
              <w:bottom w:val="single" w:sz="4" w:space="0" w:color="auto"/>
            </w:tcBorders>
            <w:shd w:val="clear" w:color="auto" w:fill="auto"/>
            <w:vAlign w:val="bottom"/>
          </w:tcPr>
          <w:p w14:paraId="50BA7C3F" w14:textId="5F5401AC"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4 492</w:t>
            </w:r>
          </w:p>
        </w:tc>
      </w:tr>
      <w:tr w:rsidR="00BC6C76" w:rsidRPr="00417AC1" w14:paraId="6D25D907" w14:textId="77777777" w:rsidTr="00CB522A">
        <w:tc>
          <w:tcPr>
            <w:tcW w:w="1985" w:type="dxa"/>
            <w:tcBorders>
              <w:top w:val="single" w:sz="4" w:space="0" w:color="auto"/>
            </w:tcBorders>
            <w:shd w:val="clear" w:color="auto" w:fill="auto"/>
          </w:tcPr>
          <w:p w14:paraId="571D9941" w14:textId="77777777" w:rsidR="00856523" w:rsidRPr="00417AC1" w:rsidRDefault="00856523" w:rsidP="00CB522A">
            <w:pPr>
              <w:suppressAutoHyphens w:val="0"/>
              <w:spacing w:before="80" w:after="80" w:line="220" w:lineRule="exact"/>
              <w:ind w:left="283"/>
              <w:rPr>
                <w:b/>
                <w:bCs/>
                <w:sz w:val="18"/>
                <w:lang w:val="tr-TR"/>
              </w:rPr>
            </w:pPr>
            <w:r w:rsidRPr="00417AC1">
              <w:rPr>
                <w:b/>
                <w:bCs/>
                <w:sz w:val="18"/>
                <w:lang w:val="tr-TR"/>
              </w:rPr>
              <w:t>Toplam başvurular</w:t>
            </w:r>
          </w:p>
        </w:tc>
        <w:tc>
          <w:tcPr>
            <w:tcW w:w="799" w:type="dxa"/>
            <w:tcBorders>
              <w:top w:val="single" w:sz="4" w:space="0" w:color="auto"/>
            </w:tcBorders>
            <w:shd w:val="clear" w:color="auto" w:fill="auto"/>
            <w:vAlign w:val="bottom"/>
          </w:tcPr>
          <w:p w14:paraId="258D4854" w14:textId="396FEC6F"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17 131</w:t>
            </w:r>
          </w:p>
        </w:tc>
        <w:tc>
          <w:tcPr>
            <w:tcW w:w="800" w:type="dxa"/>
            <w:tcBorders>
              <w:top w:val="single" w:sz="4" w:space="0" w:color="auto"/>
            </w:tcBorders>
            <w:shd w:val="clear" w:color="auto" w:fill="auto"/>
            <w:vAlign w:val="bottom"/>
          </w:tcPr>
          <w:p w14:paraId="381C7FB4" w14:textId="6662C67E"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17 585</w:t>
            </w:r>
          </w:p>
        </w:tc>
        <w:tc>
          <w:tcPr>
            <w:tcW w:w="800" w:type="dxa"/>
            <w:tcBorders>
              <w:top w:val="single" w:sz="4" w:space="0" w:color="auto"/>
            </w:tcBorders>
            <w:shd w:val="clear" w:color="auto" w:fill="auto"/>
            <w:vAlign w:val="bottom"/>
          </w:tcPr>
          <w:p w14:paraId="385BF748" w14:textId="2CD3133D"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20 968</w:t>
            </w:r>
          </w:p>
        </w:tc>
        <w:tc>
          <w:tcPr>
            <w:tcW w:w="800" w:type="dxa"/>
            <w:tcBorders>
              <w:top w:val="single" w:sz="4" w:space="0" w:color="auto"/>
            </w:tcBorders>
            <w:shd w:val="clear" w:color="auto" w:fill="auto"/>
            <w:vAlign w:val="bottom"/>
          </w:tcPr>
          <w:p w14:paraId="3B2A454C" w14:textId="7001E2AC"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90 209</w:t>
            </w:r>
          </w:p>
        </w:tc>
        <w:tc>
          <w:tcPr>
            <w:tcW w:w="800" w:type="dxa"/>
            <w:tcBorders>
              <w:top w:val="single" w:sz="4" w:space="0" w:color="auto"/>
            </w:tcBorders>
            <w:shd w:val="clear" w:color="auto" w:fill="auto"/>
            <w:vAlign w:val="bottom"/>
          </w:tcPr>
          <w:p w14:paraId="5FB13AAA" w14:textId="5BF48EF0"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18 843</w:t>
            </w:r>
          </w:p>
        </w:tc>
        <w:tc>
          <w:tcPr>
            <w:tcW w:w="1386" w:type="dxa"/>
            <w:tcBorders>
              <w:top w:val="single" w:sz="4" w:space="0" w:color="auto"/>
            </w:tcBorders>
            <w:shd w:val="clear" w:color="auto" w:fill="auto"/>
            <w:vAlign w:val="bottom"/>
          </w:tcPr>
          <w:p w14:paraId="2D248598" w14:textId="34D10BC9" w:rsidR="00856523" w:rsidRPr="00417AC1" w:rsidRDefault="00856523" w:rsidP="00CB522A">
            <w:pPr>
              <w:suppressAutoHyphens w:val="0"/>
              <w:spacing w:before="80" w:after="80" w:line="220" w:lineRule="exact"/>
              <w:ind w:right="113"/>
              <w:jc w:val="right"/>
              <w:rPr>
                <w:b/>
                <w:bCs/>
                <w:sz w:val="18"/>
                <w:lang w:val="tr-TR"/>
              </w:rPr>
            </w:pPr>
            <w:r w:rsidRPr="00417AC1">
              <w:rPr>
                <w:b/>
                <w:bCs/>
                <w:sz w:val="18"/>
                <w:lang w:val="tr-TR"/>
              </w:rPr>
              <w:t>4 542</w:t>
            </w:r>
          </w:p>
        </w:tc>
      </w:tr>
    </w:tbl>
    <w:p w14:paraId="6003E650" w14:textId="67D2ECE0" w:rsidR="00856523" w:rsidRPr="00417AC1" w:rsidRDefault="00856523" w:rsidP="00856523">
      <w:pPr>
        <w:pStyle w:val="SingleTxtG"/>
        <w:spacing w:before="240"/>
        <w:rPr>
          <w:lang w:val="tr-TR"/>
        </w:rPr>
      </w:pPr>
      <w:r w:rsidRPr="00417AC1">
        <w:rPr>
          <w:lang w:val="tr-TR"/>
        </w:rPr>
        <w:t xml:space="preserve">36. </w:t>
      </w:r>
      <w:r w:rsidRPr="00417AC1">
        <w:rPr>
          <w:lang w:val="tr-TR"/>
        </w:rPr>
        <w:tab/>
        <w:t xml:space="preserve">HAK'nın tavsiyelerine uymayan yetkililerin </w:t>
      </w:r>
      <w:r w:rsidR="00742BC4" w:rsidRPr="00417AC1">
        <w:rPr>
          <w:lang w:val="tr-TR"/>
        </w:rPr>
        <w:t>gerekçe göstermeleri yasal bir zorunluluktur. Ayrıca tavsiyelere uymayan makamlar basın aracılığıyla kamuoyuna duyurulmakta ve bu makamların yetkilileri yıllık rapor görüşmeleri sırasında TBMM Karma Komisyonu'na davet edilmektedir. Ayrıca HAK tarafından düzenlenen çalıştay, konferans ve benzeri faaliyetlere yetkililer davet edilerek iletişim kanalları açık tutulmaktadır.</w:t>
      </w:r>
    </w:p>
    <w:p w14:paraId="10A7862C" w14:textId="189AC044" w:rsidR="00856523" w:rsidRPr="00417AC1" w:rsidRDefault="00856523" w:rsidP="00856523">
      <w:pPr>
        <w:pStyle w:val="SingleTxtG"/>
        <w:rPr>
          <w:lang w:val="tr-TR"/>
        </w:rPr>
      </w:pPr>
      <w:r w:rsidRPr="00417AC1">
        <w:rPr>
          <w:lang w:val="tr-TR"/>
        </w:rPr>
        <w:t xml:space="preserve">37. </w:t>
      </w:r>
      <w:r w:rsidRPr="00417AC1">
        <w:rPr>
          <w:lang w:val="tr-TR"/>
        </w:rPr>
        <w:tab/>
        <w:t xml:space="preserve">İyi yönetim ilkelerinin ihlali sonucunda alınan önerilere %83 oranında uyulmaktadır. İdari mekanizmada “vatandaş dostu” bir yaklaşımın benimsenmesi, hizmetlerin yürütülmesinde temel hak ve özgürlükler ile hukukun üstünlüğünün tam olarak korunması ve mevzuatın benimsenmesi amacıyla </w:t>
      </w:r>
      <w:r w:rsidR="00BA1A10" w:rsidRPr="00417AC1">
        <w:rPr>
          <w:i/>
          <w:lang w:val="tr-TR"/>
        </w:rPr>
        <w:t xml:space="preserve">“İyi Yönetişim İlkeleri Rehberi” </w:t>
      </w:r>
      <w:r w:rsidRPr="00417AC1">
        <w:rPr>
          <w:lang w:val="tr-TR"/>
        </w:rPr>
        <w:t>hazırlandı . kamu yönetimi aktörleri tarafından iyi yönetişim ilkeleri.</w:t>
      </w:r>
    </w:p>
    <w:p w14:paraId="05D30A2C" w14:textId="77777777" w:rsidR="00856523" w:rsidRPr="00417AC1" w:rsidRDefault="00856523" w:rsidP="00856523">
      <w:pPr>
        <w:pStyle w:val="SingleTxtG"/>
        <w:rPr>
          <w:lang w:val="tr-TR"/>
        </w:rPr>
      </w:pPr>
      <w:r w:rsidRPr="00417AC1">
        <w:rPr>
          <w:lang w:val="tr-TR"/>
        </w:rPr>
        <w:t xml:space="preserve">38. </w:t>
      </w:r>
      <w:r w:rsidRPr="00417AC1">
        <w:rPr>
          <w:lang w:val="tr-TR"/>
        </w:rPr>
        <w:tab/>
        <w:t>HAK, Uluslararası Ombudsman Enstitüsü'nün Ombudsman ağlarının ve Avrupa Ombudsman Ağının bir üyesidir.</w:t>
      </w:r>
    </w:p>
    <w:p w14:paraId="0C39F8B4" w14:textId="77777777" w:rsidR="00856523" w:rsidRPr="00417AC1" w:rsidRDefault="00856523" w:rsidP="00856523">
      <w:pPr>
        <w:pStyle w:val="H4G"/>
        <w:rPr>
          <w:lang w:val="tr-TR"/>
        </w:rPr>
      </w:pPr>
      <w:r w:rsidRPr="00417AC1">
        <w:rPr>
          <w:lang w:val="tr-TR"/>
        </w:rPr>
        <w:tab/>
      </w:r>
      <w:r w:rsidRPr="00417AC1">
        <w:rPr>
          <w:lang w:val="tr-TR"/>
        </w:rPr>
        <w:tab/>
        <w:t>Diğer kurumlar ve mekanizmalar</w:t>
      </w:r>
    </w:p>
    <w:p w14:paraId="2706C624" w14:textId="3A424EB1" w:rsidR="00856523" w:rsidRPr="00417AC1" w:rsidRDefault="00856523" w:rsidP="00856523">
      <w:pPr>
        <w:pStyle w:val="SingleTxtG"/>
        <w:rPr>
          <w:lang w:val="tr-TR"/>
        </w:rPr>
      </w:pPr>
      <w:r w:rsidRPr="00417AC1">
        <w:rPr>
          <w:lang w:val="tr-TR"/>
        </w:rPr>
        <w:t xml:space="preserve">39. </w:t>
      </w:r>
      <w:r w:rsidRPr="00417AC1">
        <w:rPr>
          <w:lang w:val="tr-TR"/>
        </w:rPr>
        <w:tab/>
        <w:t xml:space="preserve">Cezaevlerinde sivil gözetimin güçlendirilmesi amacıyla </w:t>
      </w:r>
      <w:r w:rsidR="00BA1A10" w:rsidRPr="00417AC1">
        <w:rPr>
          <w:i/>
          <w:iCs/>
          <w:lang w:val="tr-TR"/>
        </w:rPr>
        <w:t xml:space="preserve">“Sivil İzleme Kurullarının (SPK) Etkinliğinin Artırılması” projesi </w:t>
      </w:r>
      <w:r w:rsidRPr="00417AC1">
        <w:rPr>
          <w:lang w:val="tr-TR"/>
        </w:rPr>
        <w:t>AK'nin teknik desteğiyle yürütülmektedir.</w:t>
      </w:r>
    </w:p>
    <w:p w14:paraId="49EC281F" w14:textId="77777777" w:rsidR="00856523" w:rsidRPr="00417AC1" w:rsidRDefault="00856523" w:rsidP="00856523">
      <w:pPr>
        <w:pStyle w:val="SingleTxtG"/>
        <w:rPr>
          <w:lang w:val="tr-TR"/>
        </w:rPr>
      </w:pPr>
      <w:r w:rsidRPr="00417AC1">
        <w:rPr>
          <w:lang w:val="tr-TR"/>
        </w:rPr>
        <w:t xml:space="preserve">40. </w:t>
      </w:r>
      <w:r w:rsidRPr="00417AC1">
        <w:rPr>
          <w:lang w:val="tr-TR"/>
        </w:rPr>
        <w:tab/>
        <w:t>Proje 4 bileşene ayrılmıştır:</w:t>
      </w:r>
    </w:p>
    <w:p w14:paraId="03CC0D53" w14:textId="2B655EFF"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 xml:space="preserve">Yürürlükteki yasal ve düzenleyici çerçevenin uluslararası standartlara uygun olarak </w:t>
      </w:r>
      <w:r w:rsidR="00417AC1" w:rsidRPr="00417AC1">
        <w:rPr>
          <w:lang w:val="tr-TR"/>
        </w:rPr>
        <w:t>yenilenmesi</w:t>
      </w:r>
      <w:r w:rsidRPr="00417AC1">
        <w:rPr>
          <w:lang w:val="tr-TR"/>
        </w:rPr>
        <w:t xml:space="preserve"> yoluyla SPK'nın bağımsızlığının güçlendirilmesi;</w:t>
      </w:r>
    </w:p>
    <w:p w14:paraId="4627D762"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İzleme standartlarını, çalışma metodolojilerini ve araçlarını daha da geliştirerek SPK'ların verimliliğini artırmak;</w:t>
      </w:r>
    </w:p>
    <w:p w14:paraId="017EA738"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SPK üyelerine sürdürülebilir eğitim sağlanmasının sağlanması;</w:t>
      </w:r>
    </w:p>
    <w:p w14:paraId="72E1AFEF"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SPK'nın iç koordinasyonunun ve diğer dış izleme mekanizmalarıyla iletişiminin iyileştirilmesi.</w:t>
      </w:r>
    </w:p>
    <w:p w14:paraId="5727648D" w14:textId="77777777" w:rsidR="00856523" w:rsidRPr="00417AC1" w:rsidRDefault="00856523" w:rsidP="00856523">
      <w:pPr>
        <w:pStyle w:val="SingleTxtG"/>
        <w:rPr>
          <w:lang w:val="tr-TR"/>
        </w:rPr>
      </w:pPr>
      <w:r w:rsidRPr="00417AC1">
        <w:rPr>
          <w:lang w:val="tr-TR"/>
        </w:rPr>
        <w:t xml:space="preserve">41. </w:t>
      </w:r>
      <w:r w:rsidRPr="00417AC1">
        <w:rPr>
          <w:lang w:val="tr-TR"/>
        </w:rPr>
        <w:tab/>
        <w:t>Aktif katılım, projenin dış yararlanıcıları olan HREIT ve HAK tarafından sağlanmaktadır.</w:t>
      </w:r>
    </w:p>
    <w:p w14:paraId="1D495CDA" w14:textId="18DE2360" w:rsidR="00856523" w:rsidRPr="00417AC1" w:rsidRDefault="00856523" w:rsidP="00856523">
      <w:pPr>
        <w:pStyle w:val="H23G"/>
        <w:rPr>
          <w:lang w:val="tr-TR"/>
        </w:rPr>
      </w:pPr>
      <w:bookmarkStart w:id="8" w:name="_Toc110354330"/>
      <w:r w:rsidRPr="00417AC1">
        <w:rPr>
          <w:lang w:val="tr-TR"/>
        </w:rPr>
        <w:tab/>
      </w:r>
      <w:r w:rsidRPr="00417AC1">
        <w:rPr>
          <w:lang w:val="tr-TR"/>
        </w:rPr>
        <w:tab/>
        <w:t xml:space="preserve">Ayrımcılık yasağı </w:t>
      </w:r>
      <w:r w:rsidR="00803CF0" w:rsidRPr="00417AC1">
        <w:rPr>
          <w:lang w:val="tr-TR"/>
        </w:rPr>
        <w:t>– Madde 2, 3, 6, 25 ve 26</w:t>
      </w:r>
      <w:bookmarkEnd w:id="8"/>
    </w:p>
    <w:p w14:paraId="227BD2B1" w14:textId="77777777" w:rsidR="00856523" w:rsidRPr="00417AC1" w:rsidRDefault="00856523" w:rsidP="00856523">
      <w:pPr>
        <w:pStyle w:val="H4G"/>
        <w:rPr>
          <w:lang w:val="tr-TR"/>
        </w:rPr>
      </w:pPr>
      <w:r w:rsidRPr="00417AC1">
        <w:rPr>
          <w:lang w:val="tr-TR"/>
        </w:rPr>
        <w:tab/>
      </w:r>
      <w:r w:rsidRPr="00417AC1">
        <w:rPr>
          <w:lang w:val="tr-TR"/>
        </w:rPr>
        <w:tab/>
        <w:t>Ayrımcılıkla mücadeleye yönelik alınan yasal tedbirler, yapılan çalışmalar ve faaliyetler</w:t>
      </w:r>
    </w:p>
    <w:p w14:paraId="034E8C53" w14:textId="77777777" w:rsidR="00856523" w:rsidRPr="00417AC1" w:rsidRDefault="00856523" w:rsidP="00856523">
      <w:pPr>
        <w:pStyle w:val="SingleTxtG"/>
        <w:rPr>
          <w:lang w:val="tr-TR"/>
        </w:rPr>
      </w:pPr>
      <w:r w:rsidRPr="00417AC1">
        <w:rPr>
          <w:lang w:val="tr-TR"/>
        </w:rPr>
        <w:t xml:space="preserve">42. </w:t>
      </w:r>
      <w:r w:rsidRPr="00417AC1">
        <w:rPr>
          <w:lang w:val="tr-TR"/>
        </w:rPr>
        <w:tab/>
        <w:t>Anayasa, ayrım gözetmeksizin kanun önünde eşitliği güvence altına alır (10. Madde) ve ayrıca siyasi partilerin tüzük, program ve faaliyetleri (68. Madde) ve kamu hizmetine girme hakkı gibi farklı konularda ayrımcılığı yasaklayan hükümler içerir ( Madde 70).</w:t>
      </w:r>
    </w:p>
    <w:p w14:paraId="7769EC38" w14:textId="0AC32865" w:rsidR="00856523" w:rsidRPr="00417AC1" w:rsidRDefault="00856523" w:rsidP="00856523">
      <w:pPr>
        <w:pStyle w:val="SingleTxtG"/>
        <w:rPr>
          <w:lang w:val="tr-TR"/>
        </w:rPr>
      </w:pPr>
      <w:r w:rsidRPr="00417AC1">
        <w:rPr>
          <w:lang w:val="tr-TR"/>
        </w:rPr>
        <w:lastRenderedPageBreak/>
        <w:t xml:space="preserve">43. </w:t>
      </w:r>
      <w:r w:rsidRPr="00417AC1">
        <w:rPr>
          <w:lang w:val="tr-TR"/>
        </w:rPr>
        <w:tab/>
        <w:t xml:space="preserve">Yasalarla ilgili olarak </w:t>
      </w:r>
      <w:r w:rsidR="003F41B6" w:rsidRPr="00417AC1">
        <w:rPr>
          <w:lang w:val="tr-TR"/>
        </w:rPr>
        <w:t>:</w:t>
      </w:r>
    </w:p>
    <w:p w14:paraId="359816A9" w14:textId="706FC033"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Devlet Memurları Kanunu'nun 7. maddesine göre “Memurlar siyasi bir örgüte üye olamaz, bir siyasi parti, kişi veya zümre lehine veya aleyhine faaliyette bulunamaz; dil, ırk, cinsiyet, siyasi düşünce, felsefi inanç, din ve mezhep ayrımı yapamaz, siyasi veya ideolojik amaçlı açıklama ve eylemde bulunamaz ve bu tür eylemlerde yer alamaz”. Bu kurala aykırı davranışlarda bulunulması halinde sınıf ilerlemesinin durdurulması cezası verilir.</w:t>
      </w:r>
    </w:p>
    <w:p w14:paraId="26AA149B" w14:textId="5D3C97F1"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 xml:space="preserve">Siyasi Partiler Kanunu'nun 12/1 maddesinde şöyle denilmektedir: “… </w:t>
      </w:r>
      <w:r w:rsidRPr="00417AC1">
        <w:rPr>
          <w:iCs/>
          <w:lang w:val="tr-TR"/>
        </w:rPr>
        <w:t xml:space="preserve">Siyasi </w:t>
      </w:r>
      <w:r w:rsidRPr="00417AC1">
        <w:rPr>
          <w:lang w:val="tr-TR"/>
        </w:rPr>
        <w:t xml:space="preserve">parti tüzüğünde, üye olmak için başvuranlar arasında dil, ırk, cinsiyet, din, mezhep, aile, grup, sınıf veya meslek esasına göre ayrım yapan hükümler bulunamaz.” Kanuna göre, siyasi partiler hiçbir şekilde bu kavram ve görüşlere (Madde 78), bölgecilik veya ırkçılığa (Madde 82) dayanarak dil, ırk, renk, din ve mezhep ayrımı yaratmayı veya bir Devlet düzeni kurmayı amaçlayamazlar. </w:t>
      </w:r>
      <w:r w:rsidRPr="00417AC1">
        <w:rPr>
          <w:iCs/>
          <w:lang w:val="tr-TR"/>
        </w:rPr>
        <w:t xml:space="preserve">Kanun önünde eşitlik ilkesine aykırı </w:t>
      </w:r>
      <w:r w:rsidRPr="00417AC1">
        <w:rPr>
          <w:lang w:val="tr-TR"/>
        </w:rPr>
        <w:t>amaçlar aramak (Madde 83).</w:t>
      </w:r>
    </w:p>
    <w:p w14:paraId="65E55586"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Türk Medeni Kanunu, İş Kanunu, Milli Eğitim Temel Kanunu, Radyo ve Televizyon Kanunu, Sosyal Hizmetler Kanunu ve İGYO Kanunu'nda ayrımcılık yasağı tedbirleri öngörülmektedir.</w:t>
      </w:r>
    </w:p>
    <w:p w14:paraId="2A0EE001" w14:textId="3553F979" w:rsidR="00856523" w:rsidRPr="00417AC1" w:rsidRDefault="00856523" w:rsidP="00856523">
      <w:pPr>
        <w:pStyle w:val="SingleTxtG"/>
        <w:rPr>
          <w:lang w:val="tr-TR"/>
        </w:rPr>
      </w:pPr>
      <w:r w:rsidRPr="00417AC1">
        <w:rPr>
          <w:lang w:val="tr-TR"/>
        </w:rPr>
        <w:t xml:space="preserve">44. </w:t>
      </w:r>
      <w:r w:rsidRPr="00417AC1">
        <w:rPr>
          <w:lang w:val="tr-TR"/>
        </w:rPr>
        <w:tab/>
        <w:t xml:space="preserve">Ceza hukuku kapsamında TCK'nın 3/2 maddesi kanunun uygulanmasında ayrımcılığı yasaklamaktadır. 115. maddede </w:t>
      </w:r>
      <w:r w:rsidR="00BA1A10" w:rsidRPr="00417AC1">
        <w:rPr>
          <w:i/>
          <w:iCs/>
          <w:lang w:val="tr-TR"/>
        </w:rPr>
        <w:t xml:space="preserve">“inanç, düşünce ve kanaat özgürlüğünün kullanılmasının engellenmesi”, </w:t>
      </w:r>
      <w:r w:rsidRPr="00417AC1">
        <w:rPr>
          <w:lang w:val="tr-TR"/>
        </w:rPr>
        <w:t xml:space="preserve">122. maddede ise </w:t>
      </w:r>
      <w:r w:rsidR="00BA1A10" w:rsidRPr="00417AC1">
        <w:rPr>
          <w:i/>
          <w:iCs/>
          <w:lang w:val="tr-TR"/>
        </w:rPr>
        <w:t xml:space="preserve">“nefret ve ayrımcılık” </w:t>
      </w:r>
      <w:r w:rsidRPr="00417AC1">
        <w:rPr>
          <w:lang w:val="tr-TR"/>
        </w:rPr>
        <w:t>fiilleri suç olarak düzenlenmiştir. 135. maddeye göre kişinin siyasi, felsefi veya dini görüşleri, ırksal geçmişi, ahlaki eğilimleri, cinsel hayatı, sağlık durumu veya sendika bağlantıları gibi bilgileri içeren kişisel verilerin hukuka aykırı olarak kaydedilmesi ağırlaştırıcı sebep teşkil etmektedir. 216. maddede ayrımcı saiklerle halkı kin, düşmanlığa tahrik etmek veya toplumun başka bir kesimine karşı aşağılamak suç sayılıyor.</w:t>
      </w:r>
    </w:p>
    <w:p w14:paraId="17B4568A" w14:textId="77777777" w:rsidR="00856523" w:rsidRPr="00417AC1" w:rsidRDefault="00856523" w:rsidP="00856523">
      <w:pPr>
        <w:pStyle w:val="H4G"/>
        <w:rPr>
          <w:lang w:val="tr-TR"/>
        </w:rPr>
      </w:pPr>
      <w:r w:rsidRPr="00417AC1">
        <w:rPr>
          <w:lang w:val="tr-TR"/>
        </w:rPr>
        <w:tab/>
      </w:r>
      <w:r w:rsidRPr="00417AC1">
        <w:rPr>
          <w:lang w:val="tr-TR"/>
        </w:rPr>
        <w:tab/>
        <w:t>Ceza infaz kurumlarına ilişkin mevzuat</w:t>
      </w:r>
    </w:p>
    <w:p w14:paraId="7C68AD3E" w14:textId="77777777" w:rsidR="00856523" w:rsidRPr="00417AC1" w:rsidRDefault="00856523" w:rsidP="00856523">
      <w:pPr>
        <w:pStyle w:val="SingleTxtG"/>
        <w:rPr>
          <w:lang w:val="tr-TR"/>
        </w:rPr>
      </w:pPr>
      <w:r w:rsidRPr="00417AC1">
        <w:rPr>
          <w:lang w:val="tr-TR"/>
        </w:rPr>
        <w:t xml:space="preserve">45. </w:t>
      </w:r>
      <w:r w:rsidRPr="00417AC1">
        <w:rPr>
          <w:lang w:val="tr-TR"/>
        </w:rPr>
        <w:tab/>
        <w:t>5275 sayılı Ceza ve Güvenlik Tedbirlerinin İnfazı Hakkında Kanunun 2. maddesinde, cezaların ve güvenlik tedbirlerinin infazına ilişkin kuralların ırk, dil, din, mezhep, tabiiyet, renk, cinsiyet, doğum farkı gözetilmeksizin uygulanacağı belirtilmektedir. Mahkumların felsefi inancı, ulusal veya sosyal kökeni, siyasi veya diğer görüş veya düşüncesi, ekonomik gücü veya diğer kamusal statüleri ve hiç kimseye ayrıcalık tanınmaksızın.</w:t>
      </w:r>
    </w:p>
    <w:p w14:paraId="56CB1DCE" w14:textId="77777777" w:rsidR="00856523" w:rsidRPr="00417AC1" w:rsidRDefault="00856523" w:rsidP="00856523">
      <w:pPr>
        <w:pStyle w:val="SingleTxtG"/>
        <w:rPr>
          <w:lang w:val="tr-TR"/>
        </w:rPr>
      </w:pPr>
      <w:r w:rsidRPr="00417AC1">
        <w:rPr>
          <w:lang w:val="tr-TR"/>
        </w:rPr>
        <w:t xml:space="preserve">46. </w:t>
      </w:r>
      <w:r w:rsidRPr="00417AC1">
        <w:rPr>
          <w:lang w:val="tr-TR"/>
        </w:rPr>
        <w:tab/>
        <w:t>Tutuklu ve hükümlülerin personelden gördükleri muameleye ilişkin şikâyetleri ivedilikle ilgili makamlara iletilir ve gerekli görülen hallerde adli ve idari soruşturmalar başlatılır.</w:t>
      </w:r>
    </w:p>
    <w:p w14:paraId="49435275" w14:textId="77777777" w:rsidR="00856523" w:rsidRPr="00417AC1" w:rsidRDefault="00856523" w:rsidP="00856523">
      <w:pPr>
        <w:pStyle w:val="H4G"/>
        <w:rPr>
          <w:lang w:val="tr-TR"/>
        </w:rPr>
      </w:pPr>
      <w:r w:rsidRPr="00417AC1">
        <w:rPr>
          <w:lang w:val="tr-TR"/>
        </w:rPr>
        <w:tab/>
      </w:r>
      <w:r w:rsidRPr="00417AC1">
        <w:rPr>
          <w:lang w:val="tr-TR"/>
        </w:rPr>
        <w:tab/>
        <w:t>İHEP faaliyetleri</w:t>
      </w:r>
    </w:p>
    <w:p w14:paraId="36BF3E8D" w14:textId="1CF3E30C" w:rsidR="00856523" w:rsidRPr="00417AC1" w:rsidRDefault="00856523" w:rsidP="00856523">
      <w:pPr>
        <w:pStyle w:val="SingleTxtG"/>
        <w:rPr>
          <w:lang w:val="tr-TR"/>
        </w:rPr>
      </w:pPr>
      <w:r w:rsidRPr="00417AC1">
        <w:rPr>
          <w:lang w:val="tr-TR"/>
        </w:rPr>
        <w:t xml:space="preserve">47. </w:t>
      </w:r>
      <w:r w:rsidRPr="00417AC1">
        <w:rPr>
          <w:lang w:val="tr-TR"/>
        </w:rPr>
        <w:tab/>
        <w:t xml:space="preserve">İHEP'te kanun önünde eşitlik ilkesinin altı çizilmektedir. </w:t>
      </w:r>
      <w:r w:rsidR="00BA1A10" w:rsidRPr="00417AC1">
        <w:rPr>
          <w:lang w:val="tr-TR"/>
        </w:rPr>
        <w:t xml:space="preserve">“ </w:t>
      </w:r>
      <w:r w:rsidRPr="00417AC1">
        <w:rPr>
          <w:i/>
          <w:lang w:val="tr-TR"/>
        </w:rPr>
        <w:t xml:space="preserve">Nefret Söylemi ve Ayrımcılıkla Mücadelenin Etkinliğinin Artırılması </w:t>
      </w:r>
      <w:r w:rsidR="00BA1A10" w:rsidRPr="00417AC1">
        <w:rPr>
          <w:lang w:val="tr-TR"/>
        </w:rPr>
        <w:t xml:space="preserve">” başlığı </w:t>
      </w:r>
      <w:r w:rsidRPr="00417AC1">
        <w:rPr>
          <w:lang w:val="tr-TR"/>
        </w:rPr>
        <w:t>altında şu faaliyetler sıralanıyor :</w:t>
      </w:r>
    </w:p>
    <w:p w14:paraId="61CF7E36"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Dil, din, ırk, renk, cinsiyet, siyasi düşünce, felsefi inanç, mezhep ve benzeri nedenlere dayalı nefret söylemi ve ayrımcılığa karşı etkin mücadele verilecektir.</w:t>
      </w:r>
    </w:p>
    <w:p w14:paraId="7029D965"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Çalışma yaşamında ayrımcılığın önlenmesine yönelik politikaların etkinliği artırılacaktır.</w:t>
      </w:r>
    </w:p>
    <w:p w14:paraId="1085FA98"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Ulusal ve uluslararası gelişmeler takip edilecek ve İslamofobi, yabancı düşmanlığı, göçmen düşmanlığı ve ırkçılık gibi ayrımcılık veya nefret söylemi/suç teşkil eden durumlara ilişkin periyodik raporlar hazırlanacaktır.</w:t>
      </w:r>
    </w:p>
    <w:p w14:paraId="7EEB5947"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Ayrımcılık ve nefret suçlarıyla etkin mücadeleye yönelik soruşturma rehberleri hazırlanacak.</w:t>
      </w:r>
    </w:p>
    <w:p w14:paraId="25CD049C"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Ayrımcılık ve nefret suçlarına ilişkin TCK'ya yeni bir düzenleme getirilecek.</w:t>
      </w:r>
    </w:p>
    <w:p w14:paraId="4536AC6A"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Ayrımcılık ve nefret suçundan en çok etkilendiği düşünülen mağdurlara psiko-sosyal ve hukuki destek sunulacak.</w:t>
      </w:r>
    </w:p>
    <w:p w14:paraId="5D812CE2"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lastRenderedPageBreak/>
        <w:t>Nefret ve ayrımcılık içeren suçlar ve kabahatlere ilişkin veri tabanı oluşturularak istatistiklerin doğru şekilde toplanması sağlanacak, kolluk ve savcılık personeline eğitim verilecektir.</w:t>
      </w:r>
    </w:p>
    <w:p w14:paraId="3FA3B3CB"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Medya çalışanlarına yönelik eğitimler ve el kitapları hazırlanarak nefret söylemi ve ayrımcılık konusunda farkındalık artırılacaktır.</w:t>
      </w:r>
    </w:p>
    <w:p w14:paraId="0635367C" w14:textId="77777777" w:rsidR="00856523" w:rsidRPr="00417AC1" w:rsidRDefault="00856523" w:rsidP="00856523">
      <w:pPr>
        <w:pStyle w:val="H4G"/>
        <w:rPr>
          <w:lang w:val="tr-TR"/>
        </w:rPr>
      </w:pPr>
      <w:r w:rsidRPr="00417AC1">
        <w:rPr>
          <w:lang w:val="tr-TR"/>
        </w:rPr>
        <w:tab/>
      </w:r>
      <w:r w:rsidRPr="00417AC1">
        <w:rPr>
          <w:lang w:val="tr-TR"/>
        </w:rPr>
        <w:tab/>
        <w:t>HREIT Faaliyetleri</w:t>
      </w:r>
    </w:p>
    <w:p w14:paraId="4277EE51" w14:textId="77777777" w:rsidR="00856523" w:rsidRPr="00417AC1" w:rsidRDefault="00856523" w:rsidP="00856523">
      <w:pPr>
        <w:pStyle w:val="SingleTxtG"/>
        <w:rPr>
          <w:lang w:val="tr-TR"/>
        </w:rPr>
      </w:pPr>
      <w:r w:rsidRPr="00417AC1">
        <w:rPr>
          <w:lang w:val="tr-TR"/>
        </w:rPr>
        <w:t xml:space="preserve">48. </w:t>
      </w:r>
      <w:r w:rsidRPr="00417AC1">
        <w:rPr>
          <w:lang w:val="tr-TR"/>
        </w:rPr>
        <w:tab/>
        <w:t>Ayrımcılıkla mücadele HREIT'in üç temel görevi arasındadır. 6701 sayılı Kanun ayrımcılığa karşı kapsamlı bir mevzuat niteliği taşımaktadır.</w:t>
      </w:r>
    </w:p>
    <w:p w14:paraId="0DFE66E8" w14:textId="77777777" w:rsidR="00856523" w:rsidRPr="00417AC1" w:rsidRDefault="00856523" w:rsidP="00856523">
      <w:pPr>
        <w:pStyle w:val="SingleTxtG"/>
        <w:rPr>
          <w:lang w:val="tr-TR"/>
        </w:rPr>
      </w:pPr>
      <w:r w:rsidRPr="00417AC1">
        <w:rPr>
          <w:lang w:val="tr-TR"/>
        </w:rPr>
        <w:t xml:space="preserve">49. </w:t>
      </w:r>
      <w:r w:rsidRPr="00417AC1">
        <w:rPr>
          <w:lang w:val="tr-TR"/>
        </w:rPr>
        <w:tab/>
        <w:t>Kanun kapsamındaki ayrımcılık türleri: Ayrım yapma, ayrımcı emirler verme ve bu emirleri uygulama, çoklu, doğrudan ve dolaylı ayrımcılıklar, işyerinde zorbalık, engellilere ilişkin makul düzenleme yapılmaması, taciz ve algıya dayalı ayrımcılık. Eşit muamele veya ayrımcılığın korunması talebiyle idari veya adli işlem başlatanların, bu işlemlere katılanların veya temsilcilerinin maruz kaldıkları olumsuz muamele de ayrımcılık teşkil etmektedir.</w:t>
      </w:r>
    </w:p>
    <w:p w14:paraId="73BE7EB6" w14:textId="77777777" w:rsidR="00856523" w:rsidRPr="00417AC1" w:rsidRDefault="00856523" w:rsidP="00856523">
      <w:pPr>
        <w:pStyle w:val="SingleTxtG"/>
        <w:rPr>
          <w:lang w:val="tr-TR"/>
        </w:rPr>
      </w:pPr>
      <w:r w:rsidRPr="00417AC1">
        <w:rPr>
          <w:lang w:val="tr-TR"/>
        </w:rPr>
        <w:t xml:space="preserve">50. </w:t>
      </w:r>
      <w:r w:rsidRPr="00417AC1">
        <w:rPr>
          <w:lang w:val="tr-TR"/>
        </w:rPr>
        <w:tab/>
        <w:t>Kanunun 5/1 maddesine göre hizmet sunan gerçek kişiler, kamu kurum ve kuruluşları veya tüzel kişiler, bu hizmetlerden yararlanmak veya bu hizmetlerle ilgili bilgi almak isteyenlere ayrımcılık yapamaz. Kanun, tüm kamu kurumlarının ve tüzel kişilerin, ayrımcılık yasağının ihlali durumunda, ayrımcılığın sonuçlarıyla birlikte ortadan kaldırılması, tekrarının önlenmesi ve davanın idari ve adli takibi için gerekli her türlü tedbiri almasını zorunlu kılmaktadır.</w:t>
      </w:r>
    </w:p>
    <w:p w14:paraId="6E10014D" w14:textId="77777777" w:rsidR="00856523" w:rsidRPr="00417AC1" w:rsidRDefault="00856523" w:rsidP="00856523">
      <w:pPr>
        <w:pStyle w:val="SingleTxtG"/>
        <w:rPr>
          <w:lang w:val="tr-TR"/>
        </w:rPr>
      </w:pPr>
      <w:r w:rsidRPr="00417AC1">
        <w:rPr>
          <w:lang w:val="tr-TR"/>
        </w:rPr>
        <w:t xml:space="preserve">51. </w:t>
      </w:r>
      <w:r w:rsidRPr="00417AC1">
        <w:rPr>
          <w:lang w:val="tr-TR"/>
        </w:rPr>
        <w:tab/>
        <w:t xml:space="preserve">Ayrımcılıkla mücadele konusunda HREIT'e aşağıdaki görevler verilmiştir: (i) Ayrımcılık yasağı ihlallerinin </w:t>
      </w:r>
      <w:r w:rsidRPr="00417AC1">
        <w:rPr>
          <w:i/>
          <w:lang w:val="tr-TR"/>
        </w:rPr>
        <w:t xml:space="preserve">resen </w:t>
      </w:r>
      <w:r w:rsidRPr="00417AC1">
        <w:rPr>
          <w:lang w:val="tr-TR"/>
        </w:rPr>
        <w:t>veya başvuru üzerine incelenmesi, inceleme ve soruşturma yapılması, karar alınması ve sonuçlarının takip edilmesi; (ii) Ayrımcılık mağduru olduğu iddiasıyla kuruma başvuran kişilere izleyebilecekleri idari ve hukuki yollar konusunda rehberlik etmek ve başvurularını takip etmelerine yardımcı olmak; (iii) Ayrımcılıkla mücadele konusunda kitle iletişim araçlarının kullanılması da dahil olmak üzere kamuoyuna bilgi sağlanması; (iv) Milli eğitim müfredatı ve kamu görevlilerine yönelik mesleki eğitim kurslarına ilişkin esasların belirlenmesine katkı; (v) Ayrımcılıkla mücadele konusunda yıllık raporlar hazırlamak.</w:t>
      </w:r>
    </w:p>
    <w:p w14:paraId="770EEA78" w14:textId="3291DDDF" w:rsidR="00856523" w:rsidRPr="00417AC1" w:rsidRDefault="00856523" w:rsidP="00856523">
      <w:pPr>
        <w:pStyle w:val="SingleTxtG"/>
        <w:rPr>
          <w:lang w:val="tr-TR"/>
        </w:rPr>
      </w:pPr>
      <w:r w:rsidRPr="00417AC1">
        <w:rPr>
          <w:lang w:val="tr-TR"/>
        </w:rPr>
        <w:t xml:space="preserve">52. Ayrımcılık mağduru olduğunu iddia eden herkes, HREIT'e il ve </w:t>
      </w:r>
      <w:r w:rsidRPr="00417AC1">
        <w:rPr>
          <w:lang w:val="tr-TR"/>
        </w:rPr>
        <w:tab/>
      </w:r>
      <w:r w:rsidR="00742BC4" w:rsidRPr="00417AC1">
        <w:rPr>
          <w:lang w:val="tr-TR"/>
        </w:rPr>
        <w:t xml:space="preserve">kaymakamlıklardan </w:t>
      </w:r>
      <w:r w:rsidRPr="00417AC1">
        <w:rPr>
          <w:lang w:val="tr-TR"/>
        </w:rPr>
        <w:t xml:space="preserve">ücretsiz olarak başvurabilir . </w:t>
      </w:r>
      <w:r w:rsidR="00742BC4" w:rsidRPr="00417AC1">
        <w:rPr>
          <w:lang w:val="tr-TR"/>
        </w:rPr>
        <w:t>Yetişkin başvuru sahiplerinin kimlikleri talep üzerine gizlenebilir, reşit olmayan başvuru sahiplerinin kimlikleri ise her zaman açıklanmaz. Başvuru sahibinin iddiasını destekleyen kuvvetli delillerin varlığını ortaya koyması yeterli olmakla birlikte, ihlalle suçlanan kişi veya kurumun iddianın asılsız olduğunu kanıtlaması gerekmektedir.</w:t>
      </w:r>
    </w:p>
    <w:p w14:paraId="1245F568" w14:textId="77777777" w:rsidR="00856523" w:rsidRPr="00417AC1" w:rsidRDefault="00856523" w:rsidP="00856523">
      <w:pPr>
        <w:pStyle w:val="SingleTxtG"/>
        <w:rPr>
          <w:lang w:val="tr-TR"/>
        </w:rPr>
      </w:pPr>
      <w:r w:rsidRPr="00417AC1">
        <w:rPr>
          <w:lang w:val="tr-TR"/>
        </w:rPr>
        <w:t xml:space="preserve">53. </w:t>
      </w:r>
      <w:r w:rsidRPr="00417AC1">
        <w:rPr>
          <w:lang w:val="tr-TR"/>
        </w:rPr>
        <w:tab/>
        <w:t>HREIT, ayrımcılık yasağının ihlal edildiğini tespit ettiği durumlarda sorumlu kişi veya kurumlara para cezası uygulayabilir.</w:t>
      </w:r>
    </w:p>
    <w:p w14:paraId="20E45B58" w14:textId="77777777" w:rsidR="00856523" w:rsidRPr="00417AC1" w:rsidRDefault="00856523" w:rsidP="00856523">
      <w:pPr>
        <w:pStyle w:val="SingleTxtG"/>
        <w:rPr>
          <w:lang w:val="tr-TR"/>
        </w:rPr>
      </w:pPr>
      <w:r w:rsidRPr="00417AC1">
        <w:rPr>
          <w:lang w:val="tr-TR"/>
        </w:rPr>
        <w:t xml:space="preserve">54. </w:t>
      </w:r>
      <w:r w:rsidRPr="00417AC1">
        <w:rPr>
          <w:lang w:val="tr-TR"/>
        </w:rPr>
        <w:tab/>
        <w:t>HREIT'in ayrımcılıkla mücadeleye yönelik yürüttüğü diğer çeşitli çalışmalar şunlardır:</w:t>
      </w:r>
    </w:p>
    <w:p w14:paraId="7390FA29" w14:textId="78D231A1"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i/>
          <w:lang w:val="tr-TR"/>
        </w:rPr>
        <w:t xml:space="preserve">İş Hayatında Ayrımcılıkla Mücadele ” </w:t>
      </w:r>
      <w:r w:rsidRPr="00417AC1">
        <w:rPr>
          <w:lang w:val="tr-TR"/>
        </w:rPr>
        <w:t xml:space="preserve">konulu uluslararası konferans </w:t>
      </w:r>
      <w:r w:rsidR="00BA1A10" w:rsidRPr="00417AC1">
        <w:rPr>
          <w:lang w:val="tr-TR"/>
        </w:rPr>
        <w:t>(17 Nisan 2019).</w:t>
      </w:r>
    </w:p>
    <w:p w14:paraId="1BD9E3C5" w14:textId="13342049" w:rsidR="00856523" w:rsidRPr="00417AC1" w:rsidRDefault="00BA1A10" w:rsidP="00856523">
      <w:pPr>
        <w:pStyle w:val="Bullet1G"/>
        <w:numPr>
          <w:ilvl w:val="0"/>
          <w:numId w:val="6"/>
        </w:numPr>
        <w:kinsoku w:val="0"/>
        <w:overflowPunct w:val="0"/>
        <w:autoSpaceDE w:val="0"/>
        <w:autoSpaceDN w:val="0"/>
        <w:adjustRightInd w:val="0"/>
        <w:snapToGrid w:val="0"/>
        <w:rPr>
          <w:lang w:val="tr-TR"/>
        </w:rPr>
      </w:pPr>
      <w:r w:rsidRPr="00417AC1">
        <w:rPr>
          <w:lang w:val="tr-TR"/>
        </w:rPr>
        <w:t xml:space="preserve">“ </w:t>
      </w:r>
      <w:r w:rsidR="00856523" w:rsidRPr="00417AC1">
        <w:rPr>
          <w:i/>
          <w:lang w:val="tr-TR"/>
        </w:rPr>
        <w:t xml:space="preserve">Ayrımcılıkla Mücadele Raporu, 2018 Yılı </w:t>
      </w:r>
      <w:r w:rsidRPr="00417AC1">
        <w:rPr>
          <w:lang w:val="tr-TR"/>
        </w:rPr>
        <w:t>”: Raporda, ayrımcılık yasağı kapsamındaki kamu hizmeti alanları ve bu alanlardaki politika ve faaliyetler bütüncül bir yaklaşımla ele alınmıştır.</w:t>
      </w:r>
    </w:p>
    <w:p w14:paraId="1103AD33" w14:textId="58C74B9E" w:rsidR="00856523" w:rsidRPr="00417AC1" w:rsidRDefault="00BA1A10" w:rsidP="00856523">
      <w:pPr>
        <w:pStyle w:val="Bullet1G"/>
        <w:numPr>
          <w:ilvl w:val="0"/>
          <w:numId w:val="6"/>
        </w:numPr>
        <w:kinsoku w:val="0"/>
        <w:overflowPunct w:val="0"/>
        <w:autoSpaceDE w:val="0"/>
        <w:autoSpaceDN w:val="0"/>
        <w:adjustRightInd w:val="0"/>
        <w:snapToGrid w:val="0"/>
        <w:rPr>
          <w:lang w:val="tr-TR"/>
        </w:rPr>
      </w:pPr>
      <w:r w:rsidRPr="00417AC1">
        <w:rPr>
          <w:lang w:val="tr-TR"/>
        </w:rPr>
        <w:t xml:space="preserve">“ </w:t>
      </w:r>
      <w:r w:rsidR="00856523" w:rsidRPr="00417AC1">
        <w:rPr>
          <w:i/>
          <w:lang w:val="tr-TR"/>
        </w:rPr>
        <w:t xml:space="preserve">Otizmli Çocukların Eğitim Hakkı ve Ayrımcılığın Yasaklanması Raporu </w:t>
      </w:r>
      <w:r w:rsidRPr="00417AC1">
        <w:rPr>
          <w:lang w:val="tr-TR"/>
        </w:rPr>
        <w:t>” (2 Nisan 2020, Dünya Otizm Farkındalık Günü vesilesiyle).</w:t>
      </w:r>
    </w:p>
    <w:p w14:paraId="55182C95" w14:textId="1A73E811"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i/>
          <w:lang w:val="tr-TR"/>
        </w:rPr>
        <w:t xml:space="preserve">Nefret Söylemi ve Nefret Suçları ” </w:t>
      </w:r>
      <w:r w:rsidRPr="00417AC1">
        <w:rPr>
          <w:lang w:val="tr-TR"/>
        </w:rPr>
        <w:t xml:space="preserve">başlıklı ulusal sempozyum </w:t>
      </w:r>
      <w:r w:rsidR="00BA1A10" w:rsidRPr="00417AC1">
        <w:rPr>
          <w:lang w:val="tr-TR"/>
        </w:rPr>
        <w:t>(27 Ekim 2021).</w:t>
      </w:r>
    </w:p>
    <w:p w14:paraId="1B732CAB"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İstişare Komisyonunun Birinci Toplantısı (18 Kasım 2021): Komisyon, HREIT tarafından ayrımcılıkla ilgili konularda sorunları tartışmak, çözüm önerileri sunmak ve bilgi ve görüş alışverişinde bulunmak amacıyla kurulmuştur. Komisyona üye olan çok sayıda kamu kurum ve kuruluşu, STK, sosyal ve mesleki kuruluş temsilcileri, akademisyen ve uzmanların katılımı sağlandı.</w:t>
      </w:r>
    </w:p>
    <w:p w14:paraId="2C855C1D" w14:textId="6C60D368" w:rsidR="00856523" w:rsidRPr="00417AC1" w:rsidRDefault="00BA1A10" w:rsidP="00856523">
      <w:pPr>
        <w:pStyle w:val="Bullet1G"/>
        <w:numPr>
          <w:ilvl w:val="0"/>
          <w:numId w:val="6"/>
        </w:numPr>
        <w:kinsoku w:val="0"/>
        <w:overflowPunct w:val="0"/>
        <w:autoSpaceDE w:val="0"/>
        <w:autoSpaceDN w:val="0"/>
        <w:adjustRightInd w:val="0"/>
        <w:snapToGrid w:val="0"/>
        <w:rPr>
          <w:lang w:val="tr-TR"/>
        </w:rPr>
      </w:pPr>
      <w:r w:rsidRPr="00417AC1">
        <w:rPr>
          <w:lang w:val="tr-TR"/>
        </w:rPr>
        <w:lastRenderedPageBreak/>
        <w:t xml:space="preserve">“ </w:t>
      </w:r>
      <w:r w:rsidR="00856523" w:rsidRPr="00417AC1">
        <w:rPr>
          <w:i/>
          <w:lang w:val="tr-TR"/>
        </w:rPr>
        <w:t xml:space="preserve">Nefret Söylemi ve Yabancı Düşmanlığıyla Mücadele Bağlamında Ayrımcılık Yapmama İlkesi ve Eşitlik Kurumlarının Rolüne İlişkin Özel Rapor </w:t>
      </w:r>
      <w:r w:rsidRPr="00417AC1">
        <w:rPr>
          <w:lang w:val="tr-TR"/>
        </w:rPr>
        <w:t>”: Raporun hazırlıkları devam ediyor.</w:t>
      </w:r>
    </w:p>
    <w:p w14:paraId="132B7CA9" w14:textId="77777777" w:rsidR="00856523" w:rsidRPr="00417AC1" w:rsidRDefault="00856523" w:rsidP="00856523">
      <w:pPr>
        <w:pStyle w:val="H4G"/>
        <w:rPr>
          <w:lang w:val="tr-TR"/>
        </w:rPr>
      </w:pPr>
      <w:r w:rsidRPr="00417AC1">
        <w:rPr>
          <w:lang w:val="tr-TR"/>
        </w:rPr>
        <w:tab/>
      </w:r>
      <w:r w:rsidRPr="00417AC1">
        <w:rPr>
          <w:lang w:val="tr-TR"/>
        </w:rPr>
        <w:tab/>
        <w:t>Diğer Kurum Faaliyetleri</w:t>
      </w:r>
    </w:p>
    <w:p w14:paraId="065A14BF" w14:textId="77777777" w:rsidR="00856523" w:rsidRPr="00417AC1" w:rsidRDefault="00856523" w:rsidP="00856523">
      <w:pPr>
        <w:pStyle w:val="SingleTxtG"/>
        <w:rPr>
          <w:lang w:val="tr-TR"/>
        </w:rPr>
      </w:pPr>
      <w:r w:rsidRPr="00417AC1">
        <w:rPr>
          <w:lang w:val="tr-TR"/>
        </w:rPr>
        <w:t xml:space="preserve">55. </w:t>
      </w:r>
      <w:r w:rsidRPr="00417AC1">
        <w:rPr>
          <w:lang w:val="tr-TR"/>
        </w:rPr>
        <w:tab/>
        <w:t>HAK ayrıca kamu kurumlarının ayrımcılık yasağı ilkesine uyup uymadığını denetleme yetkisine de sahiptir. Ocak 2017 ile Nisan 2022 tarihleri arasında HAK'ya toplam 85 ayrımcılık başvurusu yapıldı. Bu başvurulardan 14'ü reddedildi, 47'si ilgili kişi/kurumlara yönlendirildi ve 16'sı sonuçlandı.</w:t>
      </w:r>
    </w:p>
    <w:p w14:paraId="48DAA373" w14:textId="1D205FC5" w:rsidR="00856523" w:rsidRPr="00417AC1" w:rsidRDefault="00856523" w:rsidP="00856523">
      <w:pPr>
        <w:pStyle w:val="SingleTxtG"/>
        <w:rPr>
          <w:lang w:val="tr-TR"/>
        </w:rPr>
      </w:pPr>
      <w:r w:rsidRPr="00417AC1">
        <w:rPr>
          <w:lang w:val="tr-TR"/>
        </w:rPr>
        <w:t xml:space="preserve">56. </w:t>
      </w:r>
      <w:r w:rsidRPr="00417AC1">
        <w:rPr>
          <w:lang w:val="tr-TR"/>
        </w:rPr>
        <w:tab/>
        <w:t xml:space="preserve">Türkiye, CEDAW kapsamında CEDAW Komitesi'ne periyodik raporlar sunmaktadır. </w:t>
      </w:r>
      <w:r w:rsidR="005041FC" w:rsidRPr="00417AC1">
        <w:rPr>
          <w:lang w:val="tr-TR"/>
        </w:rPr>
        <w:t>Kasım 2014'te 7. Periyodik Rapor, Kasım 2020'de 8. Periyodik Rapor ve Kasım 2021'de “Sorun Listesi”ne verilen yanıtlar CEDAW Komitesi'ne sunuldu. Türkiye'nin raporlama döneminde cinsiyet ayrımcılığına ilişkin taahhütlerine BM veri tabanından ulaşılabilir.</w:t>
      </w:r>
    </w:p>
    <w:p w14:paraId="06BD583C" w14:textId="77777777" w:rsidR="00856523" w:rsidRPr="00417AC1" w:rsidRDefault="00856523" w:rsidP="00856523">
      <w:pPr>
        <w:pStyle w:val="H4G"/>
        <w:rPr>
          <w:b/>
          <w:lang w:val="tr-TR"/>
        </w:rPr>
      </w:pPr>
      <w:r w:rsidRPr="00417AC1">
        <w:rPr>
          <w:lang w:val="tr-TR"/>
        </w:rPr>
        <w:tab/>
      </w:r>
      <w:r w:rsidRPr="00417AC1">
        <w:rPr>
          <w:lang w:val="tr-TR"/>
        </w:rPr>
        <w:tab/>
        <w:t>Nefret Suçu</w:t>
      </w:r>
    </w:p>
    <w:p w14:paraId="28EEA707" w14:textId="68A7A99E" w:rsidR="00856523" w:rsidRPr="00417AC1" w:rsidRDefault="00856523" w:rsidP="00856523">
      <w:pPr>
        <w:pStyle w:val="SingleTxtG"/>
        <w:rPr>
          <w:i/>
          <w:lang w:val="tr-TR"/>
        </w:rPr>
      </w:pPr>
      <w:r w:rsidRPr="00417AC1">
        <w:rPr>
          <w:iCs/>
          <w:lang w:val="tr-TR"/>
        </w:rPr>
        <w:t xml:space="preserve">57. </w:t>
      </w:r>
      <w:r w:rsidRPr="00417AC1">
        <w:rPr>
          <w:i/>
          <w:lang w:val="tr-TR"/>
        </w:rPr>
        <w:tab/>
      </w:r>
      <w:r w:rsidRPr="00417AC1">
        <w:rPr>
          <w:lang w:val="tr-TR"/>
        </w:rPr>
        <w:t xml:space="preserve">TCK'nın 122. maddesinde </w:t>
      </w:r>
      <w:r w:rsidR="00BA1A10" w:rsidRPr="00417AC1">
        <w:rPr>
          <w:i/>
          <w:iCs/>
          <w:lang w:val="tr-TR"/>
        </w:rPr>
        <w:t xml:space="preserve">“Nefret ve Ayrımcılık” suçu düzenlenmiştir. </w:t>
      </w:r>
      <w:r w:rsidRPr="00417AC1">
        <w:rPr>
          <w:lang w:val="tr-TR"/>
        </w:rPr>
        <w:t>Buna göre, (a) kamuya sunulan taşınır veya taşınmaz malların satışını, devredilmesini veya kiralanmasını engelleyen, (b) bir kişinin kamuya sunulan hizmetlerden yararlanmasını engelleyen, (c) bir kişinin kamuya arz edilmesini engelleyen, (c) bir kişinin kamuya arz edilmesini engelleyen kişi, Bir işte çalışmak, (d) Bir kişiyi dil, ırk, milliyet, renk, cinsiyet, engellilik, siyasi görüş, felsefi inanç, din veya mezhep farklılığından kaynaklanan nefret nedeniyle olağan bir ekonomik faaliyette bulunmaktan alıkoyanlara, bir yıldan üç yıla kadar hapis cezasıyla cezalandırılır.</w:t>
      </w:r>
    </w:p>
    <w:p w14:paraId="668A77FB" w14:textId="38930D37" w:rsidR="00856523" w:rsidRPr="00417AC1" w:rsidRDefault="00856523" w:rsidP="00856523">
      <w:pPr>
        <w:pStyle w:val="SingleTxtG"/>
        <w:rPr>
          <w:lang w:val="tr-TR"/>
        </w:rPr>
      </w:pPr>
      <w:r w:rsidRPr="00417AC1">
        <w:rPr>
          <w:lang w:val="tr-TR"/>
        </w:rPr>
        <w:t xml:space="preserve">58. 2 Mart 2014 tarih ve 6529 sayılı Kanunla </w:t>
      </w:r>
      <w:r w:rsidRPr="00417AC1">
        <w:rPr>
          <w:lang w:val="tr-TR"/>
        </w:rPr>
        <w:tab/>
      </w:r>
      <w:r w:rsidR="00BA1A10" w:rsidRPr="00417AC1">
        <w:rPr>
          <w:i/>
          <w:iCs/>
          <w:lang w:val="tr-TR"/>
        </w:rPr>
        <w:t xml:space="preserve">“Ayrımcılık” </w:t>
      </w:r>
      <w:r w:rsidRPr="00417AC1">
        <w:rPr>
          <w:lang w:val="tr-TR"/>
        </w:rPr>
        <w:t xml:space="preserve">başlığı </w:t>
      </w:r>
      <w:r w:rsidR="00BA1A10" w:rsidRPr="00417AC1">
        <w:rPr>
          <w:i/>
          <w:iCs/>
          <w:lang w:val="tr-TR"/>
        </w:rPr>
        <w:t xml:space="preserve">“Nefret ve Ayrımcılık” </w:t>
      </w:r>
      <w:r w:rsidRPr="00417AC1">
        <w:rPr>
          <w:lang w:val="tr-TR"/>
        </w:rPr>
        <w:t>olarak değiştirilmiştir.</w:t>
      </w:r>
      <w:r w:rsidRPr="00417AC1" w:rsidDel="005C1789">
        <w:rPr>
          <w:i/>
          <w:iCs/>
          <w:lang w:val="tr-TR"/>
        </w:rPr>
        <w:t xml:space="preserve"> </w:t>
      </w:r>
      <w:r w:rsidRPr="00417AC1">
        <w:rPr>
          <w:lang w:val="tr-TR"/>
        </w:rPr>
        <w:t>suçun nefret yönünü vurgulamak.</w:t>
      </w:r>
    </w:p>
    <w:p w14:paraId="6929BA1D" w14:textId="735DC8ED" w:rsidR="00856523" w:rsidRPr="00417AC1" w:rsidRDefault="00856523" w:rsidP="00856523">
      <w:pPr>
        <w:pStyle w:val="H23G"/>
        <w:rPr>
          <w:lang w:val="tr-TR"/>
        </w:rPr>
      </w:pPr>
      <w:bookmarkStart w:id="9" w:name="_Toc110354331"/>
      <w:r w:rsidRPr="00417AC1">
        <w:rPr>
          <w:lang w:val="tr-TR"/>
        </w:rPr>
        <w:tab/>
      </w:r>
      <w:r w:rsidRPr="00417AC1">
        <w:rPr>
          <w:lang w:val="tr-TR"/>
        </w:rPr>
        <w:tab/>
        <w:t xml:space="preserve">Olağanüstü Hal </w:t>
      </w:r>
      <w:r w:rsidR="00346789" w:rsidRPr="00417AC1">
        <w:rPr>
          <w:lang w:val="tr-TR"/>
        </w:rPr>
        <w:t>– Madde 4</w:t>
      </w:r>
      <w:bookmarkEnd w:id="9"/>
    </w:p>
    <w:p w14:paraId="00D5D3E3" w14:textId="77777777" w:rsidR="00856523" w:rsidRPr="00417AC1" w:rsidRDefault="00856523" w:rsidP="00856523">
      <w:pPr>
        <w:pStyle w:val="SingleTxtG"/>
        <w:rPr>
          <w:lang w:val="tr-TR"/>
        </w:rPr>
      </w:pPr>
      <w:r w:rsidRPr="00417AC1">
        <w:rPr>
          <w:lang w:val="tr-TR"/>
        </w:rPr>
        <w:t xml:space="preserve">59. </w:t>
      </w:r>
      <w:r w:rsidRPr="00417AC1">
        <w:rPr>
          <w:lang w:val="tr-TR"/>
        </w:rPr>
        <w:tab/>
        <w:t>Devletin birçok kurumuna sızan FETÖ, 15 Temmuz 2016 tarihinde şiddet ve cebir kullanarak demokratik Anayasal düzeni ortadan kaldırmaya çalışmıştır. Türk Silahlı Kuvvetleri bünyesinde yapılanan FETÖ mensupları, darbe girişiminde savaş uçakları, saldırı helikopterleri, tanklar ve silahlı araçlar gibi çok sayıda ağır silah kullandı; TBMM binası, Cumhurbaşkanlığı Külliyesi, Genel Müdürlük gibi kamu kurumları bombalandı. Güvenlik tesisleri ve Milli İstihbarat Teşkilatı yerleşkesi. Ayrıca medya kuruluşlarına saldırılarak televizyon yayınları ve internet erişimi kesildi, Cumhurbaşkanına suikast girişiminde bulunuldu. Bu darbe girişimi, başta yaşam hakkı olmak üzere halkın temel hak ve özgürlüklerini, toplumun demokratik değerlerini ve Anayasal düzeni hedef almıştır. 251 kişinin ölümü, 2194 kişinin yaralanmasıyla sonuçlandı.</w:t>
      </w:r>
    </w:p>
    <w:p w14:paraId="262E6DC7" w14:textId="77777777" w:rsidR="00856523" w:rsidRPr="00417AC1" w:rsidRDefault="00856523" w:rsidP="00856523">
      <w:pPr>
        <w:pStyle w:val="SingleTxtG"/>
        <w:rPr>
          <w:lang w:val="tr-TR"/>
        </w:rPr>
      </w:pPr>
      <w:r w:rsidRPr="00417AC1">
        <w:rPr>
          <w:lang w:val="tr-TR"/>
        </w:rPr>
        <w:t xml:space="preserve">60. </w:t>
      </w:r>
      <w:r w:rsidRPr="00417AC1">
        <w:rPr>
          <w:lang w:val="tr-TR"/>
        </w:rPr>
        <w:tab/>
        <w:t>Devletin varlığına ve demokratik toplum değerlerine yönelik tehditleri tamamen ortadan kaldırmak , insan haklarını ve hukukun üstünlüğünü korumak ve bu değerlere yönelik gelecekte gerçekleştirilecek saldırıları önlemek ve ortadan kaldırmak amacıyla 21 Temmuz 2016 tarihinde OHAL ilan edilmiş ve Anayasanın 120. maddesi uyarınca TBMM tarafından onaylanmıştır.</w:t>
      </w:r>
    </w:p>
    <w:p w14:paraId="5E363B9E" w14:textId="77777777" w:rsidR="00856523" w:rsidRPr="00417AC1" w:rsidRDefault="00856523" w:rsidP="00856523">
      <w:pPr>
        <w:pStyle w:val="SingleTxtG"/>
        <w:rPr>
          <w:lang w:val="tr-TR"/>
        </w:rPr>
      </w:pPr>
      <w:r w:rsidRPr="00417AC1">
        <w:rPr>
          <w:lang w:val="tr-TR"/>
        </w:rPr>
        <w:t xml:space="preserve">61. </w:t>
      </w:r>
      <w:r w:rsidRPr="00417AC1">
        <w:rPr>
          <w:lang w:val="tr-TR"/>
        </w:rPr>
        <w:tab/>
        <w:t>OHAL kapsamında Türkiye, ICCPR ve AİHS'deki yükümlülüklerini azaltma hakkına başvurmuştur. Bu hakkın kullanımında, ICCPR'nin 4. maddesi ve HRC'nin 29 sayılı Genel Yorumunda belirtilen ilkeler uyarınca istisnai, orantılı, gerekli ve geçici önlemler alınmıştır. Bu tedbirler günlük yaşamda herhangi bir değişiklik veya kısıtlamaya yol açmamış, temel hak ve özgürlüklerin kullanımını etkilememiştir. Sınırlandırılamaz haklar konusunda herhangi bir tedbir alınmadı ve adil yargılanma hakkına saygı gösterildi.</w:t>
      </w:r>
    </w:p>
    <w:p w14:paraId="6199F6F3" w14:textId="77777777" w:rsidR="00856523" w:rsidRPr="00417AC1" w:rsidRDefault="00856523" w:rsidP="00856523">
      <w:pPr>
        <w:pStyle w:val="SingleTxtG"/>
        <w:rPr>
          <w:lang w:val="tr-TR"/>
        </w:rPr>
      </w:pPr>
      <w:r w:rsidRPr="00417AC1">
        <w:rPr>
          <w:lang w:val="tr-TR"/>
        </w:rPr>
        <w:t xml:space="preserve">62. </w:t>
      </w:r>
      <w:r w:rsidRPr="00417AC1">
        <w:rPr>
          <w:lang w:val="tr-TR"/>
        </w:rPr>
        <w:tab/>
        <w:t>OHAL döneminde 32 adet Olağanüstü Hal Kanun Hükmünde Kararname kabul edildi. Bu süreçte uluslararası insan hakları sözleşmelerinden kaynaklanan yükümlülüklere azami ölçüde riayet edilmiş ve bu tedbirlerin gereklilik ve orantılılık kriterlerini karşılaması sağlanmıştır.</w:t>
      </w:r>
    </w:p>
    <w:p w14:paraId="6AA3A2A3" w14:textId="77777777" w:rsidR="00856523" w:rsidRPr="00417AC1" w:rsidRDefault="00856523" w:rsidP="00856523">
      <w:pPr>
        <w:pStyle w:val="SingleTxtG"/>
        <w:rPr>
          <w:lang w:val="tr-TR"/>
        </w:rPr>
      </w:pPr>
      <w:r w:rsidRPr="00417AC1">
        <w:rPr>
          <w:lang w:val="tr-TR"/>
        </w:rPr>
        <w:t xml:space="preserve">63. </w:t>
      </w:r>
      <w:r w:rsidRPr="00417AC1">
        <w:rPr>
          <w:lang w:val="tr-TR"/>
        </w:rPr>
        <w:tab/>
        <w:t xml:space="preserve">OHAL'in uzatılmasına ilişkin tüm Kanun Hükmünde Kararnameler ve kararlar TBMM tarafından usulüne uygun olarak onaylanmıştır. TBMM'nin siyasi denetimine tabi olan Kanun Hükmünde Kararnameler, TBMM'nin onayıyla kanunlaşır oluşmaz, aynı </w:t>
      </w:r>
      <w:r w:rsidRPr="00417AC1">
        <w:rPr>
          <w:lang w:val="tr-TR"/>
        </w:rPr>
        <w:lastRenderedPageBreak/>
        <w:t>zamanda AYM'nin yargı denetimine de tabi tutuldu. AYM bu konuyla ilgili birçok hükmü inceleyerek iptal etti.</w:t>
      </w:r>
    </w:p>
    <w:p w14:paraId="22A349AB" w14:textId="1A52FBD5" w:rsidR="00856523" w:rsidRPr="00417AC1" w:rsidRDefault="00856523" w:rsidP="00965A34">
      <w:pPr>
        <w:pStyle w:val="SingleTxtG"/>
        <w:spacing w:after="240"/>
        <w:rPr>
          <w:lang w:val="tr-TR"/>
        </w:rPr>
      </w:pPr>
      <w:r w:rsidRPr="00417AC1">
        <w:rPr>
          <w:lang w:val="tr-TR"/>
        </w:rPr>
        <w:t xml:space="preserve">64. </w:t>
      </w:r>
      <w:r w:rsidRPr="00417AC1">
        <w:rPr>
          <w:lang w:val="tr-TR"/>
        </w:rPr>
        <w:tab/>
        <w:t xml:space="preserve">AK'nin tavsiyeleri doğrultusunda, doğrudan yürütülen idari işlemlere ilişkin başvuruları değerlendirmek ve sonuçlandırmak üzere 685 sayılı Kanun Hükmünde Kararname ile “ </w:t>
      </w:r>
      <w:r w:rsidRPr="00417AC1">
        <w:rPr>
          <w:i/>
          <w:lang w:val="tr-TR"/>
        </w:rPr>
        <w:t xml:space="preserve">Olağanüstü Hal Tedbirlerini İnceleme Komisyonu” kurulmuş ve 22 Mayıs 2017 tarihinde faaliyete geçmiştir. </w:t>
      </w:r>
      <w:r w:rsidRPr="00417AC1">
        <w:rPr>
          <w:lang w:val="tr-TR"/>
        </w:rPr>
        <w:t>OHAL kapsamında Kanun Hükmünde Kararnamelerle. OHAL, AİHM tarafından tüketilmesi gereken bir iç hukuk yolu olarak kabul edilmekte ve kararları yargı denetimine tabi tutulmaktadır. 31 Aralık 2021 tarihi itibarıyla YÖK tarafından yapılan incelemeler ve alınan kararlara ilişkin bilgiler aşağıdaki tabloda yer almaktadır: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4"/>
        <w:gridCol w:w="809"/>
        <w:gridCol w:w="1243"/>
        <w:gridCol w:w="909"/>
        <w:gridCol w:w="933"/>
        <w:gridCol w:w="903"/>
        <w:gridCol w:w="919"/>
      </w:tblGrid>
      <w:tr w:rsidR="00965A34" w:rsidRPr="00417AC1" w14:paraId="061DC689" w14:textId="77777777" w:rsidTr="009B4DE3">
        <w:trPr>
          <w:tblHeader/>
        </w:trPr>
        <w:tc>
          <w:tcPr>
            <w:tcW w:w="1624" w:type="dxa"/>
            <w:vMerge w:val="restart"/>
            <w:tcBorders>
              <w:top w:val="single" w:sz="4" w:space="0" w:color="auto"/>
              <w:bottom w:val="single" w:sz="12" w:space="0" w:color="auto"/>
            </w:tcBorders>
            <w:shd w:val="clear" w:color="auto" w:fill="auto"/>
            <w:vAlign w:val="bottom"/>
          </w:tcPr>
          <w:p w14:paraId="6D4DE1A9" w14:textId="77777777" w:rsidR="00856523" w:rsidRPr="00417AC1" w:rsidRDefault="00856523" w:rsidP="00965A34">
            <w:pPr>
              <w:suppressAutoHyphens w:val="0"/>
              <w:spacing w:before="80" w:after="80" w:line="200" w:lineRule="exact"/>
              <w:ind w:right="113"/>
              <w:rPr>
                <w:i/>
                <w:sz w:val="16"/>
                <w:lang w:val="tr-TR"/>
              </w:rPr>
            </w:pPr>
            <w:r w:rsidRPr="00417AC1">
              <w:rPr>
                <w:i/>
                <w:sz w:val="16"/>
                <w:lang w:val="tr-TR"/>
              </w:rPr>
              <w:t>Ders</w:t>
            </w:r>
          </w:p>
        </w:tc>
        <w:tc>
          <w:tcPr>
            <w:tcW w:w="794" w:type="dxa"/>
            <w:vMerge w:val="restart"/>
            <w:tcBorders>
              <w:top w:val="single" w:sz="4" w:space="0" w:color="auto"/>
              <w:bottom w:val="single" w:sz="12" w:space="0" w:color="auto"/>
            </w:tcBorders>
            <w:shd w:val="clear" w:color="auto" w:fill="auto"/>
            <w:vAlign w:val="bottom"/>
          </w:tcPr>
          <w:p w14:paraId="5FD7079B"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Miktar</w:t>
            </w:r>
          </w:p>
        </w:tc>
        <w:tc>
          <w:tcPr>
            <w:tcW w:w="1221" w:type="dxa"/>
            <w:vMerge w:val="restart"/>
            <w:tcBorders>
              <w:top w:val="single" w:sz="4" w:space="0" w:color="auto"/>
              <w:bottom w:val="single" w:sz="12" w:space="0" w:color="auto"/>
            </w:tcBorders>
            <w:shd w:val="clear" w:color="auto" w:fill="auto"/>
            <w:vAlign w:val="bottom"/>
          </w:tcPr>
          <w:p w14:paraId="574B9ED9"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Uygulamalar</w:t>
            </w:r>
          </w:p>
        </w:tc>
        <w:tc>
          <w:tcPr>
            <w:tcW w:w="2696" w:type="dxa"/>
            <w:gridSpan w:val="3"/>
            <w:tcBorders>
              <w:top w:val="single" w:sz="4" w:space="0" w:color="auto"/>
              <w:bottom w:val="single" w:sz="4" w:space="0" w:color="auto"/>
            </w:tcBorders>
            <w:shd w:val="clear" w:color="auto" w:fill="auto"/>
            <w:vAlign w:val="bottom"/>
          </w:tcPr>
          <w:p w14:paraId="0B19C6FF" w14:textId="77777777" w:rsidR="00856523" w:rsidRPr="00417AC1" w:rsidRDefault="00856523" w:rsidP="00965A34">
            <w:pPr>
              <w:suppressAutoHyphens w:val="0"/>
              <w:spacing w:before="80" w:after="80" w:line="200" w:lineRule="exact"/>
              <w:ind w:right="113"/>
              <w:jc w:val="center"/>
              <w:rPr>
                <w:i/>
                <w:sz w:val="16"/>
                <w:lang w:val="tr-TR"/>
              </w:rPr>
            </w:pPr>
            <w:r w:rsidRPr="00417AC1">
              <w:rPr>
                <w:i/>
                <w:sz w:val="16"/>
                <w:lang w:val="tr-TR"/>
              </w:rPr>
              <w:t>Kararlar</w:t>
            </w:r>
          </w:p>
        </w:tc>
        <w:tc>
          <w:tcPr>
            <w:tcW w:w="902" w:type="dxa"/>
            <w:vMerge w:val="restart"/>
            <w:tcBorders>
              <w:top w:val="single" w:sz="4" w:space="0" w:color="auto"/>
              <w:bottom w:val="single" w:sz="12" w:space="0" w:color="auto"/>
            </w:tcBorders>
            <w:shd w:val="clear" w:color="auto" w:fill="auto"/>
            <w:vAlign w:val="bottom"/>
          </w:tcPr>
          <w:p w14:paraId="76F3E825"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Bekleyen Davalar</w:t>
            </w:r>
          </w:p>
        </w:tc>
      </w:tr>
      <w:tr w:rsidR="00965A34" w:rsidRPr="00417AC1" w14:paraId="593C0093" w14:textId="77777777" w:rsidTr="009B4DE3">
        <w:trPr>
          <w:tblHeader/>
        </w:trPr>
        <w:tc>
          <w:tcPr>
            <w:tcW w:w="1624" w:type="dxa"/>
            <w:vMerge/>
            <w:tcBorders>
              <w:top w:val="single" w:sz="12" w:space="0" w:color="auto"/>
              <w:bottom w:val="single" w:sz="12" w:space="0" w:color="auto"/>
            </w:tcBorders>
            <w:shd w:val="clear" w:color="auto" w:fill="auto"/>
            <w:vAlign w:val="bottom"/>
          </w:tcPr>
          <w:p w14:paraId="3F56293F" w14:textId="77777777" w:rsidR="00856523" w:rsidRPr="00417AC1" w:rsidRDefault="00856523" w:rsidP="00965A34">
            <w:pPr>
              <w:suppressAutoHyphens w:val="0"/>
              <w:spacing w:before="40" w:after="40" w:line="220" w:lineRule="exact"/>
              <w:ind w:right="113"/>
              <w:rPr>
                <w:b/>
                <w:sz w:val="18"/>
                <w:lang w:val="tr-TR"/>
              </w:rPr>
            </w:pPr>
          </w:p>
        </w:tc>
        <w:tc>
          <w:tcPr>
            <w:tcW w:w="794" w:type="dxa"/>
            <w:vMerge/>
            <w:tcBorders>
              <w:top w:val="single" w:sz="12" w:space="0" w:color="auto"/>
              <w:bottom w:val="single" w:sz="12" w:space="0" w:color="auto"/>
            </w:tcBorders>
            <w:shd w:val="clear" w:color="auto" w:fill="auto"/>
            <w:vAlign w:val="bottom"/>
          </w:tcPr>
          <w:p w14:paraId="6779278E" w14:textId="77777777" w:rsidR="00856523" w:rsidRPr="00417AC1" w:rsidRDefault="00856523" w:rsidP="00965A34">
            <w:pPr>
              <w:suppressAutoHyphens w:val="0"/>
              <w:spacing w:before="40" w:after="40" w:line="220" w:lineRule="exact"/>
              <w:ind w:right="113"/>
              <w:jc w:val="right"/>
              <w:rPr>
                <w:b/>
                <w:sz w:val="18"/>
                <w:lang w:val="tr-TR"/>
              </w:rPr>
            </w:pPr>
          </w:p>
        </w:tc>
        <w:tc>
          <w:tcPr>
            <w:tcW w:w="1221" w:type="dxa"/>
            <w:vMerge/>
            <w:tcBorders>
              <w:top w:val="single" w:sz="12" w:space="0" w:color="auto"/>
              <w:bottom w:val="single" w:sz="12" w:space="0" w:color="auto"/>
            </w:tcBorders>
            <w:shd w:val="clear" w:color="auto" w:fill="auto"/>
            <w:vAlign w:val="bottom"/>
          </w:tcPr>
          <w:p w14:paraId="2DEF7257" w14:textId="77777777" w:rsidR="00856523" w:rsidRPr="00417AC1" w:rsidRDefault="00856523" w:rsidP="00965A34">
            <w:pPr>
              <w:suppressAutoHyphens w:val="0"/>
              <w:spacing w:before="40" w:after="40" w:line="220" w:lineRule="exact"/>
              <w:ind w:right="113"/>
              <w:jc w:val="right"/>
              <w:rPr>
                <w:b/>
                <w:sz w:val="18"/>
                <w:lang w:val="tr-TR"/>
              </w:rPr>
            </w:pPr>
          </w:p>
        </w:tc>
        <w:tc>
          <w:tcPr>
            <w:tcW w:w="893" w:type="dxa"/>
            <w:tcBorders>
              <w:top w:val="single" w:sz="4" w:space="0" w:color="auto"/>
              <w:bottom w:val="single" w:sz="12" w:space="0" w:color="auto"/>
            </w:tcBorders>
            <w:shd w:val="clear" w:color="auto" w:fill="auto"/>
            <w:vAlign w:val="bottom"/>
          </w:tcPr>
          <w:p w14:paraId="560241D4"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Kabul edilmiş</w:t>
            </w:r>
          </w:p>
        </w:tc>
        <w:tc>
          <w:tcPr>
            <w:tcW w:w="916" w:type="dxa"/>
            <w:tcBorders>
              <w:top w:val="single" w:sz="4" w:space="0" w:color="auto"/>
              <w:bottom w:val="single" w:sz="12" w:space="0" w:color="auto"/>
            </w:tcBorders>
            <w:shd w:val="clear" w:color="auto" w:fill="auto"/>
            <w:vAlign w:val="bottom"/>
          </w:tcPr>
          <w:p w14:paraId="2FA45422"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Reddedilmiş</w:t>
            </w:r>
          </w:p>
        </w:tc>
        <w:tc>
          <w:tcPr>
            <w:tcW w:w="887" w:type="dxa"/>
            <w:tcBorders>
              <w:top w:val="single" w:sz="4" w:space="0" w:color="auto"/>
              <w:bottom w:val="single" w:sz="12" w:space="0" w:color="auto"/>
            </w:tcBorders>
            <w:shd w:val="clear" w:color="auto" w:fill="auto"/>
            <w:vAlign w:val="bottom"/>
          </w:tcPr>
          <w:p w14:paraId="4E3C6854" w14:textId="77777777" w:rsidR="00856523" w:rsidRPr="00417AC1" w:rsidRDefault="00856523" w:rsidP="00965A34">
            <w:pPr>
              <w:suppressAutoHyphens w:val="0"/>
              <w:spacing w:before="80" w:after="80" w:line="200" w:lineRule="exact"/>
              <w:ind w:right="113"/>
              <w:jc w:val="right"/>
              <w:rPr>
                <w:i/>
                <w:sz w:val="16"/>
                <w:lang w:val="tr-TR"/>
              </w:rPr>
            </w:pPr>
            <w:r w:rsidRPr="00417AC1">
              <w:rPr>
                <w:i/>
                <w:sz w:val="16"/>
                <w:lang w:val="tr-TR"/>
              </w:rPr>
              <w:t>Toplam</w:t>
            </w:r>
          </w:p>
        </w:tc>
        <w:tc>
          <w:tcPr>
            <w:tcW w:w="902" w:type="dxa"/>
            <w:vMerge/>
            <w:tcBorders>
              <w:top w:val="single" w:sz="12" w:space="0" w:color="auto"/>
              <w:bottom w:val="single" w:sz="12" w:space="0" w:color="auto"/>
            </w:tcBorders>
            <w:shd w:val="clear" w:color="auto" w:fill="auto"/>
            <w:vAlign w:val="bottom"/>
          </w:tcPr>
          <w:p w14:paraId="7E7B3F65" w14:textId="77777777" w:rsidR="00856523" w:rsidRPr="00417AC1" w:rsidRDefault="00856523" w:rsidP="00965A34">
            <w:pPr>
              <w:suppressAutoHyphens w:val="0"/>
              <w:spacing w:before="80" w:after="80" w:line="200" w:lineRule="exact"/>
              <w:ind w:right="113"/>
              <w:jc w:val="right"/>
              <w:rPr>
                <w:i/>
                <w:sz w:val="16"/>
                <w:lang w:val="tr-TR"/>
              </w:rPr>
            </w:pPr>
          </w:p>
        </w:tc>
      </w:tr>
      <w:tr w:rsidR="009B4DE3" w:rsidRPr="00417AC1" w14:paraId="2B9A06A2" w14:textId="77777777" w:rsidTr="009B4DE3">
        <w:tc>
          <w:tcPr>
            <w:tcW w:w="1624" w:type="dxa"/>
            <w:tcBorders>
              <w:top w:val="single" w:sz="12" w:space="0" w:color="auto"/>
            </w:tcBorders>
            <w:shd w:val="clear" w:color="auto" w:fill="auto"/>
          </w:tcPr>
          <w:p w14:paraId="6DEEDD0B" w14:textId="77777777" w:rsidR="00856523" w:rsidRPr="00417AC1" w:rsidRDefault="00856523" w:rsidP="00965A34">
            <w:pPr>
              <w:suppressAutoHyphens w:val="0"/>
              <w:spacing w:before="40" w:after="40" w:line="220" w:lineRule="exact"/>
              <w:ind w:right="113"/>
              <w:rPr>
                <w:sz w:val="18"/>
                <w:szCs w:val="18"/>
                <w:lang w:val="tr-TR"/>
              </w:rPr>
            </w:pPr>
            <w:r w:rsidRPr="00417AC1">
              <w:rPr>
                <w:sz w:val="18"/>
                <w:szCs w:val="18"/>
                <w:lang w:val="tr-TR"/>
              </w:rPr>
              <w:t>Kamu görevinden çıkarılma</w:t>
            </w:r>
          </w:p>
        </w:tc>
        <w:tc>
          <w:tcPr>
            <w:tcW w:w="794" w:type="dxa"/>
            <w:tcBorders>
              <w:top w:val="single" w:sz="12" w:space="0" w:color="auto"/>
            </w:tcBorders>
            <w:shd w:val="clear" w:color="auto" w:fill="auto"/>
            <w:vAlign w:val="bottom"/>
          </w:tcPr>
          <w:p w14:paraId="7FA2E06F"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125.678</w:t>
            </w:r>
          </w:p>
        </w:tc>
        <w:tc>
          <w:tcPr>
            <w:tcW w:w="1221" w:type="dxa"/>
            <w:tcBorders>
              <w:top w:val="single" w:sz="12" w:space="0" w:color="auto"/>
            </w:tcBorders>
            <w:shd w:val="clear" w:color="auto" w:fill="auto"/>
            <w:vAlign w:val="bottom"/>
          </w:tcPr>
          <w:p w14:paraId="268902D4"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123.078</w:t>
            </w:r>
          </w:p>
        </w:tc>
        <w:tc>
          <w:tcPr>
            <w:tcW w:w="893" w:type="dxa"/>
            <w:tcBorders>
              <w:top w:val="single" w:sz="12" w:space="0" w:color="auto"/>
            </w:tcBorders>
            <w:shd w:val="clear" w:color="auto" w:fill="auto"/>
            <w:vAlign w:val="bottom"/>
          </w:tcPr>
          <w:p w14:paraId="713E4645"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15.841</w:t>
            </w:r>
          </w:p>
        </w:tc>
        <w:tc>
          <w:tcPr>
            <w:tcW w:w="916" w:type="dxa"/>
            <w:tcBorders>
              <w:top w:val="single" w:sz="12" w:space="0" w:color="auto"/>
            </w:tcBorders>
            <w:shd w:val="clear" w:color="auto" w:fill="auto"/>
            <w:vAlign w:val="bottom"/>
          </w:tcPr>
          <w:p w14:paraId="7D1ABB4D"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101.987</w:t>
            </w:r>
          </w:p>
        </w:tc>
        <w:tc>
          <w:tcPr>
            <w:tcW w:w="887" w:type="dxa"/>
            <w:tcBorders>
              <w:top w:val="single" w:sz="12" w:space="0" w:color="auto"/>
            </w:tcBorders>
            <w:shd w:val="clear" w:color="auto" w:fill="auto"/>
            <w:vAlign w:val="bottom"/>
          </w:tcPr>
          <w:p w14:paraId="05906B18"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117.828</w:t>
            </w:r>
          </w:p>
        </w:tc>
        <w:tc>
          <w:tcPr>
            <w:tcW w:w="902" w:type="dxa"/>
            <w:tcBorders>
              <w:top w:val="single" w:sz="12" w:space="0" w:color="auto"/>
            </w:tcBorders>
            <w:shd w:val="clear" w:color="auto" w:fill="auto"/>
            <w:vAlign w:val="bottom"/>
          </w:tcPr>
          <w:p w14:paraId="10691D69"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5.250</w:t>
            </w:r>
          </w:p>
        </w:tc>
      </w:tr>
      <w:tr w:rsidR="009B4DE3" w:rsidRPr="00417AC1" w14:paraId="3FC9249D" w14:textId="77777777" w:rsidTr="009B4DE3">
        <w:tc>
          <w:tcPr>
            <w:tcW w:w="1624" w:type="dxa"/>
            <w:shd w:val="clear" w:color="auto" w:fill="auto"/>
          </w:tcPr>
          <w:p w14:paraId="4EFD4540" w14:textId="77777777" w:rsidR="00856523" w:rsidRPr="00417AC1" w:rsidRDefault="00856523" w:rsidP="00965A34">
            <w:pPr>
              <w:suppressAutoHyphens w:val="0"/>
              <w:spacing w:before="40" w:after="40" w:line="220" w:lineRule="exact"/>
              <w:ind w:right="113"/>
              <w:rPr>
                <w:sz w:val="18"/>
                <w:szCs w:val="18"/>
                <w:lang w:val="tr-TR"/>
              </w:rPr>
            </w:pPr>
            <w:r w:rsidRPr="00417AC1">
              <w:rPr>
                <w:sz w:val="18"/>
                <w:szCs w:val="18"/>
                <w:lang w:val="tr-TR"/>
              </w:rPr>
              <w:t>Emekli personelin rütbelerinin iptali</w:t>
            </w:r>
          </w:p>
        </w:tc>
        <w:tc>
          <w:tcPr>
            <w:tcW w:w="794" w:type="dxa"/>
            <w:shd w:val="clear" w:color="auto" w:fill="auto"/>
            <w:vAlign w:val="bottom"/>
          </w:tcPr>
          <w:p w14:paraId="65567E44"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3.123</w:t>
            </w:r>
          </w:p>
        </w:tc>
        <w:tc>
          <w:tcPr>
            <w:tcW w:w="1221" w:type="dxa"/>
            <w:shd w:val="clear" w:color="auto" w:fill="auto"/>
            <w:vAlign w:val="bottom"/>
          </w:tcPr>
          <w:p w14:paraId="4236E4A0"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2.503</w:t>
            </w:r>
          </w:p>
        </w:tc>
        <w:tc>
          <w:tcPr>
            <w:tcW w:w="893" w:type="dxa"/>
            <w:shd w:val="clear" w:color="auto" w:fill="auto"/>
            <w:vAlign w:val="bottom"/>
          </w:tcPr>
          <w:p w14:paraId="4EED9382"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148</w:t>
            </w:r>
          </w:p>
        </w:tc>
        <w:tc>
          <w:tcPr>
            <w:tcW w:w="916" w:type="dxa"/>
            <w:shd w:val="clear" w:color="auto" w:fill="auto"/>
            <w:vAlign w:val="bottom"/>
          </w:tcPr>
          <w:p w14:paraId="0B40C3B6"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2.319</w:t>
            </w:r>
          </w:p>
        </w:tc>
        <w:tc>
          <w:tcPr>
            <w:tcW w:w="887" w:type="dxa"/>
            <w:shd w:val="clear" w:color="auto" w:fill="auto"/>
            <w:vAlign w:val="bottom"/>
          </w:tcPr>
          <w:p w14:paraId="4EA0DCA8"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2.467</w:t>
            </w:r>
          </w:p>
        </w:tc>
        <w:tc>
          <w:tcPr>
            <w:tcW w:w="902" w:type="dxa"/>
            <w:shd w:val="clear" w:color="auto" w:fill="auto"/>
            <w:vAlign w:val="bottom"/>
          </w:tcPr>
          <w:p w14:paraId="0C3DF413"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36</w:t>
            </w:r>
          </w:p>
        </w:tc>
      </w:tr>
      <w:tr w:rsidR="009B4DE3" w:rsidRPr="00417AC1" w14:paraId="6C241B2B" w14:textId="77777777" w:rsidTr="009B4DE3">
        <w:tc>
          <w:tcPr>
            <w:tcW w:w="1624" w:type="dxa"/>
            <w:shd w:val="clear" w:color="auto" w:fill="auto"/>
          </w:tcPr>
          <w:p w14:paraId="228E7F37" w14:textId="77777777" w:rsidR="00856523" w:rsidRPr="00417AC1" w:rsidRDefault="00856523" w:rsidP="00965A34">
            <w:pPr>
              <w:suppressAutoHyphens w:val="0"/>
              <w:spacing w:before="40" w:after="40" w:line="220" w:lineRule="exact"/>
              <w:ind w:right="113"/>
              <w:rPr>
                <w:sz w:val="18"/>
                <w:szCs w:val="18"/>
                <w:lang w:val="tr-TR"/>
              </w:rPr>
            </w:pPr>
            <w:r w:rsidRPr="00417AC1">
              <w:rPr>
                <w:sz w:val="18"/>
                <w:szCs w:val="18"/>
                <w:lang w:val="tr-TR"/>
              </w:rPr>
              <w:t>Bursun iptali</w:t>
            </w:r>
          </w:p>
        </w:tc>
        <w:tc>
          <w:tcPr>
            <w:tcW w:w="794" w:type="dxa"/>
            <w:shd w:val="clear" w:color="auto" w:fill="auto"/>
            <w:vAlign w:val="bottom"/>
          </w:tcPr>
          <w:p w14:paraId="4FB33533"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270</w:t>
            </w:r>
          </w:p>
        </w:tc>
        <w:tc>
          <w:tcPr>
            <w:tcW w:w="1221" w:type="dxa"/>
            <w:shd w:val="clear" w:color="auto" w:fill="auto"/>
            <w:vAlign w:val="bottom"/>
          </w:tcPr>
          <w:p w14:paraId="290CC5A9"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185</w:t>
            </w:r>
          </w:p>
        </w:tc>
        <w:tc>
          <w:tcPr>
            <w:tcW w:w="893" w:type="dxa"/>
            <w:shd w:val="clear" w:color="auto" w:fill="auto"/>
            <w:vAlign w:val="bottom"/>
          </w:tcPr>
          <w:p w14:paraId="6A07BFF4"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10</w:t>
            </w:r>
          </w:p>
        </w:tc>
        <w:tc>
          <w:tcPr>
            <w:tcW w:w="916" w:type="dxa"/>
            <w:shd w:val="clear" w:color="auto" w:fill="auto"/>
            <w:vAlign w:val="bottom"/>
          </w:tcPr>
          <w:p w14:paraId="465BF27F"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146</w:t>
            </w:r>
          </w:p>
        </w:tc>
        <w:tc>
          <w:tcPr>
            <w:tcW w:w="887" w:type="dxa"/>
            <w:shd w:val="clear" w:color="auto" w:fill="auto"/>
            <w:vAlign w:val="bottom"/>
          </w:tcPr>
          <w:p w14:paraId="5072B978"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156</w:t>
            </w:r>
          </w:p>
        </w:tc>
        <w:tc>
          <w:tcPr>
            <w:tcW w:w="902" w:type="dxa"/>
            <w:shd w:val="clear" w:color="auto" w:fill="auto"/>
            <w:vAlign w:val="bottom"/>
          </w:tcPr>
          <w:p w14:paraId="5C42076F"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29</w:t>
            </w:r>
          </w:p>
        </w:tc>
      </w:tr>
      <w:tr w:rsidR="009B4DE3" w:rsidRPr="00417AC1" w14:paraId="4E5401E2" w14:textId="77777777" w:rsidTr="009B4DE3">
        <w:tc>
          <w:tcPr>
            <w:tcW w:w="1624" w:type="dxa"/>
            <w:tcBorders>
              <w:bottom w:val="single" w:sz="4" w:space="0" w:color="auto"/>
            </w:tcBorders>
            <w:shd w:val="clear" w:color="auto" w:fill="auto"/>
          </w:tcPr>
          <w:p w14:paraId="40332566" w14:textId="77777777" w:rsidR="00856523" w:rsidRPr="00417AC1" w:rsidRDefault="00856523" w:rsidP="00965A34">
            <w:pPr>
              <w:suppressAutoHyphens w:val="0"/>
              <w:spacing w:before="40" w:after="40" w:line="220" w:lineRule="exact"/>
              <w:ind w:right="113"/>
              <w:rPr>
                <w:sz w:val="18"/>
                <w:szCs w:val="18"/>
                <w:lang w:val="tr-TR"/>
              </w:rPr>
            </w:pPr>
            <w:r w:rsidRPr="00417AC1">
              <w:rPr>
                <w:sz w:val="18"/>
                <w:szCs w:val="18"/>
                <w:lang w:val="tr-TR"/>
              </w:rPr>
              <w:t>Kurumların kapatılması</w:t>
            </w:r>
          </w:p>
        </w:tc>
        <w:tc>
          <w:tcPr>
            <w:tcW w:w="794" w:type="dxa"/>
            <w:tcBorders>
              <w:bottom w:val="single" w:sz="4" w:space="0" w:color="auto"/>
            </w:tcBorders>
            <w:shd w:val="clear" w:color="auto" w:fill="auto"/>
            <w:vAlign w:val="bottom"/>
          </w:tcPr>
          <w:p w14:paraId="052E9FBC"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2.761</w:t>
            </w:r>
          </w:p>
        </w:tc>
        <w:tc>
          <w:tcPr>
            <w:tcW w:w="1221" w:type="dxa"/>
            <w:tcBorders>
              <w:bottom w:val="single" w:sz="4" w:space="0" w:color="auto"/>
            </w:tcBorders>
            <w:shd w:val="clear" w:color="auto" w:fill="auto"/>
            <w:vAlign w:val="bottom"/>
          </w:tcPr>
          <w:p w14:paraId="68B2B56D"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1.017</w:t>
            </w:r>
          </w:p>
        </w:tc>
        <w:tc>
          <w:tcPr>
            <w:tcW w:w="893" w:type="dxa"/>
            <w:tcBorders>
              <w:bottom w:val="single" w:sz="4" w:space="0" w:color="auto"/>
            </w:tcBorders>
            <w:shd w:val="clear" w:color="auto" w:fill="auto"/>
            <w:vAlign w:val="bottom"/>
          </w:tcPr>
          <w:p w14:paraId="2AE71767"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61</w:t>
            </w:r>
          </w:p>
        </w:tc>
        <w:tc>
          <w:tcPr>
            <w:tcW w:w="916" w:type="dxa"/>
            <w:tcBorders>
              <w:bottom w:val="single" w:sz="4" w:space="0" w:color="auto"/>
            </w:tcBorders>
            <w:shd w:val="clear" w:color="auto" w:fill="auto"/>
            <w:vAlign w:val="bottom"/>
          </w:tcPr>
          <w:p w14:paraId="7E79871B"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191</w:t>
            </w:r>
          </w:p>
        </w:tc>
        <w:tc>
          <w:tcPr>
            <w:tcW w:w="887" w:type="dxa"/>
            <w:tcBorders>
              <w:bottom w:val="single" w:sz="4" w:space="0" w:color="auto"/>
            </w:tcBorders>
            <w:shd w:val="clear" w:color="auto" w:fill="auto"/>
            <w:vAlign w:val="bottom"/>
          </w:tcPr>
          <w:p w14:paraId="17411BF5"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252</w:t>
            </w:r>
          </w:p>
        </w:tc>
        <w:tc>
          <w:tcPr>
            <w:tcW w:w="902" w:type="dxa"/>
            <w:tcBorders>
              <w:bottom w:val="single" w:sz="4" w:space="0" w:color="auto"/>
            </w:tcBorders>
            <w:shd w:val="clear" w:color="auto" w:fill="auto"/>
            <w:vAlign w:val="bottom"/>
          </w:tcPr>
          <w:p w14:paraId="37DA574D" w14:textId="77777777" w:rsidR="00856523" w:rsidRPr="00417AC1" w:rsidRDefault="00856523" w:rsidP="00965A34">
            <w:pPr>
              <w:suppressAutoHyphens w:val="0"/>
              <w:spacing w:before="40" w:after="40" w:line="220" w:lineRule="exact"/>
              <w:ind w:right="113"/>
              <w:jc w:val="right"/>
              <w:rPr>
                <w:iCs/>
                <w:sz w:val="18"/>
                <w:lang w:val="tr-TR"/>
              </w:rPr>
            </w:pPr>
            <w:r w:rsidRPr="00417AC1">
              <w:rPr>
                <w:iCs/>
                <w:sz w:val="18"/>
                <w:lang w:val="tr-TR"/>
              </w:rPr>
              <w:t>765</w:t>
            </w:r>
          </w:p>
        </w:tc>
      </w:tr>
      <w:tr w:rsidR="009B4DE3" w:rsidRPr="00417AC1" w14:paraId="3D0E52F3" w14:textId="77777777" w:rsidTr="009B4DE3">
        <w:tc>
          <w:tcPr>
            <w:tcW w:w="1624" w:type="dxa"/>
            <w:tcBorders>
              <w:top w:val="single" w:sz="4" w:space="0" w:color="auto"/>
            </w:tcBorders>
            <w:shd w:val="clear" w:color="auto" w:fill="auto"/>
          </w:tcPr>
          <w:p w14:paraId="07D91DF0" w14:textId="77777777" w:rsidR="00856523" w:rsidRPr="00417AC1" w:rsidRDefault="00856523" w:rsidP="00FB4707">
            <w:pPr>
              <w:suppressAutoHyphens w:val="0"/>
              <w:spacing w:before="80" w:after="80" w:line="220" w:lineRule="exact"/>
              <w:ind w:left="283"/>
              <w:rPr>
                <w:b/>
                <w:sz w:val="18"/>
                <w:szCs w:val="18"/>
                <w:lang w:val="tr-TR"/>
              </w:rPr>
            </w:pPr>
            <w:r w:rsidRPr="00417AC1">
              <w:rPr>
                <w:b/>
                <w:sz w:val="18"/>
                <w:szCs w:val="18"/>
                <w:lang w:val="tr-TR"/>
              </w:rPr>
              <w:t>Toplam</w:t>
            </w:r>
          </w:p>
        </w:tc>
        <w:tc>
          <w:tcPr>
            <w:tcW w:w="794" w:type="dxa"/>
            <w:tcBorders>
              <w:top w:val="single" w:sz="4" w:space="0" w:color="auto"/>
            </w:tcBorders>
            <w:shd w:val="clear" w:color="auto" w:fill="auto"/>
            <w:vAlign w:val="bottom"/>
          </w:tcPr>
          <w:p w14:paraId="2F5E23B4"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131.832</w:t>
            </w:r>
          </w:p>
        </w:tc>
        <w:tc>
          <w:tcPr>
            <w:tcW w:w="1221" w:type="dxa"/>
            <w:tcBorders>
              <w:top w:val="single" w:sz="4" w:space="0" w:color="auto"/>
            </w:tcBorders>
            <w:shd w:val="clear" w:color="auto" w:fill="auto"/>
            <w:vAlign w:val="bottom"/>
          </w:tcPr>
          <w:p w14:paraId="498C8DFA"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126.783</w:t>
            </w:r>
          </w:p>
        </w:tc>
        <w:tc>
          <w:tcPr>
            <w:tcW w:w="893" w:type="dxa"/>
            <w:tcBorders>
              <w:top w:val="single" w:sz="4" w:space="0" w:color="auto"/>
            </w:tcBorders>
            <w:shd w:val="clear" w:color="auto" w:fill="auto"/>
            <w:vAlign w:val="bottom"/>
          </w:tcPr>
          <w:p w14:paraId="302F84A4"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16.060</w:t>
            </w:r>
          </w:p>
        </w:tc>
        <w:tc>
          <w:tcPr>
            <w:tcW w:w="916" w:type="dxa"/>
            <w:tcBorders>
              <w:top w:val="single" w:sz="4" w:space="0" w:color="auto"/>
            </w:tcBorders>
            <w:shd w:val="clear" w:color="auto" w:fill="auto"/>
            <w:vAlign w:val="bottom"/>
          </w:tcPr>
          <w:p w14:paraId="2A0052BC"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104.643</w:t>
            </w:r>
          </w:p>
        </w:tc>
        <w:tc>
          <w:tcPr>
            <w:tcW w:w="887" w:type="dxa"/>
            <w:tcBorders>
              <w:top w:val="single" w:sz="4" w:space="0" w:color="auto"/>
            </w:tcBorders>
            <w:shd w:val="clear" w:color="auto" w:fill="auto"/>
            <w:vAlign w:val="bottom"/>
          </w:tcPr>
          <w:p w14:paraId="6972B0E3"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120.703</w:t>
            </w:r>
          </w:p>
        </w:tc>
        <w:tc>
          <w:tcPr>
            <w:tcW w:w="902" w:type="dxa"/>
            <w:tcBorders>
              <w:top w:val="single" w:sz="4" w:space="0" w:color="auto"/>
            </w:tcBorders>
            <w:shd w:val="clear" w:color="auto" w:fill="auto"/>
            <w:vAlign w:val="bottom"/>
          </w:tcPr>
          <w:p w14:paraId="6FF8F650" w14:textId="77777777" w:rsidR="00856523" w:rsidRPr="00417AC1" w:rsidRDefault="00856523" w:rsidP="00FB4707">
            <w:pPr>
              <w:suppressAutoHyphens w:val="0"/>
              <w:spacing w:before="80" w:after="80" w:line="220" w:lineRule="exact"/>
              <w:ind w:right="113"/>
              <w:jc w:val="right"/>
              <w:rPr>
                <w:b/>
                <w:iCs/>
                <w:sz w:val="18"/>
                <w:lang w:val="tr-TR"/>
              </w:rPr>
            </w:pPr>
            <w:r w:rsidRPr="00417AC1">
              <w:rPr>
                <w:b/>
                <w:iCs/>
                <w:sz w:val="18"/>
                <w:lang w:val="tr-TR"/>
              </w:rPr>
              <w:t>6.080</w:t>
            </w:r>
          </w:p>
        </w:tc>
      </w:tr>
    </w:tbl>
    <w:p w14:paraId="6990FFBA" w14:textId="77777777" w:rsidR="00856523" w:rsidRPr="00417AC1" w:rsidRDefault="00856523" w:rsidP="00856523">
      <w:pPr>
        <w:pStyle w:val="SingleTxtG"/>
        <w:spacing w:before="240"/>
        <w:rPr>
          <w:lang w:val="tr-TR"/>
        </w:rPr>
      </w:pPr>
      <w:r w:rsidRPr="00417AC1">
        <w:rPr>
          <w:lang w:val="tr-TR"/>
        </w:rPr>
        <w:t xml:space="preserve">65. </w:t>
      </w:r>
      <w:r w:rsidRPr="00417AC1">
        <w:rPr>
          <w:lang w:val="tr-TR"/>
        </w:rPr>
        <w:tab/>
        <w:t>OHAL 18 Temmuz 2018'de kaldırılmıştır. ICCPR ve AİHM'ye ilişkin istisna bildirimi aynı tarihte usulüne uygun olarak geri çekilmiştir.</w:t>
      </w:r>
    </w:p>
    <w:p w14:paraId="7AAF7F66" w14:textId="77777777" w:rsidR="00856523" w:rsidRPr="00417AC1" w:rsidRDefault="00856523" w:rsidP="00856523">
      <w:pPr>
        <w:pStyle w:val="SingleTxtG"/>
        <w:rPr>
          <w:lang w:val="tr-TR"/>
        </w:rPr>
      </w:pPr>
      <w:r w:rsidRPr="00417AC1">
        <w:rPr>
          <w:lang w:val="tr-TR"/>
        </w:rPr>
        <w:t xml:space="preserve">66. </w:t>
      </w:r>
      <w:r w:rsidRPr="00417AC1">
        <w:rPr>
          <w:lang w:val="tr-TR"/>
        </w:rPr>
        <w:tab/>
        <w:t>Olağan durumda mevcut terör örgütleriyle etkili bir şekilde mücadele etmek ve meşru demokratik toplum düzenine gelecekte yapılabilecek müdahaleleri önlemek amacıyla, temel hak ve özgürlüklerin Anayasal güvence altına alınmasını sağlamak amacıyla 7145 sayılı Kanun 31 Temmuz 2018 tarihinde yürürlüğe girmiştir. Soruşturma, kovuşturma, disiplin ve idari tedbirlere ilişkin zorunlu hükümleri düzenlemek. Kanun ile yargı makamlarına, terörle mücadelede yapılacak soruşturma ve kovuşturmalar açısından belirli bir süre ile sınırlı olmak üzere belirli yetkiler verilmiştir. Kanun, OHAL'de alınan bu geçici tedbirlerin kalıcı olarak dönüştürülmesini öngörmüyordu.</w:t>
      </w:r>
    </w:p>
    <w:p w14:paraId="39B75D6C" w14:textId="77777777" w:rsidR="00856523" w:rsidRPr="00417AC1" w:rsidRDefault="00856523" w:rsidP="00856523">
      <w:pPr>
        <w:pStyle w:val="H4G"/>
        <w:rPr>
          <w:b/>
          <w:lang w:val="tr-TR"/>
        </w:rPr>
      </w:pPr>
      <w:r w:rsidRPr="00417AC1">
        <w:rPr>
          <w:lang w:val="tr-TR"/>
        </w:rPr>
        <w:tab/>
      </w:r>
      <w:r w:rsidRPr="00417AC1">
        <w:rPr>
          <w:lang w:val="tr-TR"/>
        </w:rPr>
        <w:tab/>
        <w:t>COVID-19</w:t>
      </w:r>
    </w:p>
    <w:p w14:paraId="4A87CB54" w14:textId="77777777" w:rsidR="00856523" w:rsidRPr="00417AC1" w:rsidRDefault="00856523" w:rsidP="00856523">
      <w:pPr>
        <w:pStyle w:val="SingleTxtG"/>
        <w:rPr>
          <w:lang w:val="tr-TR"/>
        </w:rPr>
      </w:pPr>
      <w:r w:rsidRPr="00417AC1">
        <w:rPr>
          <w:lang w:val="tr-TR"/>
        </w:rPr>
        <w:t xml:space="preserve">67. </w:t>
      </w:r>
      <w:r w:rsidRPr="00417AC1">
        <w:rPr>
          <w:lang w:val="tr-TR"/>
        </w:rPr>
        <w:tab/>
        <w:t>Türkiye, COVID-19 salgınıyla mücadele kapsamında ICCPR'nin 4. maddesi uyarınca herhangi bir istisna bildiriminde bulunmamıştır. Anayasa, 1593 sayılı Umumi Sağlık Kanunu ve 5442 sayılı İl İdaresi Kanunu ve ilgili diğer mevzuat uyarınca hukukun üstünlüğü ilkesi, kamu hizmetlerinin aksamaması ve halkın ihtiyaçları doğrultusunda tüm tedbirler alınmıştır.</w:t>
      </w:r>
    </w:p>
    <w:p w14:paraId="56904036" w14:textId="69D733AD" w:rsidR="00856523" w:rsidRPr="00417AC1" w:rsidRDefault="00856523" w:rsidP="00856523">
      <w:pPr>
        <w:pStyle w:val="SingleTxtG"/>
        <w:rPr>
          <w:lang w:val="tr-TR"/>
        </w:rPr>
      </w:pPr>
      <w:r w:rsidRPr="00417AC1">
        <w:rPr>
          <w:lang w:val="tr-TR"/>
        </w:rPr>
        <w:t xml:space="preserve">68. </w:t>
      </w:r>
      <w:r w:rsidRPr="00417AC1">
        <w:rPr>
          <w:lang w:val="tr-TR"/>
        </w:rPr>
        <w:tab/>
        <w:t xml:space="preserve">Alınan tedbirler geçiciydi, coğrafi kapsam ve konu ile sınırlıydı ve gereklilik ve orantılılık kriterlerini karşılıyordu. Tüm önlemler düzenli olarak gözden geçirildi ve salgının değişen seyrine göre uyarlandı. Dünya Sağlık Örgütü'nün ve </w:t>
      </w:r>
      <w:r w:rsidR="00BA1A10" w:rsidRPr="00417AC1">
        <w:rPr>
          <w:lang w:val="tr-TR"/>
        </w:rPr>
        <w:t>salgınla mücadeleye özel olarak oluşturulan "COVID-19 Bilimsel Danışma Kurulu"nun önerileri dikkate alındı.</w:t>
      </w:r>
    </w:p>
    <w:p w14:paraId="76FC4AA1" w14:textId="77777777" w:rsidR="00856523" w:rsidRPr="00417AC1" w:rsidRDefault="00856523" w:rsidP="00856523">
      <w:pPr>
        <w:pStyle w:val="SingleTxtG"/>
        <w:rPr>
          <w:lang w:val="tr-TR"/>
        </w:rPr>
      </w:pPr>
      <w:r w:rsidRPr="00417AC1">
        <w:rPr>
          <w:lang w:val="tr-TR"/>
        </w:rPr>
        <w:t xml:space="preserve">69. </w:t>
      </w:r>
      <w:r w:rsidRPr="00417AC1">
        <w:rPr>
          <w:lang w:val="tr-TR"/>
        </w:rPr>
        <w:tab/>
        <w:t>COVİD-19 tedbirleri, Anayasa'nın 125. maddesi uyarınca idarenin her türlü işlemi gibi yargı denetimine tabidir.</w:t>
      </w:r>
    </w:p>
    <w:p w14:paraId="47C7FBB9" w14:textId="41F9C88A" w:rsidR="00856523" w:rsidRPr="00417AC1" w:rsidRDefault="00856523" w:rsidP="00856523">
      <w:pPr>
        <w:pStyle w:val="SingleTxtG"/>
        <w:rPr>
          <w:lang w:val="tr-TR"/>
        </w:rPr>
      </w:pPr>
      <w:r w:rsidRPr="00417AC1">
        <w:rPr>
          <w:lang w:val="tr-TR"/>
        </w:rPr>
        <w:t xml:space="preserve">70. </w:t>
      </w:r>
      <w:r w:rsidRPr="00417AC1">
        <w:rPr>
          <w:lang w:val="tr-TR"/>
        </w:rPr>
        <w:tab/>
        <w:t xml:space="preserve">Sağlıkla ilgili tüm olay ve gelişmeler Sağlık Bakanlığı tarafından yakından takip edilmektedir. Bu kapsamda </w:t>
      </w:r>
      <w:r w:rsidR="00BA1A10" w:rsidRPr="00417AC1">
        <w:rPr>
          <w:lang w:val="tr-TR"/>
        </w:rPr>
        <w:t>2006 yılında hazırlanan “Pandemi Hazırlık Planı” yeni gelişmelere göre güncellenmiş, Nisan 2019'da “Ulusal Pandemi Grip Hazırlık Planı” yayınlanmış ve yerelde “İl Pandemi Grip Hazırlık ve Faaliyet Planları”na ilişkin çalışmalar yürütülmüştür. .</w:t>
      </w:r>
    </w:p>
    <w:p w14:paraId="5E10BE26" w14:textId="77777777" w:rsidR="00856523" w:rsidRPr="00417AC1" w:rsidRDefault="00856523" w:rsidP="00856523">
      <w:pPr>
        <w:pStyle w:val="SingleTxtG"/>
        <w:rPr>
          <w:lang w:val="tr-TR"/>
        </w:rPr>
      </w:pPr>
      <w:r w:rsidRPr="00417AC1">
        <w:rPr>
          <w:lang w:val="tr-TR"/>
        </w:rPr>
        <w:t xml:space="preserve">71. </w:t>
      </w:r>
      <w:r w:rsidRPr="00417AC1">
        <w:rPr>
          <w:lang w:val="tr-TR"/>
        </w:rPr>
        <w:tab/>
        <w:t>Salgının ilk aşamalarında riskli bölgelerden gelen tüm uçuşlar için önlemler alınmış, giriş noktalarında kontroller yapılmış, seyahat, sokağa çıkma yasağı ve toplu aktivite kontrolleri uygulanmış ve online eğitim başlatılmıştır.</w:t>
      </w:r>
    </w:p>
    <w:p w14:paraId="435B9EC2" w14:textId="77777777" w:rsidR="00856523" w:rsidRPr="00417AC1" w:rsidRDefault="00856523" w:rsidP="00856523">
      <w:pPr>
        <w:pStyle w:val="SingleTxtG"/>
        <w:rPr>
          <w:lang w:val="tr-TR"/>
        </w:rPr>
      </w:pPr>
      <w:r w:rsidRPr="00417AC1">
        <w:rPr>
          <w:lang w:val="tr-TR"/>
        </w:rPr>
        <w:lastRenderedPageBreak/>
        <w:t xml:space="preserve">72. </w:t>
      </w:r>
      <w:r w:rsidRPr="00417AC1">
        <w:rPr>
          <w:lang w:val="tr-TR"/>
        </w:rPr>
        <w:tab/>
        <w:t>COVID-19'un başlangıcından bu yana yaygın temas takibi çalışmaları yürütülmektedir. Hastalığın yayılmasını önlemek amacıyla kontrollü sosyal yaşam tedbirleri alınıyor, pozitif vakalara ve temaslılarına izolasyon tedbirleri uygulanıyor.</w:t>
      </w:r>
    </w:p>
    <w:p w14:paraId="2CE641FC" w14:textId="77777777" w:rsidR="00856523" w:rsidRPr="00417AC1" w:rsidRDefault="00856523" w:rsidP="00856523">
      <w:pPr>
        <w:pStyle w:val="SingleTxtG"/>
        <w:rPr>
          <w:lang w:val="tr-TR"/>
        </w:rPr>
      </w:pPr>
      <w:r w:rsidRPr="00417AC1">
        <w:rPr>
          <w:lang w:val="tr-TR"/>
        </w:rPr>
        <w:t xml:space="preserve">73. </w:t>
      </w:r>
      <w:r w:rsidRPr="00417AC1">
        <w:rPr>
          <w:lang w:val="tr-TR"/>
        </w:rPr>
        <w:tab/>
        <w:t>Haziran 2020 itibarıyla maske zorunluluğuna uyurken, fiziki mesafeyi koruyarak ve hijyenle sosyal hayat normalleşmeye başladı.</w:t>
      </w:r>
    </w:p>
    <w:p w14:paraId="187E1B4B" w14:textId="77777777" w:rsidR="00856523" w:rsidRPr="00417AC1" w:rsidRDefault="00856523" w:rsidP="00856523">
      <w:pPr>
        <w:pStyle w:val="H4G"/>
        <w:rPr>
          <w:b/>
          <w:lang w:val="tr-TR"/>
        </w:rPr>
      </w:pPr>
      <w:r w:rsidRPr="00417AC1">
        <w:rPr>
          <w:lang w:val="tr-TR"/>
        </w:rPr>
        <w:tab/>
      </w:r>
      <w:r w:rsidRPr="00417AC1">
        <w:rPr>
          <w:lang w:val="tr-TR"/>
        </w:rPr>
        <w:tab/>
        <w:t>Ceza infaz kurumlarında tedbirler</w:t>
      </w:r>
    </w:p>
    <w:p w14:paraId="38E9CF4F" w14:textId="07552C68" w:rsidR="00856523" w:rsidRPr="00417AC1" w:rsidRDefault="00856523" w:rsidP="00856523">
      <w:pPr>
        <w:pStyle w:val="SingleTxtG"/>
        <w:rPr>
          <w:lang w:val="tr-TR"/>
        </w:rPr>
      </w:pPr>
      <w:r w:rsidRPr="00417AC1">
        <w:rPr>
          <w:lang w:val="tr-TR"/>
        </w:rPr>
        <w:t xml:space="preserve">74. </w:t>
      </w:r>
      <w:r w:rsidRPr="00417AC1">
        <w:rPr>
          <w:lang w:val="tr-TR"/>
        </w:rPr>
        <w:tab/>
      </w:r>
      <w:r w:rsidRPr="00417AC1">
        <w:rPr>
          <w:bCs/>
          <w:lang w:val="tr-TR"/>
        </w:rPr>
        <w:t xml:space="preserve">Kanun no </w:t>
      </w:r>
      <w:r w:rsidRPr="00417AC1">
        <w:rPr>
          <w:lang w:val="tr-TR"/>
        </w:rPr>
        <w:t xml:space="preserve">. </w:t>
      </w:r>
      <w:r w:rsidRPr="00417AC1">
        <w:rPr>
          <w:bCs/>
          <w:lang w:val="tr-TR"/>
        </w:rPr>
        <w:t xml:space="preserve">5275 sayılı </w:t>
      </w:r>
      <w:r w:rsidR="005041FC" w:rsidRPr="00417AC1">
        <w:rPr>
          <w:lang w:val="tr-TR"/>
        </w:rPr>
        <w:t>Ceza ve Güvenlik Tedbirlerinin İnfazı Hakkında Kanun, Ceza İnfaz Kurumlarının Yönetimi ile Ceza ve Güvenlik Tedbirlerinin İnfazı Hakkında Yönetmelik, Umumi Sağlık Kanunu ve Bulaşıcı Hastalıkların Gözetimi ve Kontrolü Esasları Hakkında Yönetmelik ile Bilimsel Danışma Kurulunun Önerileri esas alınmıştır. Ceza infaz kurumlarında alınan tedbirler</w:t>
      </w:r>
    </w:p>
    <w:p w14:paraId="7CC2D2FA" w14:textId="656D53E9" w:rsidR="00856523" w:rsidRPr="00417AC1" w:rsidRDefault="00856523" w:rsidP="00856523">
      <w:pPr>
        <w:pStyle w:val="SingleTxtG"/>
        <w:rPr>
          <w:lang w:val="tr-TR"/>
        </w:rPr>
      </w:pPr>
      <w:r w:rsidRPr="00417AC1">
        <w:rPr>
          <w:lang w:val="tr-TR"/>
        </w:rPr>
        <w:t xml:space="preserve">75. </w:t>
      </w:r>
      <w:r w:rsidRPr="00417AC1">
        <w:rPr>
          <w:lang w:val="tr-TR"/>
        </w:rPr>
        <w:tab/>
        <w:t xml:space="preserve">Cezaevleri enfeksiyon riskinin daha yüksek olması nedeniyle ek önlemlere ihtiyaç duyulmuştur. Bilimsel Danışma Kurulunun önerileri dikkate alınarak </w:t>
      </w:r>
      <w:r w:rsidR="00EF4736" w:rsidRPr="00417AC1">
        <w:rPr>
          <w:lang w:val="tr-TR"/>
        </w:rPr>
        <w:t>:</w:t>
      </w:r>
    </w:p>
    <w:p w14:paraId="5924B362"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Ceza infaz kurumlarına ilk defa kabul edilecek veya başka bir ceza infaz kurumundan transfer edilecek tutuklu/hükümlülere ilk PCR testi yapılarak sonuç alınana kadar ayrı bir bölüme yerleştirilir. Kurumda belirti gösteren tutuklu/hükümlülere de PCR testi yapılıyor. Test sonucunun pozitif çıkması durumunda kişi, hastane veya kurumda ayrı bir hücrede 10 gün karantinaya alınır. Testin negatif çıkması durumunda kişi 10 günlük izolasyonun ardından normal hücrelere yerleştiriliyor.</w:t>
      </w:r>
    </w:p>
    <w:p w14:paraId="7002AC76"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Karantina altında bulunan bireylerin sağlık durumlarının takibi amacıyla sık sık kontroller yapılıyor.</w:t>
      </w:r>
    </w:p>
    <w:p w14:paraId="319F205B"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Ulusal COVİD-19 Aşılama Programı uyarınca tüm tutuklu ve hükümlülerin yanı sıra rızaları alınarak kurum personelinin aşı işlemleri gerçekleştirilmektedir. 3 Haziran 2022 itibarıyla; Hükümlü/tutuklularda ilk doz aşılama oranı yüzde 94,2 oldu. İkinci doz aşılama oranı %88,3, üçüncü doz aşılama oranı ise %56'dır.</w:t>
      </w:r>
    </w:p>
    <w:p w14:paraId="40A915B4"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 xml:space="preserve">7242 sayılı Kanun uyarınca, 14 Nisan 2020 tarihinden itibaren açık ceza infaz kurumlarında bulunan veya açık ceza infaz kurumlarına geçme hakkına sahip hükümlüler ile denetimli serbestlik tedbirleri kapsamında cezalarını çeken hükümlülere 31 Mayıs 2020 tarihine kadar COVİD-19 izni verilmektedir. </w:t>
      </w:r>
      <w:r w:rsidRPr="00417AC1">
        <w:rPr>
          <w:color w:val="000000" w:themeColor="text1"/>
          <w:lang w:val="tr-TR"/>
        </w:rPr>
        <w:t xml:space="preserve">. İzin süreleri daha sonra 31 Mayıs 2022'de en son iki ay olmak üzere sürekli olarak uzatılmıştır. </w:t>
      </w:r>
      <w:r w:rsidRPr="00417AC1">
        <w:rPr>
          <w:lang w:val="tr-TR"/>
        </w:rPr>
        <w:t>2 Haziran 2022 itibarıyla 99.650 hükümlü COVİD-19 iznindedir.</w:t>
      </w:r>
    </w:p>
    <w:p w14:paraId="31B281A5" w14:textId="2062E1CD" w:rsidR="00856523" w:rsidRPr="00417AC1" w:rsidRDefault="00856523" w:rsidP="00856523">
      <w:pPr>
        <w:pStyle w:val="H23G"/>
        <w:rPr>
          <w:lang w:val="tr-TR"/>
        </w:rPr>
      </w:pPr>
      <w:bookmarkStart w:id="10" w:name="_Toc110354332"/>
      <w:r w:rsidRPr="00417AC1">
        <w:rPr>
          <w:lang w:val="tr-TR"/>
        </w:rPr>
        <w:tab/>
      </w:r>
      <w:r w:rsidRPr="00417AC1">
        <w:rPr>
          <w:lang w:val="tr-TR"/>
        </w:rPr>
        <w:tab/>
        <w:t xml:space="preserve">Terörle Mücadele Tedbirleri </w:t>
      </w:r>
      <w:r w:rsidR="002358BF" w:rsidRPr="00417AC1">
        <w:rPr>
          <w:lang w:val="tr-TR"/>
        </w:rPr>
        <w:t>– Madde 2, 4, 6, 7, 9, 14 ve 17</w:t>
      </w:r>
      <w:bookmarkEnd w:id="10"/>
    </w:p>
    <w:p w14:paraId="282455F5" w14:textId="77777777" w:rsidR="00856523" w:rsidRPr="00417AC1" w:rsidRDefault="00856523" w:rsidP="00856523">
      <w:pPr>
        <w:pStyle w:val="SingleTxtG"/>
        <w:rPr>
          <w:lang w:val="tr-TR"/>
        </w:rPr>
      </w:pPr>
      <w:r w:rsidRPr="00417AC1">
        <w:rPr>
          <w:lang w:val="tr-TR"/>
        </w:rPr>
        <w:t xml:space="preserve">76. </w:t>
      </w:r>
      <w:r w:rsidRPr="00417AC1">
        <w:rPr>
          <w:lang w:val="tr-TR"/>
        </w:rPr>
        <w:tab/>
        <w:t>Son 30 yıldır çok sayıda terör örgütüyle mücadele eden Türkiye, terörle ve terörün finansmanıyla etkin mücadelede gerekli ve yeterli imkanları sağlayan kapsamlı mevzuata sahiptir.</w:t>
      </w:r>
    </w:p>
    <w:p w14:paraId="150268A1" w14:textId="77777777" w:rsidR="00856523" w:rsidRPr="00417AC1" w:rsidRDefault="00856523" w:rsidP="00856523">
      <w:pPr>
        <w:pStyle w:val="SingleTxtG"/>
        <w:rPr>
          <w:lang w:val="tr-TR"/>
        </w:rPr>
      </w:pPr>
      <w:r w:rsidRPr="00417AC1">
        <w:rPr>
          <w:lang w:val="tr-TR"/>
        </w:rPr>
        <w:t xml:space="preserve">77. </w:t>
      </w:r>
      <w:r w:rsidRPr="00417AC1">
        <w:rPr>
          <w:lang w:val="tr-TR"/>
        </w:rPr>
        <w:tab/>
        <w:t>Türkiye'de terörle mücadeleye ilişkin temel kanun 3713 sayılı ATL'dir. Kanun, terörizm kavramını, terör suçlusunu, terör suçu oluşturan fiilleri tanımlamakta ve terör suçlarına ilişkin soruşturma, kovuşturma, yargılama ve cezaların infazına ilişkin usulleri Anayasa ve MSHS'ye uygun olarak açık, anlaşılır ve öngörülebilir bir şekilde düzenlemektedir.</w:t>
      </w:r>
    </w:p>
    <w:p w14:paraId="1874AD0D" w14:textId="67F7CF29" w:rsidR="00856523" w:rsidRPr="00417AC1" w:rsidRDefault="00856523" w:rsidP="00856523">
      <w:pPr>
        <w:pStyle w:val="SingleTxtG"/>
        <w:rPr>
          <w:lang w:val="tr-TR"/>
        </w:rPr>
      </w:pPr>
      <w:r w:rsidRPr="00417AC1">
        <w:rPr>
          <w:lang w:val="tr-TR"/>
        </w:rPr>
        <w:t xml:space="preserve">78. </w:t>
      </w:r>
      <w:r w:rsidRPr="00417AC1">
        <w:rPr>
          <w:lang w:val="tr-TR"/>
        </w:rPr>
        <w:tab/>
        <w:t xml:space="preserve">ATL'de 2013 ve 2019 yıllarında yapılan değişikliklerle </w:t>
      </w:r>
      <w:r w:rsidR="00742BC4" w:rsidRPr="00417AC1">
        <w:rPr>
          <w:lang w:val="tr-TR"/>
        </w:rPr>
        <w:t>Kanun kapsamında yalnızca terör örgütlerinin cebir, şiddet veya korkutma yöntemlerini meşrulaştıran, öven veya teşvik eden ifade ve ifadelerin cezalandırılabileceği öngörülmüştür. Haber sınırları dahilinde eleştiri amaçlı yapılan görüş açıklamalarının suç oluşturmadığını ve; Terör örgütüne üye olmamakla birlikte örgüt adına bazı suçları işleyen faillerin, TCK'nın 220/6 maddesi genel hükümleri uyarınca ek ceza almaları engellenmektedir. Böylece hak ve özgürlüklerin meşru kullanımı genişletildi ve ifade özgürlüğü alanında AİHM standartlarına uyum sağlandı.</w:t>
      </w:r>
    </w:p>
    <w:p w14:paraId="4F1F86EA" w14:textId="77777777" w:rsidR="00856523" w:rsidRPr="00417AC1" w:rsidRDefault="00856523" w:rsidP="00856523">
      <w:pPr>
        <w:pStyle w:val="SingleTxtG"/>
        <w:rPr>
          <w:lang w:val="tr-TR"/>
        </w:rPr>
      </w:pPr>
      <w:r w:rsidRPr="00417AC1">
        <w:rPr>
          <w:lang w:val="tr-TR"/>
        </w:rPr>
        <w:t xml:space="preserve">79. </w:t>
      </w:r>
      <w:r w:rsidRPr="00417AC1">
        <w:rPr>
          <w:lang w:val="tr-TR"/>
        </w:rPr>
        <w:tab/>
        <w:t xml:space="preserve">6415 sayılı Terörün Finansmanının Önlenmesi Hakkında Kanun, terörün finansmanı suçunun unsurlarını belirterek yeknesak bir düzenleme getirmiş, bunun önlenmesine ve malvarlığının dondurulmasına ilişkin usul ve esasları belirlemiştir. Kanunun 4'üncü maddesinde terörün finansmanı suçu tanımlanırken, ATL'de terör suçu olarak kabul edilen fiillerin yanı sıra, BM Terörizmin Finansmanının Önlenmesine İlişkin Uluslararası Sözleşme </w:t>
      </w:r>
      <w:r w:rsidRPr="00417AC1">
        <w:rPr>
          <w:lang w:val="tr-TR"/>
        </w:rPr>
        <w:lastRenderedPageBreak/>
        <w:t>ve eklerinde belirtilen faaliyetler de terörün finansmanı suçu kapsamında yer almaktadır. suçun kapsamı.</w:t>
      </w:r>
    </w:p>
    <w:p w14:paraId="0787ABE2" w14:textId="4B4FB223" w:rsidR="00856523" w:rsidRPr="00417AC1" w:rsidRDefault="00856523" w:rsidP="00856523">
      <w:pPr>
        <w:pStyle w:val="SingleTxtG"/>
        <w:rPr>
          <w:lang w:val="tr-TR"/>
        </w:rPr>
      </w:pPr>
      <w:r w:rsidRPr="00417AC1">
        <w:rPr>
          <w:lang w:val="tr-TR"/>
        </w:rPr>
        <w:t xml:space="preserve">80. </w:t>
      </w:r>
      <w:r w:rsidRPr="00417AC1">
        <w:rPr>
          <w:lang w:val="tr-TR"/>
        </w:rPr>
        <w:tab/>
        <w:t xml:space="preserve">Türkiye, 1991 yılından bu yana FATF üyesidir. Türkiye'nin </w:t>
      </w:r>
      <w:r w:rsidR="00742BC4" w:rsidRPr="00417AC1">
        <w:rPr>
          <w:lang w:val="tr-TR"/>
        </w:rPr>
        <w:t>Karşılıklı Değerlendirme Raporu'nun 2019 yılında FATF tarafından kabul edilmesinin ardından, Raporda önerilen eylemlerin ele alınmasına yönelik önemli yasal ve idari adımlar atılmıştır. Raporda belirtilen teknik eksikliklerin giderilmesi amacıyla 7262 sayılı Kitle İmha Silahlarının Finansmanının Önlenmesine Dair Kanun 27 Aralık 2020 tarihinde TBMM tarafından kabul edilmiştir. Kanun ile nükleer silahların yayılmasının finansmanının önlenmesine yönelik mevzuat çıkarılmış olup, çeşitli mevzuatlar yürürlüğe girmiştir. kara paranın aklanmasının ve terörün finansmanının önlenmesi mevzuatında değişiklikler yapıldı.</w:t>
      </w:r>
    </w:p>
    <w:p w14:paraId="7AD9ADA7" w14:textId="68583B33" w:rsidR="00856523" w:rsidRPr="00417AC1" w:rsidRDefault="00856523" w:rsidP="00856523">
      <w:pPr>
        <w:pStyle w:val="SingleTxtG"/>
        <w:rPr>
          <w:lang w:val="tr-TR"/>
        </w:rPr>
      </w:pPr>
      <w:r w:rsidRPr="00417AC1">
        <w:rPr>
          <w:lang w:val="tr-TR"/>
        </w:rPr>
        <w:t xml:space="preserve">81. </w:t>
      </w:r>
      <w:r w:rsidRPr="00417AC1">
        <w:rPr>
          <w:lang w:val="tr-TR"/>
        </w:rPr>
        <w:tab/>
        <w:t xml:space="preserve">7262 sayılı Kanunun derneklere ilişkin hükümleri, örgütlenme özgürlüğüne ilişkin uluslararası ve ulusal mevzuat ve uygulamalar dikkate alınarak, STK'ların da görüşü alınarak uygulanmıştır. Amaç, daha etkin bir denetimle şeffaflığın sağlanması, halkın hayırseverlik duygularının kötüye kullanılmasının önlenmesi ve STK'ların daha etkin ve güvenilir hale getirilmesidir. Kanunun </w:t>
      </w:r>
      <w:r w:rsidR="00742BC4" w:rsidRPr="00417AC1">
        <w:rPr>
          <w:lang w:val="tr-TR"/>
        </w:rPr>
        <w:t>yürürlüğe girmesinden bu yana hiçbir derneğin yöneticisi veya birimi geçici olarak görevden uzaklaştırılmadı ve hiçbir dernek faaliyetten uzaklaştırılmadı.</w:t>
      </w:r>
    </w:p>
    <w:p w14:paraId="0BE7D47C" w14:textId="17E13E17" w:rsidR="00856523" w:rsidRPr="00417AC1" w:rsidRDefault="00856523" w:rsidP="00856523">
      <w:pPr>
        <w:pStyle w:val="SingleTxtG"/>
        <w:rPr>
          <w:lang w:val="tr-TR"/>
        </w:rPr>
      </w:pPr>
      <w:r w:rsidRPr="00417AC1">
        <w:rPr>
          <w:lang w:val="tr-TR"/>
        </w:rPr>
        <w:t xml:space="preserve">82. Terörle mücadele tedbirlerine ilişkin ayrıntılı bilgi </w:t>
      </w:r>
      <w:r w:rsidRPr="00417AC1">
        <w:rPr>
          <w:lang w:val="tr-TR"/>
        </w:rPr>
        <w:tab/>
      </w:r>
      <w:r w:rsidR="00742BC4" w:rsidRPr="00417AC1">
        <w:rPr>
          <w:lang w:val="tr-TR"/>
        </w:rPr>
        <w:t xml:space="preserve">, Hükümet'in BM Özel Prosedürlerinden gelen yazışmalara (AL TUR 13/2020 ve OL TUR 3/2021) verdiği yanıtlarda </w:t>
      </w:r>
      <w:r w:rsidRPr="00417AC1">
        <w:rPr>
          <w:rStyle w:val="FootnoteReference"/>
          <w:szCs w:val="18"/>
          <w:lang w:val="tr-TR"/>
        </w:rPr>
        <w:footnoteReference w:id="2"/>
      </w:r>
      <w:r w:rsidRPr="00417AC1">
        <w:rPr>
          <w:lang w:val="tr-TR"/>
        </w:rPr>
        <w:t>zaten sağlanmıştır .</w:t>
      </w:r>
    </w:p>
    <w:p w14:paraId="57CF536A" w14:textId="5D976649" w:rsidR="00856523" w:rsidRPr="00417AC1" w:rsidRDefault="00856523" w:rsidP="00856523">
      <w:pPr>
        <w:pStyle w:val="H23G"/>
        <w:rPr>
          <w:lang w:val="tr-TR"/>
        </w:rPr>
      </w:pPr>
      <w:bookmarkStart w:id="11" w:name="_Toc110354333"/>
      <w:r w:rsidRPr="00417AC1">
        <w:rPr>
          <w:lang w:val="tr-TR"/>
        </w:rPr>
        <w:tab/>
      </w:r>
      <w:r w:rsidRPr="00417AC1">
        <w:rPr>
          <w:lang w:val="tr-TR"/>
        </w:rPr>
        <w:tab/>
        <w:t xml:space="preserve">Kadına yönelik şiddet </w:t>
      </w:r>
      <w:r w:rsidR="00197EF5" w:rsidRPr="00417AC1">
        <w:rPr>
          <w:lang w:val="tr-TR"/>
        </w:rPr>
        <w:t>– Madde 2, 3, 6, 7 ve 26</w:t>
      </w:r>
      <w:bookmarkEnd w:id="11"/>
    </w:p>
    <w:p w14:paraId="47BFF674" w14:textId="1990EA8B" w:rsidR="00856523" w:rsidRPr="00417AC1" w:rsidRDefault="00856523" w:rsidP="00856523">
      <w:pPr>
        <w:pStyle w:val="H4G"/>
        <w:rPr>
          <w:b/>
          <w:lang w:val="tr-TR"/>
        </w:rPr>
      </w:pPr>
      <w:r w:rsidRPr="00417AC1">
        <w:rPr>
          <w:lang w:val="tr-TR"/>
        </w:rPr>
        <w:tab/>
      </w:r>
      <w:r w:rsidRPr="00417AC1">
        <w:rPr>
          <w:lang w:val="tr-TR"/>
        </w:rPr>
        <w:tab/>
      </w:r>
      <w:r w:rsidR="00BA1A10" w:rsidRPr="00417AC1">
        <w:rPr>
          <w:lang w:val="tr-TR"/>
        </w:rPr>
        <w:t xml:space="preserve">“Namus Cinayetlerine” </w:t>
      </w:r>
      <w:r w:rsidRPr="00417AC1">
        <w:rPr>
          <w:lang w:val="tr-TR"/>
        </w:rPr>
        <w:t>Karşı Tedbirler</w:t>
      </w:r>
    </w:p>
    <w:p w14:paraId="2A5E9E07" w14:textId="03932CD0" w:rsidR="00856523" w:rsidRPr="00417AC1" w:rsidRDefault="00856523" w:rsidP="00856523">
      <w:pPr>
        <w:pStyle w:val="SingleTxtG"/>
        <w:rPr>
          <w:lang w:val="tr-TR"/>
        </w:rPr>
      </w:pPr>
      <w:r w:rsidRPr="00417AC1">
        <w:rPr>
          <w:lang w:val="tr-TR"/>
        </w:rPr>
        <w:t xml:space="preserve">83. </w:t>
      </w:r>
      <w:r w:rsidRPr="00417AC1">
        <w:rPr>
          <w:lang w:val="tr-TR"/>
        </w:rPr>
        <w:tab/>
        <w:t xml:space="preserve">TCK'nın 82. maddesinde, kasten öldürme fiilinin üst ve altsoyu, eş ve kardeşe karşı veya </w:t>
      </w:r>
      <w:r w:rsidR="00BA1A10" w:rsidRPr="00417AC1">
        <w:rPr>
          <w:lang w:val="tr-TR"/>
        </w:rPr>
        <w:t>"gelenek" saikiyle işlenmesi ağırlaştırıcı sebep olarak belirtilmektedir. 12 Mayıs 2022 tarihli değişiklikle bu faktörlere “kadına karşı” suçun işlenmesi de eklendi.</w:t>
      </w:r>
    </w:p>
    <w:p w14:paraId="0AE13CE0" w14:textId="172D2DA5" w:rsidR="00856523" w:rsidRPr="00417AC1" w:rsidRDefault="00856523" w:rsidP="00856523">
      <w:pPr>
        <w:pStyle w:val="SingleTxtG"/>
        <w:rPr>
          <w:lang w:val="tr-TR"/>
        </w:rPr>
      </w:pPr>
      <w:r w:rsidRPr="00417AC1">
        <w:rPr>
          <w:lang w:val="tr-TR"/>
        </w:rPr>
        <w:t xml:space="preserve">84. 4 Temmuz 2006 tarihinde yayımlanan </w:t>
      </w:r>
      <w:r w:rsidRPr="00417AC1">
        <w:rPr>
          <w:lang w:val="tr-TR"/>
        </w:rPr>
        <w:tab/>
      </w:r>
      <w:r w:rsidR="00BA1A10" w:rsidRPr="00417AC1">
        <w:rPr>
          <w:i/>
          <w:lang w:val="tr-TR"/>
        </w:rPr>
        <w:t xml:space="preserve">“Namus Cinayetleri ile Çocuğa ve Kadına Yönelik Şiddet Eylemlerinin Önlenmesi İçin Alınacak Tedbirler </w:t>
      </w:r>
      <w:r w:rsidRPr="00417AC1">
        <w:rPr>
          <w:lang w:val="tr-TR"/>
        </w:rPr>
        <w:t xml:space="preserve">Hakkında Genelge ” de kadına ve çocuklara yönelik şiddetle mücadelede alınacak tedbirlerin belirlenerek, sorumlu kurumların ve “ namus ve gelenek” cinayetleri. Kurumlar sorumluluklarını işbirliği içinde yerine getirmekte ve üçer aylık raporlar aracılığıyla takip edilmektedir. İçişleri Bakanlığı ayrıca </w:t>
      </w:r>
      <w:r w:rsidRPr="00417AC1">
        <w:rPr>
          <w:i/>
          <w:lang w:val="tr-TR"/>
        </w:rPr>
        <w:t xml:space="preserve">“Namus ve Gelenek Cinayetlerinin Önlenmesine Yönelik Tedbirlerin Koordinasyonu”na </w:t>
      </w:r>
      <w:r w:rsidRPr="00417AC1">
        <w:rPr>
          <w:lang w:val="tr-TR"/>
        </w:rPr>
        <w:t>ilişkin Genelge yayınladı .</w:t>
      </w:r>
    </w:p>
    <w:p w14:paraId="7DE9180A" w14:textId="77777777" w:rsidR="00856523" w:rsidRPr="00417AC1" w:rsidRDefault="00856523" w:rsidP="00856523">
      <w:pPr>
        <w:pStyle w:val="H4G"/>
        <w:rPr>
          <w:b/>
          <w:lang w:val="tr-TR"/>
        </w:rPr>
      </w:pPr>
      <w:r w:rsidRPr="00417AC1">
        <w:rPr>
          <w:lang w:val="tr-TR"/>
        </w:rPr>
        <w:tab/>
      </w:r>
      <w:r w:rsidRPr="00417AC1">
        <w:rPr>
          <w:lang w:val="tr-TR"/>
        </w:rPr>
        <w:tab/>
        <w:t>Mağdurlara yardım sağlanmasına ve adalete erişimlerine yönelik tedbirler</w:t>
      </w:r>
    </w:p>
    <w:p w14:paraId="724C4073" w14:textId="77777777" w:rsidR="00856523" w:rsidRPr="00417AC1" w:rsidRDefault="00856523" w:rsidP="00856523">
      <w:pPr>
        <w:pStyle w:val="SingleTxtG"/>
        <w:rPr>
          <w:lang w:val="tr-TR"/>
        </w:rPr>
      </w:pPr>
      <w:r w:rsidRPr="00417AC1">
        <w:rPr>
          <w:lang w:val="tr-TR"/>
        </w:rPr>
        <w:t xml:space="preserve">85. 6284 </w:t>
      </w:r>
      <w:r w:rsidRPr="00417AC1">
        <w:rPr>
          <w:lang w:val="tr-TR"/>
        </w:rPr>
        <w:tab/>
        <w:t>sayılı Ailenin Korunması ve Kadına Karşı Şiddetin Önlenmesine Dair Kanun 20 Mart 2012 tarihinde yürürlüğe girmiştir. Kanunun amacı şiddete maruz kalan veya şiddete uğrayan kadınları, çocukları, aile bireylerini ve ısrarlı takip mağdurlarını korumaktır. şiddet riskinin tespiti ve buna ilişkin usul ve esasların düzenlenmesi. Dil, din, renk, cinsiyet, medeni durum, uyruk ve engellilik ayrımı yapılmaksızın her bireyi kapsar.</w:t>
      </w:r>
    </w:p>
    <w:p w14:paraId="72516FB0" w14:textId="33B298C1" w:rsidR="00856523" w:rsidRPr="00417AC1" w:rsidRDefault="00856523" w:rsidP="00856523">
      <w:pPr>
        <w:pStyle w:val="SingleTxtG"/>
        <w:rPr>
          <w:lang w:val="tr-TR"/>
        </w:rPr>
      </w:pPr>
      <w:r w:rsidRPr="00417AC1">
        <w:rPr>
          <w:lang w:val="tr-TR"/>
        </w:rPr>
        <w:t xml:space="preserve">86. </w:t>
      </w:r>
      <w:r w:rsidRPr="00417AC1">
        <w:rPr>
          <w:lang w:val="tr-TR"/>
        </w:rPr>
        <w:tab/>
        <w:t xml:space="preserve">Kanun, koruyucu ve önleyici olmak üzere iki tür tedbir kararı getirmiştir. Tedbir kararı verilmesi için şiddeti kanıtlayan herhangi bir delil veya rapora gerek yoktur. Mağdur ve mağdurun </w:t>
      </w:r>
      <w:r w:rsidR="00742BC4" w:rsidRPr="00417AC1">
        <w:rPr>
          <w:lang w:val="tr-TR"/>
        </w:rPr>
        <w:t xml:space="preserve">çocuklarına barınma sağlanması ve mağdurun hayati tehlikesinin bulunması halinde geçici koruma sağlanmasına ilişkin olarak yerel valilikler tarafından olağan olarak alınan tedbirler, </w:t>
      </w:r>
      <w:r w:rsidRPr="00417AC1">
        <w:rPr>
          <w:lang w:val="tr-TR"/>
        </w:rPr>
        <w:t xml:space="preserve">gecikme olması halinde kolluk amirleri tarafından </w:t>
      </w:r>
      <w:r w:rsidRPr="00417AC1">
        <w:rPr>
          <w:i/>
          <w:lang w:val="tr-TR"/>
        </w:rPr>
        <w:t xml:space="preserve">resen alınabilmektedir. </w:t>
      </w:r>
      <w:r w:rsidRPr="00417AC1">
        <w:rPr>
          <w:lang w:val="tr-TR"/>
        </w:rPr>
        <w:t xml:space="preserve">riskli olduğu değerlendiriliyor. Aynı şekilde şiddet failleri hakkında, mağdura yönelik şiddet tehdidi, hakaret ve aşağılama gibi tutum ve davranışlarda bulunulmaması, ortak konuttan veya çevresinden derhal ayrılma ve ortak konutun tahsisi yönünde hâkim tarafından olağan olarak alınan tedbirler. korunan kişiye, korunan kişilere ve onların ikametgahlarına, okul ve işyerlerine yaklaşmamak, korunan kişinin şiddete maruz kalmamış olsa bile arkadaşları veya akrabalarına ve çocuklarına yaklaşmamak, izin veren kararlar saklı kalmak kaydıyla </w:t>
      </w:r>
      <w:r w:rsidRPr="00417AC1">
        <w:rPr>
          <w:lang w:val="tr-TR"/>
        </w:rPr>
        <w:lastRenderedPageBreak/>
        <w:t xml:space="preserve">Gecikmenin riskli olduğu durumlarda çocuklarla kişisel bağlantı kolluk amirleri tarafından </w:t>
      </w:r>
      <w:r w:rsidRPr="00417AC1">
        <w:rPr>
          <w:i/>
          <w:lang w:val="tr-TR"/>
        </w:rPr>
        <w:t>resen yapılabilir.</w:t>
      </w:r>
    </w:p>
    <w:p w14:paraId="3936B324" w14:textId="027B3471" w:rsidR="00856523" w:rsidRPr="00417AC1" w:rsidRDefault="00856523" w:rsidP="00856523">
      <w:pPr>
        <w:pStyle w:val="SingleTxtG"/>
        <w:rPr>
          <w:lang w:val="tr-TR"/>
        </w:rPr>
      </w:pPr>
      <w:r w:rsidRPr="00417AC1">
        <w:rPr>
          <w:lang w:val="tr-TR"/>
        </w:rPr>
        <w:t xml:space="preserve">87. </w:t>
      </w:r>
      <w:r w:rsidRPr="00417AC1">
        <w:rPr>
          <w:lang w:val="tr-TR"/>
        </w:rPr>
        <w:tab/>
        <w:t xml:space="preserve">Kanun kapsamında her türlü şiddete yönelik tedbirler öngörülmektedir. Kanunla kurulan ŞÖNİM'lerde ve </w:t>
      </w:r>
      <w:r w:rsidR="00742BC4" w:rsidRPr="00417AC1">
        <w:rPr>
          <w:lang w:val="tr-TR"/>
        </w:rPr>
        <w:t xml:space="preserve">kadın konukevlerinde </w:t>
      </w:r>
      <w:r w:rsidRPr="00417AC1">
        <w:rPr>
          <w:lang w:val="tr-TR"/>
        </w:rPr>
        <w:t>hizmet sunumunda, fiziksel, cinsel, psikolojik veya ekonomik şiddet mağduru olan veya olabilecek kadınlara hiçbir ayrım yapılmaksızın muamele edilmekte ve beyanları esas alınmaktadır .</w:t>
      </w:r>
    </w:p>
    <w:p w14:paraId="02833DD4" w14:textId="28A0910B" w:rsidR="00856523" w:rsidRPr="00417AC1" w:rsidRDefault="00856523" w:rsidP="00856523">
      <w:pPr>
        <w:pStyle w:val="SingleTxtG"/>
        <w:rPr>
          <w:lang w:val="tr-TR"/>
        </w:rPr>
      </w:pPr>
      <w:r w:rsidRPr="00417AC1">
        <w:rPr>
          <w:lang w:val="tr-TR"/>
        </w:rPr>
        <w:t xml:space="preserve">88. 2020-2021 yıllarını kapsayan </w:t>
      </w:r>
      <w:r w:rsidRPr="00417AC1">
        <w:rPr>
          <w:lang w:val="tr-TR"/>
        </w:rPr>
        <w:tab/>
      </w:r>
      <w:r w:rsidR="00942A4A" w:rsidRPr="00417AC1">
        <w:rPr>
          <w:i/>
          <w:iCs/>
          <w:lang w:val="tr-TR"/>
        </w:rPr>
        <w:t xml:space="preserve">“ </w:t>
      </w:r>
      <w:r w:rsidRPr="00417AC1">
        <w:rPr>
          <w:i/>
          <w:lang w:val="tr-TR"/>
        </w:rPr>
        <w:t xml:space="preserve">Kadına Yönelik Şiddetle Mücadele Koordinasyon Planı” </w:t>
      </w:r>
      <w:r w:rsidRPr="00417AC1">
        <w:rPr>
          <w:lang w:val="tr-TR"/>
        </w:rPr>
        <w:t>25 Ekim 2019 tarihi itibarıyla yürürlüğe girmiştir.</w:t>
      </w:r>
    </w:p>
    <w:p w14:paraId="7FE7A802" w14:textId="77777777" w:rsidR="00856523" w:rsidRPr="00417AC1" w:rsidRDefault="00856523" w:rsidP="00856523">
      <w:pPr>
        <w:pStyle w:val="SingleTxtG"/>
        <w:rPr>
          <w:lang w:val="tr-TR"/>
        </w:rPr>
      </w:pPr>
      <w:r w:rsidRPr="00417AC1">
        <w:rPr>
          <w:lang w:val="tr-TR"/>
        </w:rPr>
        <w:t xml:space="preserve">89. </w:t>
      </w:r>
      <w:r w:rsidRPr="00417AC1">
        <w:rPr>
          <w:lang w:val="tr-TR"/>
        </w:rPr>
        <w:tab/>
        <w:t>Yetkililer tarafından verilen tedbir kararlarının etkin bir şekilde uygulanması amacıyla, teknik araç ve yöntemlerle izlemeye ilişkin usul ve esasları belirleyen Takip Sistemlerinin Teknik Yöntemlerle Kullanımına İlişkin Yönetmelik 4 Eylül 2021 tarihinde yürürlüğe girdi.</w:t>
      </w:r>
    </w:p>
    <w:p w14:paraId="75254531" w14:textId="77777777" w:rsidR="00856523" w:rsidRPr="00417AC1" w:rsidRDefault="00856523" w:rsidP="00856523">
      <w:pPr>
        <w:pStyle w:val="SingleTxtG"/>
        <w:rPr>
          <w:lang w:val="tr-TR"/>
        </w:rPr>
      </w:pPr>
      <w:r w:rsidRPr="00417AC1">
        <w:rPr>
          <w:lang w:val="tr-TR"/>
        </w:rPr>
        <w:t xml:space="preserve">90. </w:t>
      </w:r>
      <w:r w:rsidRPr="00417AC1">
        <w:rPr>
          <w:lang w:val="tr-TR"/>
        </w:rPr>
        <w:tab/>
        <w:t>17 Ekim 2019 tarih ve 7188 sayılı Kanunla, özellikle kadın ve çocuklara yönelik istismar suçlarında mağdurların haklarını güçlendirmek ve yargılama sırasında olumsuz etkilenmelerini önlemek amacıyla ilave değişiklikler yapılmıştır. Adliyelerdeki çocuk izleme merkezleri ve adli muayene odaları kanunlaştırılarak, mağdurların ifadelerinin bu merkezlerde uzmanlar tarafından alınması ve usuli nedenlerden dolayı kendi bölgeleri dışında bir yerde bulunma ihtiyacı duyan mağdurların masraflarının karşılanması öngörülmüştür. Devlet tarafından karşılanacaktır.</w:t>
      </w:r>
    </w:p>
    <w:p w14:paraId="31DC724C" w14:textId="713CC592" w:rsidR="00856523" w:rsidRPr="00417AC1" w:rsidRDefault="00856523" w:rsidP="00856523">
      <w:pPr>
        <w:pStyle w:val="SingleTxtG"/>
        <w:rPr>
          <w:lang w:val="tr-TR"/>
        </w:rPr>
      </w:pPr>
      <w:r w:rsidRPr="00417AC1">
        <w:rPr>
          <w:lang w:val="tr-TR"/>
        </w:rPr>
        <w:t xml:space="preserve">91. 10 Haziran 2020 tarihli </w:t>
      </w:r>
      <w:r w:rsidRPr="00417AC1">
        <w:rPr>
          <w:lang w:val="tr-TR"/>
        </w:rPr>
        <w:tab/>
      </w:r>
      <w:r w:rsidR="00BA1A10" w:rsidRPr="00417AC1">
        <w:rPr>
          <w:i/>
          <w:lang w:val="tr-TR"/>
        </w:rPr>
        <w:t xml:space="preserve">“Suç Mağdurlarının Desteklenmesine İlişkin Cumhurbaşkanlığı Kararnamesi” </w:t>
      </w:r>
      <w:r w:rsidRPr="00417AC1">
        <w:rPr>
          <w:lang w:val="tr-TR"/>
        </w:rPr>
        <w:t>ile mağdurlara sunulan hizmet ve yardımlara ilişkin esaslar ile bu hizmetlerin yerine getirilmesine ilişkin görev, yetki ve sorumluluklar düzenlenmiş olup Adliye Başkanlığı Adalet Bakanlığı bünyesinde Destek ve Mağdur Hizmetleri kurulmuştur.</w:t>
      </w:r>
    </w:p>
    <w:p w14:paraId="71198D12" w14:textId="0FEB30E4" w:rsidR="00856523" w:rsidRPr="00417AC1" w:rsidRDefault="00856523" w:rsidP="00856523">
      <w:pPr>
        <w:pStyle w:val="SingleTxtG"/>
        <w:rPr>
          <w:lang w:val="tr-TR"/>
        </w:rPr>
      </w:pPr>
      <w:r w:rsidRPr="00417AC1">
        <w:rPr>
          <w:lang w:val="tr-TR"/>
        </w:rPr>
        <w:t xml:space="preserve">92. </w:t>
      </w:r>
      <w:r w:rsidRPr="00417AC1">
        <w:rPr>
          <w:lang w:val="tr-TR"/>
        </w:rPr>
        <w:tab/>
        <w:t xml:space="preserve">Adli Destek ve Mağdur Hizmetleri Müdürlüğü'nün başlıca görevleri arasında; Mağdurların hakları, yükümlülükleri ve kendilerini bekleyen yargı süreci konusunda bilgilendirilmesi, psiko-sosyal faaliyetlerle desteklenmesi, hassas gruplara yönelik hizmetlerin ve haklarının kullanılmasının iyileştirilmesi, tekrarlanan mağduriyetlere karşı önleyici tedbirlerin alınması, işleyişin etkin ve verimli hale getirilmesine yönelik tedbirlerin alınması adli yardım hizmetlerinin arttırılması ve mağdurların </w:t>
      </w:r>
      <w:r w:rsidR="00742BC4" w:rsidRPr="00417AC1">
        <w:rPr>
          <w:lang w:val="tr-TR"/>
        </w:rPr>
        <w:t>hukuk yollarına ve adalete erişiminin güçlendirilmesi için çalışmalar yapılması. Müdürlük ayrıca, ifadelerinin özel ve elverişli bir ortamda alınması gerekli görülen hassas grupların mağdurlarının rahat ettirilerek yargı sürecine katkı sağlanması amacıyla adliyelerde kurulan görüşme odalarını da işletmektedir.</w:t>
      </w:r>
    </w:p>
    <w:p w14:paraId="7C45E5F8" w14:textId="01F07FA3" w:rsidR="00856523" w:rsidRPr="00417AC1" w:rsidRDefault="00856523" w:rsidP="00856523">
      <w:pPr>
        <w:pStyle w:val="SingleTxtG"/>
        <w:rPr>
          <w:lang w:val="tr-TR"/>
        </w:rPr>
      </w:pPr>
      <w:r w:rsidRPr="00417AC1">
        <w:rPr>
          <w:lang w:val="tr-TR"/>
        </w:rPr>
        <w:t xml:space="preserve">93. </w:t>
      </w:r>
      <w:r w:rsidRPr="00417AC1">
        <w:rPr>
          <w:lang w:val="tr-TR"/>
        </w:rPr>
        <w:tab/>
        <w:t xml:space="preserve">14 Mayıs 2020 tarih ve 7242 sayılı Kanunla kasten yaralama suçunun </w:t>
      </w:r>
      <w:r w:rsidR="00BA1A10" w:rsidRPr="00417AC1">
        <w:rPr>
          <w:lang w:val="tr-TR"/>
        </w:rPr>
        <w:t>“canavarlık saikiyle” işlenmesi ağırlaştırıcı sebep olarak belirtilmiş ve hamile olan veya doğumdan itibaren altı ay geçmemiş kadın şüphelilerin cezai yaptırıma tabi tutulması öngörülmüştür. Tutuklama koşulları mevcut olsa bile tutuklama yerine adli kontrole tabi tutulabilir.</w:t>
      </w:r>
    </w:p>
    <w:p w14:paraId="209453CE" w14:textId="77777777" w:rsidR="00856523" w:rsidRPr="00417AC1" w:rsidRDefault="00856523" w:rsidP="00856523">
      <w:pPr>
        <w:pStyle w:val="SingleTxtG"/>
        <w:rPr>
          <w:lang w:val="tr-TR"/>
        </w:rPr>
      </w:pPr>
      <w:r w:rsidRPr="00417AC1">
        <w:rPr>
          <w:lang w:val="tr-TR"/>
        </w:rPr>
        <w:t xml:space="preserve">94. </w:t>
      </w:r>
      <w:r w:rsidRPr="00417AC1">
        <w:rPr>
          <w:lang w:val="tr-TR"/>
        </w:rPr>
        <w:tab/>
        <w:t>14 Temmuz 2021 tarih ve 7331 sayılı Kanuna, boşanmış eşe karşı kasten öldürme, kasten yaralama, eziyet ve hürriyetinden yoksun bırakma suçlarının işlenmesi ağırlaştırıcı sebep olarak eklenmiştir.</w:t>
      </w:r>
    </w:p>
    <w:p w14:paraId="755FD149" w14:textId="649B9BF1" w:rsidR="00856523" w:rsidRPr="00417AC1" w:rsidRDefault="00856523" w:rsidP="00856523">
      <w:pPr>
        <w:pStyle w:val="SingleTxtG"/>
        <w:rPr>
          <w:lang w:val="tr-TR"/>
        </w:rPr>
      </w:pPr>
      <w:r w:rsidRPr="00417AC1">
        <w:rPr>
          <w:lang w:val="tr-TR"/>
        </w:rPr>
        <w:t xml:space="preserve">95. </w:t>
      </w:r>
      <w:r w:rsidRPr="00417AC1">
        <w:rPr>
          <w:lang w:val="tr-TR"/>
        </w:rPr>
        <w:tab/>
        <w:t xml:space="preserve">12 Mayıs 2022'de yapılan değişiklikle kadınlara yönelik kasten öldürme, kasten yaralama, tehdit, işkence ve eziyet suçlarına ilişkin cezalar artırılmış; ve bir kadına kasten zarar verme suçu tutuklama gerekçesi olarak yer alıyor. Sürekli takip eylemleri ayrı bir suç olarak düzenleniyor; temsilcisi bulunmayan şiddet mağduru kadınlara, talepleri halinde baro tarafından ücretsiz avukat sağlanması sağlanmakta; ihtiyari hafifletme gerekçeleri sınırlıydı; failin </w:t>
      </w:r>
      <w:r w:rsidR="00742BC4" w:rsidRPr="00417AC1">
        <w:rPr>
          <w:lang w:val="tr-TR"/>
        </w:rPr>
        <w:t>duruşmalarda sadece iyi hal indirimi sağlamaya yönelik davranışları (kıyafetine dikkat etmek, takım elbise giymek gibi) dikkate alınmaz.</w:t>
      </w:r>
    </w:p>
    <w:p w14:paraId="77ECDA59" w14:textId="4910AF20" w:rsidR="00856523" w:rsidRPr="00417AC1" w:rsidRDefault="00856523" w:rsidP="00856523">
      <w:pPr>
        <w:pStyle w:val="SingleTxtG"/>
        <w:rPr>
          <w:lang w:val="tr-TR"/>
        </w:rPr>
      </w:pPr>
      <w:r w:rsidRPr="00417AC1">
        <w:rPr>
          <w:lang w:val="tr-TR"/>
        </w:rPr>
        <w:t xml:space="preserve">96. Mağdurlar ayrıca ceza yargılamasında </w:t>
      </w:r>
      <w:r w:rsidRPr="00417AC1">
        <w:rPr>
          <w:lang w:val="tr-TR"/>
        </w:rPr>
        <w:tab/>
      </w:r>
      <w:r w:rsidR="00742BC4" w:rsidRPr="00417AC1">
        <w:rPr>
          <w:lang w:val="tr-TR"/>
        </w:rPr>
        <w:t xml:space="preserve">avukatlık ücreti </w:t>
      </w:r>
      <w:r w:rsidRPr="00417AC1">
        <w:rPr>
          <w:lang w:val="tr-TR"/>
        </w:rPr>
        <w:t xml:space="preserve">dahil her türlü masraftan muaf olarak adli yardımdan da yararlanabilmektedir . </w:t>
      </w:r>
      <w:r w:rsidR="00742BC4" w:rsidRPr="00417AC1">
        <w:rPr>
          <w:lang w:val="tr-TR"/>
        </w:rPr>
        <w:t>Türkçe bilmeyen veya engelli mağdurların tercüman masrafları Devlet tarafından karşılanmaktadır.</w:t>
      </w:r>
    </w:p>
    <w:p w14:paraId="548179D9" w14:textId="408C86BF" w:rsidR="00856523" w:rsidRPr="00417AC1" w:rsidRDefault="00856523" w:rsidP="00856523">
      <w:pPr>
        <w:pStyle w:val="SingleTxtG"/>
        <w:rPr>
          <w:lang w:val="tr-TR"/>
        </w:rPr>
      </w:pPr>
      <w:r w:rsidRPr="00417AC1">
        <w:rPr>
          <w:lang w:val="tr-TR"/>
        </w:rPr>
        <w:t xml:space="preserve">97. </w:t>
      </w:r>
      <w:r w:rsidRPr="00417AC1">
        <w:rPr>
          <w:lang w:val="tr-TR"/>
        </w:rPr>
        <w:tab/>
      </w:r>
      <w:r w:rsidR="009451FC" w:rsidRPr="00417AC1">
        <w:rPr>
          <w:lang w:val="tr-TR"/>
        </w:rPr>
        <w:t xml:space="preserve">Suç mağdurlarının bilgiye erişimlerini güçlendirmek ve uygulamaya ilişkin farkındalıklarını artırmak amacıyla Türkçe, İngilizce ve Arapça dillerinde mevcut olan </w:t>
      </w:r>
      <w:r w:rsidR="00BA1A10" w:rsidRPr="00417AC1">
        <w:rPr>
          <w:lang w:val="tr-TR"/>
        </w:rPr>
        <w:t xml:space="preserve">“ </w:t>
      </w:r>
      <w:hyperlink r:id="rId12" w:history="1">
        <w:r w:rsidRPr="00417AC1">
          <w:rPr>
            <w:rStyle w:val="Hyperlink"/>
            <w:lang w:val="tr-TR"/>
          </w:rPr>
          <w:t xml:space="preserve">https://magdurbilgi.adalet.gov.tr ” </w:t>
        </w:r>
      </w:hyperlink>
      <w:r w:rsidRPr="00417AC1">
        <w:rPr>
          <w:lang w:val="tr-TR"/>
        </w:rPr>
        <w:t xml:space="preserve">web sitesi oluşturulmuştur. </w:t>
      </w:r>
      <w:r w:rsidR="009451FC" w:rsidRPr="00417AC1">
        <w:rPr>
          <w:lang w:val="tr-TR"/>
        </w:rPr>
        <w:t>mekanizmalar.</w:t>
      </w:r>
    </w:p>
    <w:p w14:paraId="062C5ADE" w14:textId="2B6C3BF1" w:rsidR="00856523" w:rsidRPr="00417AC1" w:rsidRDefault="00856523" w:rsidP="00856523">
      <w:pPr>
        <w:pStyle w:val="SingleTxtG"/>
        <w:rPr>
          <w:lang w:val="tr-TR"/>
        </w:rPr>
      </w:pPr>
      <w:r w:rsidRPr="00417AC1">
        <w:rPr>
          <w:lang w:val="tr-TR"/>
        </w:rPr>
        <w:lastRenderedPageBreak/>
        <w:t xml:space="preserve">98. </w:t>
      </w:r>
      <w:r w:rsidRPr="00417AC1">
        <w:rPr>
          <w:lang w:val="tr-TR"/>
        </w:rPr>
        <w:tab/>
      </w:r>
      <w:r w:rsidR="00BA1A10" w:rsidRPr="00417AC1">
        <w:rPr>
          <w:i/>
          <w:lang w:val="tr-TR"/>
        </w:rPr>
        <w:t xml:space="preserve">“Türkiye'de Herkesin Adalete Erişimi İçin Adli Yardım Uygulamalarının Geliştirilmesinin Desteklenmesi Projesi” </w:t>
      </w:r>
      <w:r w:rsidRPr="00417AC1">
        <w:rPr>
          <w:lang w:val="tr-TR"/>
        </w:rPr>
        <w:t xml:space="preserve">ile dezavantajlı gruplara adli yardım sağlayan avukatlara kapasitelerini geliştirmeye yönelik eğitimler verilmiş, görevlendirilen avukatlar için performans kriterleri geliştirilmiştir. savunma danışmanları. Ankara Barosu'nun başarılı bir örnek olarak sunduğu, şiddet mağdurlarına yönelik adli yardım ve farkındalık yaratma projesi olan “ </w:t>
      </w:r>
      <w:r w:rsidRPr="00417AC1">
        <w:rPr>
          <w:i/>
          <w:lang w:val="tr-TR"/>
        </w:rPr>
        <w:t xml:space="preserve">Gelincik </w:t>
      </w:r>
      <w:r w:rsidR="00BA1A10" w:rsidRPr="00417AC1">
        <w:rPr>
          <w:lang w:val="tr-TR"/>
        </w:rPr>
        <w:t>” sistemi, avukatların mesleki deneyimlerini artırmak amacıyla diğer pilot barolarda da hayata geçirildi. kadına yönelik şiddet vakaları. Pilot barolarda bu alanda eğitimli avukatların görev yaptığı “Şiddet Mağdurları Destek Merkezleri” 24 Şubat 2022 tarihinde açıldı.</w:t>
      </w:r>
    </w:p>
    <w:p w14:paraId="6EA6B2BD" w14:textId="3DDD4F0E" w:rsidR="00856523" w:rsidRPr="00417AC1" w:rsidRDefault="00856523" w:rsidP="00856523">
      <w:pPr>
        <w:pStyle w:val="SingleTxtG"/>
        <w:rPr>
          <w:lang w:val="tr-TR"/>
        </w:rPr>
      </w:pPr>
      <w:r w:rsidRPr="00417AC1">
        <w:rPr>
          <w:lang w:val="tr-TR"/>
        </w:rPr>
        <w:t xml:space="preserve">99. </w:t>
      </w:r>
      <w:r w:rsidRPr="00417AC1">
        <w:rPr>
          <w:lang w:val="tr-TR"/>
        </w:rPr>
        <w:tab/>
      </w:r>
      <w:r w:rsidR="00BA1A10" w:rsidRPr="00417AC1">
        <w:rPr>
          <w:i/>
          <w:iCs/>
          <w:lang w:val="tr-TR"/>
        </w:rPr>
        <w:t xml:space="preserve">“Mağdurlara Yaklaşım </w:t>
      </w:r>
      <w:r w:rsidRPr="00417AC1">
        <w:rPr>
          <w:lang w:val="tr-TR"/>
        </w:rPr>
        <w:t>Rehberi ”</w:t>
      </w:r>
      <w:r w:rsidRPr="00417AC1">
        <w:rPr>
          <w:i/>
          <w:iCs/>
          <w:lang w:val="tr-TR"/>
        </w:rPr>
        <w:t xml:space="preserve"> </w:t>
      </w:r>
      <w:r w:rsidRPr="00417AC1">
        <w:rPr>
          <w:lang w:val="tr-TR"/>
        </w:rPr>
        <w:t>kolluk kuvvetleri, sağlık çalışanları ve yargı mensuplarına yönelik hazırlanmış, mağdurlara yaklaşıma ilişkin temel standart ve ilkeleri tek bir belgede toplamak, mağdurlarla ilgilenen hizmet sağlayıcılara uygulamalarında rehberlik etmek, saygılı ve duyarlı bir yaklaşım sergilemelerine destek olmak amacıyla hazırlanmıştır. mağdurların haklarına.</w:t>
      </w:r>
    </w:p>
    <w:p w14:paraId="0C23F06E" w14:textId="77777777" w:rsidR="00856523" w:rsidRPr="00417AC1" w:rsidRDefault="00856523" w:rsidP="00856523">
      <w:pPr>
        <w:pStyle w:val="H4G"/>
        <w:rPr>
          <w:b/>
          <w:lang w:val="tr-TR"/>
        </w:rPr>
      </w:pPr>
      <w:r w:rsidRPr="00417AC1">
        <w:rPr>
          <w:lang w:val="tr-TR"/>
        </w:rPr>
        <w:tab/>
      </w:r>
      <w:r w:rsidRPr="00417AC1">
        <w:rPr>
          <w:lang w:val="tr-TR"/>
        </w:rPr>
        <w:tab/>
        <w:t>Kadına Yönelik Şiddetle Mücadele Ulusal Planları</w:t>
      </w:r>
    </w:p>
    <w:p w14:paraId="59CB5180" w14:textId="5A178E0D" w:rsidR="00856523" w:rsidRPr="00417AC1" w:rsidRDefault="00856523" w:rsidP="00856523">
      <w:pPr>
        <w:pStyle w:val="SingleTxtG"/>
        <w:rPr>
          <w:lang w:val="tr-TR"/>
        </w:rPr>
      </w:pPr>
      <w:r w:rsidRPr="00417AC1">
        <w:rPr>
          <w:lang w:val="tr-TR"/>
        </w:rPr>
        <w:t xml:space="preserve">100. 2019-2023 yıllarını kapsayan 11. Ulusal Kalkınma </w:t>
      </w:r>
      <w:r w:rsidRPr="00417AC1">
        <w:rPr>
          <w:lang w:val="tr-TR"/>
        </w:rPr>
        <w:tab/>
        <w:t>Planı'nda kadınlara yönelik her türlü ayrımcılığın önlenmesi, kadınların toplumsal yaşamın her alanında hak ve fırsatlardan eşit şekilde yararlanmasının sağlanması ve kadının güçlendirilmesi temel amaç olarak belirlenmiştir. Plan, zorla çocuk evlilikleri ve her türlü istismar konusunda toplumsal farkındalığın artırılmasını hızlandırmayı, koruyucu ve önleyici hizmetlerin etkinliğini ve kapasitesini artırmayı hedefliyor.</w:t>
      </w:r>
    </w:p>
    <w:p w14:paraId="68027569" w14:textId="65B9953B" w:rsidR="00856523" w:rsidRPr="00417AC1" w:rsidRDefault="00856523" w:rsidP="00856523">
      <w:pPr>
        <w:pStyle w:val="SingleTxtG"/>
        <w:rPr>
          <w:lang w:val="tr-TR"/>
        </w:rPr>
      </w:pPr>
      <w:r w:rsidRPr="00417AC1">
        <w:rPr>
          <w:lang w:val="tr-TR"/>
        </w:rPr>
        <w:t xml:space="preserve">101. </w:t>
      </w:r>
      <w:r w:rsidRPr="00417AC1">
        <w:rPr>
          <w:lang w:val="tr-TR"/>
        </w:rPr>
        <w:tab/>
        <w:t xml:space="preserve">Özellikle kadına yönelik şiddeti ele alan </w:t>
      </w:r>
      <w:r w:rsidR="00BA1A10" w:rsidRPr="00417AC1">
        <w:rPr>
          <w:lang w:val="tr-TR"/>
        </w:rPr>
        <w:t xml:space="preserve">“ </w:t>
      </w:r>
      <w:r w:rsidRPr="00417AC1">
        <w:rPr>
          <w:i/>
          <w:lang w:val="tr-TR"/>
        </w:rPr>
        <w:t xml:space="preserve">Kadına Yönelik Şiddetle Mücadele Ulusal Eylem Planları </w:t>
      </w:r>
      <w:r w:rsidR="00BA1A10" w:rsidRPr="00417AC1">
        <w:rPr>
          <w:lang w:val="tr-TR"/>
        </w:rPr>
        <w:t>” 2007–2010, 2012–2015 ve 2016–2020 yıllarını kapsayan üç ayrı dönemde uygulanmıştır.</w:t>
      </w:r>
    </w:p>
    <w:p w14:paraId="415F3C26" w14:textId="295ABEFC" w:rsidR="00856523" w:rsidRPr="00417AC1" w:rsidRDefault="00856523" w:rsidP="00856523">
      <w:pPr>
        <w:pStyle w:val="SingleTxtG"/>
        <w:rPr>
          <w:lang w:val="tr-TR"/>
        </w:rPr>
      </w:pPr>
      <w:r w:rsidRPr="00417AC1">
        <w:rPr>
          <w:lang w:val="tr-TR"/>
        </w:rPr>
        <w:t xml:space="preserve">102. 2021-2025 yıllarını kapsayan 4. Eylem Planının </w:t>
      </w:r>
      <w:r w:rsidRPr="00417AC1">
        <w:rPr>
          <w:lang w:val="tr-TR"/>
        </w:rPr>
        <w:tab/>
        <w:t xml:space="preserve">uygulaması devam etmektedir. “ </w:t>
      </w:r>
      <w:r w:rsidRPr="00417AC1">
        <w:rPr>
          <w:i/>
          <w:lang w:val="tr-TR"/>
        </w:rPr>
        <w:t xml:space="preserve">Şiddete sıfır tolerans ” </w:t>
      </w:r>
      <w:r w:rsidRPr="00417AC1">
        <w:rPr>
          <w:lang w:val="tr-TR"/>
        </w:rPr>
        <w:t xml:space="preserve">ilkesi doğrultusunda “ </w:t>
      </w:r>
      <w:r w:rsidRPr="00417AC1">
        <w:rPr>
          <w:i/>
          <w:lang w:val="tr-TR"/>
        </w:rPr>
        <w:t xml:space="preserve">Adalete ve mevzuata erişim </w:t>
      </w:r>
      <w:r w:rsidR="00BA1A10" w:rsidRPr="00417AC1">
        <w:rPr>
          <w:lang w:val="tr-TR"/>
        </w:rPr>
        <w:t xml:space="preserve">”, “ </w:t>
      </w:r>
      <w:r w:rsidRPr="00417AC1">
        <w:rPr>
          <w:i/>
          <w:lang w:val="tr-TR"/>
        </w:rPr>
        <w:t xml:space="preserve">Politika ve koordinasyon </w:t>
      </w:r>
      <w:r w:rsidR="00BA1A10" w:rsidRPr="00417AC1">
        <w:rPr>
          <w:lang w:val="tr-TR"/>
        </w:rPr>
        <w:t xml:space="preserve">”, “ </w:t>
      </w:r>
      <w:r w:rsidRPr="00417AC1">
        <w:rPr>
          <w:i/>
          <w:lang w:val="tr-TR"/>
        </w:rPr>
        <w:t xml:space="preserve">Koruyucu ve önleyici hizmetler </w:t>
      </w:r>
      <w:r w:rsidR="00BA1A10" w:rsidRPr="00417AC1">
        <w:rPr>
          <w:lang w:val="tr-TR"/>
        </w:rPr>
        <w:t xml:space="preserve">” olmak üzere 5 ana hedef, 28 strateji ve 227 faaliyeti kapsayan Plan, , “ </w:t>
      </w:r>
      <w:r w:rsidRPr="00417AC1">
        <w:rPr>
          <w:i/>
          <w:lang w:val="tr-TR"/>
        </w:rPr>
        <w:t xml:space="preserve">Sosyal farkındalık </w:t>
      </w:r>
      <w:r w:rsidR="00BA1A10" w:rsidRPr="00417AC1">
        <w:rPr>
          <w:lang w:val="tr-TR"/>
        </w:rPr>
        <w:t xml:space="preserve">” ve “ </w:t>
      </w:r>
      <w:r w:rsidRPr="00417AC1">
        <w:rPr>
          <w:i/>
          <w:lang w:val="tr-TR"/>
        </w:rPr>
        <w:t xml:space="preserve">Veri ve istatistikler </w:t>
      </w:r>
      <w:r w:rsidR="00BA1A10" w:rsidRPr="00417AC1">
        <w:rPr>
          <w:lang w:val="tr-TR"/>
        </w:rPr>
        <w:t>”. Plan kamuoyuna açık olup detayları Aile ve Sosyal Hizmetler Bakanlığı'nın internet sitesinde yer alıyor.</w:t>
      </w:r>
    </w:p>
    <w:p w14:paraId="7D935312" w14:textId="6AA143FF" w:rsidR="00856523" w:rsidRPr="00417AC1" w:rsidRDefault="00856523" w:rsidP="00856523">
      <w:pPr>
        <w:pStyle w:val="SingleTxtG"/>
        <w:rPr>
          <w:lang w:val="tr-TR"/>
        </w:rPr>
      </w:pPr>
      <w:r w:rsidRPr="00417AC1">
        <w:rPr>
          <w:lang w:val="tr-TR"/>
        </w:rPr>
        <w:t xml:space="preserve">103. </w:t>
      </w:r>
      <w:r w:rsidRPr="00417AC1">
        <w:rPr>
          <w:lang w:val="tr-TR"/>
        </w:rPr>
        <w:tab/>
        <w:t>İHEP kadına yönelik şiddetle mücadeleye yönelik somut adımları da içermektedir.</w:t>
      </w:r>
      <w:r w:rsidRPr="00417AC1">
        <w:rPr>
          <w:rStyle w:val="FootnoteReference"/>
          <w:szCs w:val="18"/>
          <w:lang w:val="tr-TR"/>
        </w:rPr>
        <w:footnoteReference w:id="3"/>
      </w:r>
      <w:r w:rsidRPr="00417AC1">
        <w:rPr>
          <w:lang w:val="tr-TR"/>
        </w:rPr>
        <w:t xml:space="preserve"> </w:t>
      </w:r>
    </w:p>
    <w:p w14:paraId="17E6CE81" w14:textId="77777777" w:rsidR="00856523" w:rsidRPr="00417AC1" w:rsidRDefault="00856523" w:rsidP="00856523">
      <w:pPr>
        <w:pStyle w:val="H4G"/>
        <w:rPr>
          <w:b/>
          <w:lang w:val="tr-TR"/>
        </w:rPr>
      </w:pPr>
      <w:r w:rsidRPr="00417AC1">
        <w:rPr>
          <w:lang w:val="tr-TR"/>
        </w:rPr>
        <w:tab/>
      </w:r>
      <w:r w:rsidRPr="00417AC1">
        <w:rPr>
          <w:lang w:val="tr-TR"/>
        </w:rPr>
        <w:tab/>
        <w:t>İdari Tedbir ve Hizmetler, Araştırma ve Projeler</w:t>
      </w:r>
    </w:p>
    <w:p w14:paraId="0C8CF32C" w14:textId="4DAB71EA" w:rsidR="00856523" w:rsidRPr="00417AC1" w:rsidRDefault="00856523" w:rsidP="00856523">
      <w:pPr>
        <w:pStyle w:val="SingleTxtG"/>
        <w:rPr>
          <w:lang w:val="tr-TR"/>
        </w:rPr>
      </w:pPr>
      <w:r w:rsidRPr="00417AC1">
        <w:rPr>
          <w:lang w:val="tr-TR"/>
        </w:rPr>
        <w:t xml:space="preserve">104. </w:t>
      </w:r>
      <w:r w:rsidRPr="00417AC1">
        <w:rPr>
          <w:lang w:val="tr-TR"/>
        </w:rPr>
        <w:tab/>
        <w:t xml:space="preserve">KADES (Kadın </w:t>
      </w:r>
      <w:r w:rsidR="00742BC4" w:rsidRPr="00417AC1">
        <w:rPr>
          <w:lang w:val="tr-TR"/>
        </w:rPr>
        <w:t>Acil Destek) uygulaması ile şiddete maruz kalan veya şiddete maruz kalma ihtimali olan kadınlar, cep telefonlarındaki cihaz konum bilgisini açarak tek dokunuşla Acil Çağrı Merkezi'ne ulaşabiliyor ve Olay yerine en yakın birim veya devriye sevk edilerek olaya müdahale edilir. 1 Temmuz 2022 itibarıyla uygulamayı 3.685.251 kişi indirdi ve 405.014 kadın acil durum sistemini kullandı.</w:t>
      </w:r>
    </w:p>
    <w:p w14:paraId="16599D54" w14:textId="40C57A63" w:rsidR="00856523" w:rsidRPr="00417AC1" w:rsidRDefault="00856523" w:rsidP="00856523">
      <w:pPr>
        <w:pStyle w:val="SingleTxtG"/>
        <w:rPr>
          <w:lang w:val="tr-TR"/>
        </w:rPr>
      </w:pPr>
      <w:r w:rsidRPr="00417AC1">
        <w:rPr>
          <w:lang w:val="tr-TR"/>
        </w:rPr>
        <w:t xml:space="preserve">105. </w:t>
      </w:r>
      <w:r w:rsidRPr="00417AC1">
        <w:rPr>
          <w:lang w:val="tr-TR"/>
        </w:rPr>
        <w:tab/>
        <w:t xml:space="preserve">Adalet Bakanlığının 17 Aralık 2019 tarihli </w:t>
      </w:r>
      <w:r w:rsidR="00BA1A10" w:rsidRPr="00417AC1">
        <w:rPr>
          <w:i/>
          <w:iCs/>
          <w:lang w:val="tr-TR"/>
        </w:rPr>
        <w:t xml:space="preserve">“Ailenin Korunması ve Kadına Karşı Şiddetin Önlenmesine Dair Kanunun Uygulanmasına İlişkin Genelgesi” ile </w:t>
      </w:r>
      <w:r w:rsidRPr="00417AC1">
        <w:rPr>
          <w:lang w:val="tr-TR"/>
        </w:rPr>
        <w:t>Cumhuriyet Başsavcılığı bünyesinde aile içi şiddet suçlarından sorumlu soruşturma büroları kurulmuştur. Uzman savcılar tarafından soruşturmaların yürütülmesi amacıyla oluşturulmuştur.</w:t>
      </w:r>
    </w:p>
    <w:p w14:paraId="06F557CA" w14:textId="7B490686" w:rsidR="00856523" w:rsidRPr="00417AC1" w:rsidRDefault="00856523" w:rsidP="00856523">
      <w:pPr>
        <w:pStyle w:val="SingleTxtG"/>
        <w:rPr>
          <w:lang w:val="tr-TR"/>
        </w:rPr>
      </w:pPr>
      <w:r w:rsidRPr="00417AC1">
        <w:rPr>
          <w:lang w:val="tr-TR"/>
        </w:rPr>
        <w:t xml:space="preserve">106. </w:t>
      </w:r>
      <w:r w:rsidRPr="00417AC1">
        <w:rPr>
          <w:lang w:val="tr-TR"/>
        </w:rPr>
        <w:tab/>
        <w:t xml:space="preserve">İçişleri Bakanlığının 1 Ocak 2020 tarihli Genelgesi ile </w:t>
      </w:r>
      <w:r w:rsidR="00BA1A10" w:rsidRPr="00417AC1">
        <w:rPr>
          <w:lang w:val="tr-TR"/>
        </w:rPr>
        <w:t xml:space="preserve">tüm il emniyet müdürlüklerine bağlı “ </w:t>
      </w:r>
      <w:r w:rsidRPr="00417AC1">
        <w:rPr>
          <w:i/>
          <w:lang w:val="tr-TR"/>
        </w:rPr>
        <w:t xml:space="preserve">Aile İçi Şiddet ve Kadına Yönelik Şiddetle Mücadele Büro Amirliği ” ile </w:t>
      </w:r>
      <w:r w:rsidR="00BA1A10" w:rsidRPr="00417AC1">
        <w:rPr>
          <w:lang w:val="tr-TR"/>
        </w:rPr>
        <w:t xml:space="preserve">il jandarma komutanlıklarına bağlı “ </w:t>
      </w:r>
      <w:r w:rsidRPr="00417AC1">
        <w:rPr>
          <w:i/>
          <w:lang w:val="tr-TR"/>
        </w:rPr>
        <w:t xml:space="preserve">Aile İçi Şiddetle Mücadele ve Çocuk Şube/Apartman Dairesi Başkanlığı ” kurulmuştur. </w:t>
      </w:r>
      <w:r w:rsidR="00BA1A10" w:rsidRPr="00417AC1">
        <w:rPr>
          <w:lang w:val="tr-TR"/>
        </w:rPr>
        <w:t>soruşturma ofisleri için tamamlayıcı birimler olarak oluşturulmuştur.</w:t>
      </w:r>
    </w:p>
    <w:p w14:paraId="0D35A3AC" w14:textId="77777777" w:rsidR="00856523" w:rsidRPr="00417AC1" w:rsidRDefault="00856523" w:rsidP="00856523">
      <w:pPr>
        <w:pStyle w:val="SingleTxtG"/>
        <w:rPr>
          <w:lang w:val="tr-TR"/>
        </w:rPr>
      </w:pPr>
      <w:r w:rsidRPr="00417AC1">
        <w:rPr>
          <w:lang w:val="tr-TR"/>
        </w:rPr>
        <w:t xml:space="preserve">107. </w:t>
      </w:r>
      <w:r w:rsidRPr="00417AC1">
        <w:rPr>
          <w:lang w:val="tr-TR"/>
        </w:rPr>
        <w:tab/>
        <w:t>6284 sayılı Kanunda öngörülen koruyucu ve önleyici tedbir kararlarının yeknesak değerlendirilmesi ve etkin takibinin sağlanması amacıyla HSK tarafından ihtisas mahkemeleri belirlenerek faaliyete geçmiştir.</w:t>
      </w:r>
    </w:p>
    <w:p w14:paraId="5DD4B54E" w14:textId="7415401D" w:rsidR="00856523" w:rsidRPr="00417AC1" w:rsidRDefault="00856523" w:rsidP="00856523">
      <w:pPr>
        <w:pStyle w:val="SingleTxtG"/>
        <w:rPr>
          <w:lang w:val="tr-TR"/>
        </w:rPr>
      </w:pPr>
      <w:r w:rsidRPr="00417AC1">
        <w:rPr>
          <w:lang w:val="tr-TR"/>
        </w:rPr>
        <w:lastRenderedPageBreak/>
        <w:t xml:space="preserve">108. </w:t>
      </w:r>
      <w:r w:rsidRPr="00417AC1">
        <w:rPr>
          <w:lang w:val="tr-TR"/>
        </w:rPr>
        <w:tab/>
        <w:t xml:space="preserve">6284 sayılı Kanunla kurulan ŞÖNİM'ler, tercihen kadın olmak üzere uzman personelin istihdam edildiği, şiddetin önlenmesi, koruyucu ve önleyici tedbirlerin etkin bir şekilde uygulanmasına yönelik 7/24 destek ve izleme hizmetlerinin verildiği merkezlerdir. . Tüm illerde kurulan ŞÖNİM'ler psiko-sosyal, hukuki, eğitimsel, mesleki, tıbbi, ekonomik destek ile rehberlik ve danışmanlık hizmetlerinin yanı sıra şiddet mağdurlarına yönelik alınan tedbirlerin takibi ve takibini de gerçekleştirmektedir. ŞÖNİM’lere şiddete maruz kalan ya da maruz kalma riski taşıyan kişiler başvurabiliyor. Mayıs 2022 sonu itibarıyla 107.317'si kadın, 7.393'ü çocuk ve 10.063'ü erkek olmak üzere 124.773 kişiye hizmet verildi. İlçe düzeyinde hizmetler, yerel Sosyal Hizmet Merkezlerindeki 387 irtibat noktası aracılığıyla sağlanmaktadır. Toplam 149 kadın </w:t>
      </w:r>
      <w:r w:rsidR="00742BC4" w:rsidRPr="00417AC1">
        <w:rPr>
          <w:lang w:val="tr-TR"/>
        </w:rPr>
        <w:t>sığınmaevi 3.624 kapasiteyle hizmet veriyor. Barınakların kapasitesinin artırılmasına yönelik çalışmalar sürüyor.</w:t>
      </w:r>
    </w:p>
    <w:p w14:paraId="443C578A" w14:textId="0F0C00B3" w:rsidR="00856523" w:rsidRPr="00417AC1" w:rsidRDefault="00856523" w:rsidP="00856523">
      <w:pPr>
        <w:pStyle w:val="SingleTxtG"/>
        <w:rPr>
          <w:lang w:val="tr-TR"/>
        </w:rPr>
      </w:pPr>
      <w:r w:rsidRPr="00417AC1">
        <w:rPr>
          <w:lang w:val="tr-TR"/>
        </w:rPr>
        <w:t xml:space="preserve">109. </w:t>
      </w:r>
      <w:r w:rsidRPr="00417AC1">
        <w:rPr>
          <w:lang w:val="tr-TR"/>
        </w:rPr>
        <w:tab/>
      </w:r>
      <w:r w:rsidR="00BA1A10" w:rsidRPr="00417AC1">
        <w:rPr>
          <w:i/>
          <w:iCs/>
          <w:lang w:val="tr-TR"/>
        </w:rPr>
        <w:t xml:space="preserve">“Alo 183 Sosyal Destek Hattı </w:t>
      </w:r>
      <w:r w:rsidR="00BA1A10" w:rsidRPr="00417AC1">
        <w:rPr>
          <w:lang w:val="tr-TR"/>
        </w:rPr>
        <w:t>” şiddete maruz kalan veya şiddete maruz kalma riski taşıyan, destek ve yardıma ihtiyaç duyan kadın ve çocuklara yönelik psikolojik, hukuki ve ekonomik danışmanlık hizmeti olarak çalışmaktadır. Hizmet, bireyleri hakları ve nereye başvurabilecekleri konusunda bilgilendiriyor. Ayrıca mağdurlardan gelen çağrılar ihmal, istismar ve şiddet ya da namus ve töre cinayeti vakalarının önlenmesi amacıyla tedbir nedeni olarak değerlendirilerek gerekli müdahale sağlanmaktadır. Bu hat 7/24 hizmet vermektedir ve ücretsizdir.</w:t>
      </w:r>
    </w:p>
    <w:p w14:paraId="59F719AE" w14:textId="76C71812" w:rsidR="00856523" w:rsidRPr="00417AC1" w:rsidRDefault="00856523" w:rsidP="00856523">
      <w:pPr>
        <w:pStyle w:val="SingleTxtG"/>
        <w:rPr>
          <w:lang w:val="tr-TR"/>
        </w:rPr>
      </w:pPr>
      <w:r w:rsidRPr="00417AC1">
        <w:rPr>
          <w:lang w:val="tr-TR"/>
        </w:rPr>
        <w:t xml:space="preserve">110. </w:t>
      </w:r>
      <w:r w:rsidRPr="00417AC1">
        <w:rPr>
          <w:lang w:val="tr-TR"/>
        </w:rPr>
        <w:tab/>
      </w:r>
      <w:r w:rsidR="00BA1A10" w:rsidRPr="00417AC1">
        <w:rPr>
          <w:i/>
          <w:iCs/>
          <w:lang w:val="tr-TR"/>
        </w:rPr>
        <w:t xml:space="preserve">“Elektronik İzleme Merkezleri” </w:t>
      </w:r>
      <w:r w:rsidRPr="00417AC1">
        <w:rPr>
          <w:lang w:val="tr-TR"/>
        </w:rPr>
        <w:t xml:space="preserve">nin kurulmasıyla birlikte şiddet mağdurlarının ve faillerin takip edildiği pilot elektronik kelepçe uygulamasının ülke çapında yaygınlaştırılmasına yönelik teknik altyapı çalışmaları 25 Ocak 2021 tarihinde tamamlanmıştır. </w:t>
      </w:r>
      <w:r w:rsidR="00BA1A10" w:rsidRPr="00417AC1">
        <w:rPr>
          <w:i/>
          <w:iCs/>
          <w:lang w:val="tr-TR"/>
        </w:rPr>
        <w:t xml:space="preserve">“Risk Analizi ve Yönetimi Modülü” </w:t>
      </w:r>
      <w:r w:rsidRPr="00417AC1">
        <w:rPr>
          <w:lang w:val="tr-TR"/>
        </w:rPr>
        <w:t>tüm illerde geliştirilerek uygulamaya konuldu.</w:t>
      </w:r>
    </w:p>
    <w:p w14:paraId="77A10C2A" w14:textId="387B2473" w:rsidR="00856523" w:rsidRPr="00417AC1" w:rsidRDefault="00856523" w:rsidP="00856523">
      <w:pPr>
        <w:pStyle w:val="SingleTxtG"/>
        <w:rPr>
          <w:lang w:val="tr-TR"/>
        </w:rPr>
      </w:pPr>
      <w:r w:rsidRPr="00417AC1">
        <w:rPr>
          <w:lang w:val="tr-TR"/>
        </w:rPr>
        <w:t xml:space="preserve">111. </w:t>
      </w:r>
      <w:r w:rsidRPr="00417AC1">
        <w:rPr>
          <w:lang w:val="tr-TR"/>
        </w:rPr>
        <w:tab/>
        <w:t xml:space="preserve">Şiddet faillerine yönelik şiddet kavramı, öfke kontrolü ve iletişim becerileri gibi konularda </w:t>
      </w:r>
      <w:r w:rsidR="00BA1A10" w:rsidRPr="00417AC1">
        <w:rPr>
          <w:i/>
          <w:iCs/>
          <w:lang w:val="tr-TR"/>
        </w:rPr>
        <w:t>“Aile İçi Şiddetle Mücadele Farkındalık Semineri Programı” verilmektedir.</w:t>
      </w:r>
    </w:p>
    <w:p w14:paraId="785C8CEF" w14:textId="183BAFEA" w:rsidR="00856523" w:rsidRPr="00417AC1" w:rsidRDefault="00856523" w:rsidP="00856523">
      <w:pPr>
        <w:pStyle w:val="SingleTxtG"/>
        <w:rPr>
          <w:lang w:val="tr-TR"/>
        </w:rPr>
      </w:pPr>
      <w:r w:rsidRPr="00417AC1">
        <w:rPr>
          <w:lang w:val="tr-TR"/>
        </w:rPr>
        <w:t xml:space="preserve">112. </w:t>
      </w:r>
      <w:r w:rsidRPr="00417AC1">
        <w:rPr>
          <w:lang w:val="tr-TR"/>
        </w:rPr>
        <w:tab/>
      </w:r>
      <w:r w:rsidR="00BA1A10" w:rsidRPr="00417AC1">
        <w:rPr>
          <w:lang w:val="tr-TR"/>
        </w:rPr>
        <w:t>6562 sayılı Kanunun uygulanmasına yönelik “Etki Analizi Araştırması” yapılmıştır. 6284. Ayrıca “Türkiye'de Önleme, Müdahale ve Politika Yönleriyle Kadına Yönelik Şiddet ve Kovid-19 Salgınının Etkileri” konulu çalışmalara başlandı.</w:t>
      </w:r>
    </w:p>
    <w:p w14:paraId="11979966" w14:textId="77777777" w:rsidR="00856523" w:rsidRPr="00417AC1" w:rsidRDefault="00856523" w:rsidP="00856523">
      <w:pPr>
        <w:pStyle w:val="SingleTxtG"/>
        <w:rPr>
          <w:lang w:val="tr-TR"/>
        </w:rPr>
      </w:pPr>
      <w:r w:rsidRPr="00417AC1">
        <w:rPr>
          <w:lang w:val="tr-TR"/>
        </w:rPr>
        <w:t xml:space="preserve">113. </w:t>
      </w:r>
      <w:r w:rsidRPr="00417AC1">
        <w:rPr>
          <w:lang w:val="tr-TR"/>
        </w:rPr>
        <w:tab/>
        <w:t>2007 yılından bu yana yaklaşık 1,4 milyon askeri personele, 75.000 kamu görevlisine, 110.000 din görevlisine, 200.000 sağlık çalışanına ve 400.000 kolluk görevlisine eğitim ve seminer verilmiştir.</w:t>
      </w:r>
    </w:p>
    <w:p w14:paraId="7FE4992B" w14:textId="193033EE" w:rsidR="00856523" w:rsidRPr="00417AC1" w:rsidRDefault="00856523" w:rsidP="00856523">
      <w:pPr>
        <w:pStyle w:val="SingleTxtG"/>
        <w:rPr>
          <w:lang w:val="tr-TR"/>
        </w:rPr>
      </w:pPr>
      <w:r w:rsidRPr="00417AC1">
        <w:rPr>
          <w:lang w:val="tr-TR"/>
        </w:rPr>
        <w:t xml:space="preserve">114. </w:t>
      </w:r>
      <w:r w:rsidRPr="00417AC1">
        <w:rPr>
          <w:lang w:val="tr-TR"/>
        </w:rPr>
        <w:tab/>
        <w:t xml:space="preserve">AB tarafından finanse edilen </w:t>
      </w:r>
      <w:r w:rsidR="00BA1A10" w:rsidRPr="00417AC1">
        <w:rPr>
          <w:lang w:val="tr-TR"/>
        </w:rPr>
        <w:t xml:space="preserve">“ </w:t>
      </w:r>
      <w:r w:rsidRPr="00417AC1">
        <w:rPr>
          <w:i/>
          <w:lang w:val="tr-TR"/>
        </w:rPr>
        <w:t xml:space="preserve">Aile İçi Şiddetle Mücadele Kadın Konukevleri Projesi </w:t>
      </w:r>
      <w:r w:rsidR="00BA1A10" w:rsidRPr="00417AC1">
        <w:rPr>
          <w:lang w:val="tr-TR"/>
        </w:rPr>
        <w:t>”, destek hizmetlerinin kurulması ve geliştirilmesi amacıyla 2014-2016 yılları arasında yürütülmüştür. Projeyle 26 ilde destek hizmetlerinin kurulması veya geliştirilmesi yoluyla kadınlara koruma sağlanması amaçlandı.</w:t>
      </w:r>
    </w:p>
    <w:p w14:paraId="7FD512E2" w14:textId="131B1C58" w:rsidR="00856523" w:rsidRPr="00417AC1" w:rsidRDefault="00856523" w:rsidP="00856523">
      <w:pPr>
        <w:pStyle w:val="SingleTxtG"/>
        <w:rPr>
          <w:lang w:val="tr-TR"/>
        </w:rPr>
      </w:pPr>
      <w:r w:rsidRPr="00417AC1">
        <w:rPr>
          <w:lang w:val="tr-TR"/>
        </w:rPr>
        <w:t xml:space="preserve">115. Kadına yönelik şiddet konusunda farkındalığın artırılması, Suriyeli kadın ve çocuklara yönelik şiddetin önlenmesi ve toplumsal cinsiyet eşitliğinin güçlendirilmesi </w:t>
      </w:r>
      <w:r w:rsidRPr="00417AC1">
        <w:rPr>
          <w:lang w:val="tr-TR"/>
        </w:rPr>
        <w:tab/>
        <w:t xml:space="preserve">amacıyla BM Nüfus Fonu işbirliğiyle Türkiye'deki Suriyelilere yönelik </w:t>
      </w:r>
      <w:r w:rsidR="00BA1A10" w:rsidRPr="00417AC1">
        <w:rPr>
          <w:lang w:val="tr-TR"/>
        </w:rPr>
        <w:t xml:space="preserve">“ </w:t>
      </w:r>
      <w:r w:rsidRPr="00417AC1">
        <w:rPr>
          <w:i/>
          <w:lang w:val="tr-TR"/>
        </w:rPr>
        <w:t xml:space="preserve">Cinsiyete Dayalı Şiddete Müdahale ve Mücadeleye Yönelik İnsani Yardım Programı </w:t>
      </w:r>
      <w:r w:rsidR="00BA1A10" w:rsidRPr="00417AC1">
        <w:rPr>
          <w:lang w:val="tr-TR"/>
        </w:rPr>
        <w:t>” yürütülmüştür. Hizmet sağlayıcıların kapasitesi. Hizmet sağlayıcılara eğitimler verildi ve Suriyeli kadınlar arasında dayanışmanın sağlanması amacıyla toplantılar düzenlendi. Ayrıca Suriyelilere yönelik kadına yönelik şiddet, rıza yaşı, resmi nikah ve kadın hakları konularında bilgilendirici broşürler hazırlandı.</w:t>
      </w:r>
    </w:p>
    <w:p w14:paraId="2C426981" w14:textId="77777777" w:rsidR="00856523" w:rsidRPr="00417AC1" w:rsidRDefault="00856523" w:rsidP="00856523">
      <w:pPr>
        <w:pStyle w:val="H4G"/>
        <w:rPr>
          <w:lang w:val="tr-TR"/>
        </w:rPr>
      </w:pPr>
      <w:r w:rsidRPr="00417AC1">
        <w:rPr>
          <w:lang w:val="tr-TR"/>
        </w:rPr>
        <w:tab/>
      </w:r>
      <w:r w:rsidRPr="00417AC1">
        <w:rPr>
          <w:lang w:val="tr-TR"/>
        </w:rPr>
        <w:tab/>
        <w:t>COVİD-19 tedbirleri</w:t>
      </w:r>
    </w:p>
    <w:p w14:paraId="0AD64804" w14:textId="3662751A" w:rsidR="00856523" w:rsidRPr="00417AC1" w:rsidRDefault="00856523" w:rsidP="00856523">
      <w:pPr>
        <w:pStyle w:val="SingleTxtG"/>
        <w:rPr>
          <w:lang w:val="tr-TR"/>
        </w:rPr>
      </w:pPr>
      <w:r w:rsidRPr="00417AC1">
        <w:rPr>
          <w:lang w:val="tr-TR"/>
        </w:rPr>
        <w:t xml:space="preserve">116. Türkiye'de ilk Kovid-19 vakasının tespit edildiği 10 Mart 2020 tarihinden bu yana Aile ve Sosyal Hizmetler Bakanlığı, ŞÖNİM'ler, Sosyal Hizmet Merkezleri ve </w:t>
      </w:r>
      <w:r w:rsidRPr="00417AC1">
        <w:rPr>
          <w:lang w:val="tr-TR"/>
        </w:rPr>
        <w:tab/>
      </w:r>
      <w:r w:rsidR="00742BC4" w:rsidRPr="00417AC1">
        <w:rPr>
          <w:lang w:val="tr-TR"/>
        </w:rPr>
        <w:t xml:space="preserve">Kadın Konukevleri </w:t>
      </w:r>
      <w:r w:rsidRPr="00417AC1">
        <w:rPr>
          <w:lang w:val="tr-TR"/>
        </w:rPr>
        <w:t xml:space="preserve">işbirliğiyle gerekli tedbirler alınmıştır . </w:t>
      </w:r>
      <w:r w:rsidR="00742BC4" w:rsidRPr="00417AC1">
        <w:rPr>
          <w:lang w:val="tr-TR"/>
        </w:rPr>
        <w:t>Pandemi döneminde barınma amaçlı yapılan uygulamalarda kamu kurum ve kuruluşlarına ait sosyal tesisler, yurtlar veya benzeri yerlerde alternatif konaklama tesisleri oluşturulmuştur. Bu kapsamda 49 ilde 71 tesis kullanıldı.</w:t>
      </w:r>
    </w:p>
    <w:p w14:paraId="5995863C" w14:textId="53802585" w:rsidR="00856523" w:rsidRPr="00417AC1" w:rsidRDefault="00856523" w:rsidP="00856523">
      <w:pPr>
        <w:pStyle w:val="SingleTxtG"/>
        <w:rPr>
          <w:lang w:val="tr-TR"/>
        </w:rPr>
      </w:pPr>
      <w:r w:rsidRPr="00417AC1">
        <w:rPr>
          <w:lang w:val="tr-TR"/>
        </w:rPr>
        <w:t xml:space="preserve">117. Mart 2020 itibarıyla salgının sosyal koşulları nedeniyle </w:t>
      </w:r>
      <w:r w:rsidRPr="00417AC1">
        <w:rPr>
          <w:lang w:val="tr-TR"/>
        </w:rPr>
        <w:tab/>
      </w:r>
      <w:r w:rsidR="00BA1A10" w:rsidRPr="00417AC1">
        <w:rPr>
          <w:i/>
          <w:iCs/>
          <w:lang w:val="tr-TR"/>
        </w:rPr>
        <w:t xml:space="preserve">“Alo 183 Sosyal Destek Hattı” </w:t>
      </w:r>
      <w:r w:rsidRPr="00417AC1">
        <w:rPr>
          <w:lang w:val="tr-TR"/>
        </w:rPr>
        <w:t>na yapılan çağrıların artması dikkate alınarak hatta önceliklendirme hizmeti verilmiş ve şiddet mağdurlarının ilgili desteğe ulaşabilmesi sağlanmıştır. sıraya girmeden personel.</w:t>
      </w:r>
    </w:p>
    <w:p w14:paraId="584BA242" w14:textId="77777777" w:rsidR="00856523" w:rsidRPr="00417AC1" w:rsidRDefault="00856523" w:rsidP="00856523">
      <w:pPr>
        <w:pStyle w:val="H23G"/>
        <w:rPr>
          <w:lang w:val="tr-TR"/>
        </w:rPr>
      </w:pPr>
      <w:bookmarkStart w:id="12" w:name="_Toc110354334"/>
      <w:r w:rsidRPr="00417AC1">
        <w:rPr>
          <w:lang w:val="tr-TR"/>
        </w:rPr>
        <w:lastRenderedPageBreak/>
        <w:tab/>
      </w:r>
      <w:r w:rsidRPr="00417AC1">
        <w:rPr>
          <w:lang w:val="tr-TR"/>
        </w:rPr>
        <w:tab/>
        <w:t>Yolsuzlukla mücadele tedbirleri - Madde 2 ve 25</w:t>
      </w:r>
      <w:bookmarkEnd w:id="12"/>
    </w:p>
    <w:p w14:paraId="689C9E7B" w14:textId="77777777" w:rsidR="00856523" w:rsidRPr="00417AC1" w:rsidRDefault="00856523" w:rsidP="00856523">
      <w:pPr>
        <w:pStyle w:val="H4G"/>
        <w:rPr>
          <w:lang w:val="tr-TR"/>
        </w:rPr>
      </w:pPr>
      <w:r w:rsidRPr="00417AC1">
        <w:rPr>
          <w:lang w:val="tr-TR"/>
        </w:rPr>
        <w:tab/>
      </w:r>
      <w:r w:rsidRPr="00417AC1">
        <w:rPr>
          <w:lang w:val="tr-TR"/>
        </w:rPr>
        <w:tab/>
        <w:t>Devlet ihalelerinin dağıtımında kara para aklama, rüşvet ve gizli anlaşma iddiaları</w:t>
      </w:r>
    </w:p>
    <w:p w14:paraId="5B78D316" w14:textId="334AD2C2" w:rsidR="00856523" w:rsidRPr="00417AC1" w:rsidRDefault="00856523" w:rsidP="00856523">
      <w:pPr>
        <w:pStyle w:val="SingleTxtG"/>
        <w:rPr>
          <w:lang w:val="tr-TR"/>
        </w:rPr>
      </w:pPr>
      <w:r w:rsidRPr="00417AC1">
        <w:rPr>
          <w:lang w:val="tr-TR"/>
        </w:rPr>
        <w:t xml:space="preserve">118. </w:t>
      </w:r>
      <w:r w:rsidRPr="00417AC1">
        <w:rPr>
          <w:lang w:val="tr-TR"/>
        </w:rPr>
        <w:tab/>
        <w:t>Devlet ihalelerine ilişkin esaslar aşağıda detayları verilen ilgili kanunlarda açıkça ve özel olarak düzenlenmiş olup, ihalelerin her aşaması kamuya açık, iç ve dış denetime tabi olup, şeffaf ve rekabetçi bir şekilde yürütülmektedir. Kara para aklama, rüşvet ve muvazaa gibi yolsuzluk suçları kanunla düzenlenir ve yargı denetimine tabidir.</w:t>
      </w:r>
    </w:p>
    <w:p w14:paraId="4546DD3E" w14:textId="77777777" w:rsidR="00856523" w:rsidRPr="00417AC1" w:rsidRDefault="00856523" w:rsidP="00856523">
      <w:pPr>
        <w:pStyle w:val="H4G"/>
        <w:rPr>
          <w:b/>
          <w:lang w:val="tr-TR"/>
        </w:rPr>
      </w:pPr>
      <w:r w:rsidRPr="00417AC1">
        <w:rPr>
          <w:lang w:val="tr-TR"/>
        </w:rPr>
        <w:tab/>
      </w:r>
      <w:r w:rsidRPr="00417AC1">
        <w:rPr>
          <w:lang w:val="tr-TR"/>
        </w:rPr>
        <w:tab/>
        <w:t>Darbe girişimi sonrasında mal varlığı kamulaştırılan kuruluşlar ve kayyum atamaları</w:t>
      </w:r>
    </w:p>
    <w:p w14:paraId="4AA25CBA" w14:textId="77777777" w:rsidR="00856523" w:rsidRPr="00417AC1" w:rsidRDefault="00856523" w:rsidP="00856523">
      <w:pPr>
        <w:pStyle w:val="SingleTxtG"/>
        <w:rPr>
          <w:lang w:val="tr-TR"/>
        </w:rPr>
      </w:pPr>
      <w:r w:rsidRPr="00417AC1">
        <w:rPr>
          <w:lang w:val="tr-TR"/>
        </w:rPr>
        <w:t xml:space="preserve">119. </w:t>
      </w:r>
      <w:r w:rsidRPr="00417AC1">
        <w:rPr>
          <w:lang w:val="tr-TR"/>
        </w:rPr>
        <w:tab/>
        <w:t>OHAL kapsamında çıkarılan 667, 689 ve 695 sayılı Kanun Hükmünde Kararnameler daha sonra TBMM tarafından 6749, 7088 ve 7092 sayılı Kanunlar olarak kabul edilmiştir. Bu dönemde vakıfların kapatılması bu Kanun ve Kanun Hükmünde Kararnamelere dayanmaktadır. . Mütevelli heyetinin atanması ve kapatılan kuruluşların yönetimi mahkeme kararıyla belirlenir.</w:t>
      </w:r>
    </w:p>
    <w:p w14:paraId="51CC372B" w14:textId="16FD32D2" w:rsidR="00856523" w:rsidRPr="00417AC1" w:rsidRDefault="00856523" w:rsidP="00856523">
      <w:pPr>
        <w:pStyle w:val="SingleTxtG"/>
        <w:rPr>
          <w:lang w:val="tr-TR"/>
        </w:rPr>
      </w:pPr>
      <w:r w:rsidRPr="00417AC1">
        <w:rPr>
          <w:lang w:val="tr-TR"/>
        </w:rPr>
        <w:t xml:space="preserve">120. </w:t>
      </w:r>
      <w:r w:rsidRPr="00417AC1">
        <w:rPr>
          <w:lang w:val="tr-TR"/>
        </w:rPr>
        <w:tab/>
        <w:t xml:space="preserve">Terör örgütleriyle bağlantısı veya irtibatı bulunan şirketler ve diğer varlıklar açısından, 674 sayılı Kanun Hükmünde Kararname (6758 sayılı Kanunla yürürlüğe girmiştir) ve 677 sayılı Kanun Hükmünde Kararname (7083 sayılı Kanunla yürürlüğe girmiştir) uyarınca ), şirketlerdeki kayyımlık yetkisi ve varlık değerleri TMSF'ye devredildi. TMSF halihazırda 715 şirket ve 101 gerçek kişinin mal varlığının kayyımlığını yapmaktadır </w:t>
      </w:r>
      <w:r w:rsidR="00742BC4" w:rsidRPr="00417AC1">
        <w:rPr>
          <w:lang w:val="tr-TR"/>
        </w:rPr>
        <w:t>.</w:t>
      </w:r>
    </w:p>
    <w:p w14:paraId="226D402B" w14:textId="77777777" w:rsidR="00856523" w:rsidRPr="00417AC1" w:rsidRDefault="00856523" w:rsidP="00856523">
      <w:pPr>
        <w:pStyle w:val="SingleTxtG"/>
        <w:rPr>
          <w:lang w:val="tr-TR"/>
        </w:rPr>
      </w:pPr>
      <w:r w:rsidRPr="00417AC1">
        <w:rPr>
          <w:lang w:val="tr-TR"/>
        </w:rPr>
        <w:t xml:space="preserve">121. </w:t>
      </w:r>
      <w:r w:rsidRPr="00417AC1">
        <w:rPr>
          <w:lang w:val="tr-TR"/>
        </w:rPr>
        <w:tab/>
        <w:t>TMSF'nin kayyum olarak atandığı şirketler tüzel kişilik olup, ticari uygulamalara ve basiretli tacir ilkesine uygun olarak 6758 sayılı Kanun kapsamında ilgili mevzuat uyarınca atanan yöneticiler tarafından yönetilmektedir. Bu şirketleri yolsuzluk riskine sokmak yerine, TMSF'ye kayyum atanarak ticari işlemlerin titizlikle kayıt altına alınmasıyla kayıt dışılıklar giderilmekte ve TTK, Türk vergi mevzuatı, Sermaye Piyasası Kanunu ve ilgili diğer standartlara uygun olarak şeffaf iş yürütülmesi sağlanmaktadır.</w:t>
      </w:r>
    </w:p>
    <w:p w14:paraId="54437967" w14:textId="77777777" w:rsidR="00856523" w:rsidRPr="00417AC1" w:rsidRDefault="00856523" w:rsidP="00856523">
      <w:pPr>
        <w:pStyle w:val="SingleTxtG"/>
        <w:rPr>
          <w:lang w:val="tr-TR"/>
        </w:rPr>
      </w:pPr>
      <w:r w:rsidRPr="00417AC1">
        <w:rPr>
          <w:lang w:val="tr-TR"/>
        </w:rPr>
        <w:t xml:space="preserve">122. </w:t>
      </w:r>
      <w:r w:rsidRPr="00417AC1">
        <w:rPr>
          <w:lang w:val="tr-TR"/>
        </w:rPr>
        <w:tab/>
        <w:t>Şirketler hakkında alınan kararlar ve yönetimlerin işlemleri, 6758 sayılı Kanun uyarınca pay sahipleri tarafından sürekli olarak sorgulanmakta ve mahkemelere taşınmaktadır. Bazı şirketler TTK uyarınca bağımsız denetime de tabi olup, düzenleyici ve denetleyici kurumların denetimi altındadır ve borsada işlem görmektedir.</w:t>
      </w:r>
    </w:p>
    <w:p w14:paraId="3B953EB5" w14:textId="77777777" w:rsidR="00856523" w:rsidRPr="00417AC1" w:rsidRDefault="00856523" w:rsidP="00856523">
      <w:pPr>
        <w:pStyle w:val="SingleTxtG"/>
        <w:rPr>
          <w:lang w:val="tr-TR"/>
        </w:rPr>
      </w:pPr>
      <w:r w:rsidRPr="00417AC1">
        <w:rPr>
          <w:lang w:val="tr-TR"/>
        </w:rPr>
        <w:t xml:space="preserve">123. </w:t>
      </w:r>
      <w:r w:rsidRPr="00417AC1">
        <w:rPr>
          <w:lang w:val="tr-TR"/>
        </w:rPr>
        <w:tab/>
        <w:t>KYK, Kanun Hükmünde Kararnamelerle kapatılan bu kuruluşlara yönelik alınan tedbirlere itiraz eden başvuruları değerlendirerek karara bağlar. Kapatma işlemlerine karşı başvurular da dahil olmak üzere 31 Aralık 2021 tarihi itibarıyla YÖK tarafından yapılan incelemeler ve alınan kararlara ilişkin bilgiler yukarıdaki 64. paragrafta yer almaktadır.</w:t>
      </w:r>
    </w:p>
    <w:p w14:paraId="67937ADF" w14:textId="77777777" w:rsidR="00856523" w:rsidRPr="00417AC1" w:rsidRDefault="00856523" w:rsidP="00856523">
      <w:pPr>
        <w:pStyle w:val="SingleTxtG"/>
        <w:rPr>
          <w:lang w:val="tr-TR"/>
        </w:rPr>
      </w:pPr>
      <w:r w:rsidRPr="00417AC1">
        <w:rPr>
          <w:lang w:val="tr-TR"/>
        </w:rPr>
        <w:t xml:space="preserve">124. </w:t>
      </w:r>
      <w:r w:rsidRPr="00417AC1">
        <w:rPr>
          <w:lang w:val="tr-TR"/>
        </w:rPr>
        <w:tab/>
        <w:t>Kapatılan kuruluşlara ilişkin başvurunun kabul edilmesi halinde, Kanun Hükmünde Kararnamede yer alan kuruluşa ilişkin ilgili hüküm, yayımı tarihinden itibaren tüm sonuçlarıyla birlikte yürürlükten kaldırılır.</w:t>
      </w:r>
    </w:p>
    <w:p w14:paraId="1FDDA40A" w14:textId="77777777" w:rsidR="00856523" w:rsidRPr="00417AC1" w:rsidRDefault="00856523" w:rsidP="00856523">
      <w:pPr>
        <w:pStyle w:val="SingleTxtG"/>
        <w:rPr>
          <w:lang w:val="tr-TR"/>
        </w:rPr>
      </w:pPr>
      <w:r w:rsidRPr="00417AC1">
        <w:rPr>
          <w:lang w:val="tr-TR"/>
        </w:rPr>
        <w:t xml:space="preserve">125. </w:t>
      </w:r>
      <w:r w:rsidRPr="00417AC1">
        <w:rPr>
          <w:lang w:val="tr-TR"/>
        </w:rPr>
        <w:tab/>
        <w:t>Derneklerin kayyumlar eliyle yönetilmesine ilişkin esaslar 5253 sayılı Dernekler Kanununun 27, 30 ve 32. maddelerinde düzenlenmiştir. Buna göre kamu yararına çalışan dernekler en az iki yılda bir denetlenecek. Suçun tespiti halinde üyelere geçici tedbir olarak görevden uzaklaştırma uygulanabilecek, talep üzerine mahkeme kararıyla kayyım atanabilecek.</w:t>
      </w:r>
    </w:p>
    <w:p w14:paraId="14EAE41C" w14:textId="77777777" w:rsidR="00856523" w:rsidRPr="00417AC1" w:rsidRDefault="00856523" w:rsidP="00856523">
      <w:pPr>
        <w:pStyle w:val="SingleTxtG"/>
        <w:rPr>
          <w:lang w:val="tr-TR"/>
        </w:rPr>
      </w:pPr>
      <w:r w:rsidRPr="00417AC1">
        <w:rPr>
          <w:lang w:val="tr-TR"/>
        </w:rPr>
        <w:t xml:space="preserve">126. AİHM, </w:t>
      </w:r>
      <w:r w:rsidRPr="00417AC1">
        <w:rPr>
          <w:lang w:val="tr-TR"/>
        </w:rPr>
        <w:tab/>
        <w:t xml:space="preserve">başvurucunun ana hissedar olduğu bazı şirketlere FETÖ bağlantılı olarak yürütülen bir ceza soruşturmasında kayyım atanmasına ilişkin </w:t>
      </w:r>
      <w:r w:rsidRPr="00417AC1">
        <w:rPr>
          <w:i/>
          <w:lang w:val="tr-TR"/>
        </w:rPr>
        <w:t xml:space="preserve">İpek v. Türkiye (4158/19, 21 Ekim 2021) </w:t>
      </w:r>
      <w:r w:rsidRPr="00417AC1">
        <w:rPr>
          <w:lang w:val="tr-TR"/>
        </w:rPr>
        <w:t>kararında, iç hukuk yollarının tüketilmemesi ve iddiaların açıkça dayanaktan yoksun olması nedeniyle başvuruyu kabul edilemez bulmuştur.</w:t>
      </w:r>
    </w:p>
    <w:p w14:paraId="123DBCCC" w14:textId="77777777" w:rsidR="00856523" w:rsidRPr="00417AC1" w:rsidRDefault="00856523" w:rsidP="00856523">
      <w:pPr>
        <w:pStyle w:val="H4G"/>
        <w:rPr>
          <w:b/>
          <w:lang w:val="tr-TR"/>
        </w:rPr>
      </w:pPr>
      <w:r w:rsidRPr="00417AC1">
        <w:rPr>
          <w:lang w:val="tr-TR"/>
        </w:rPr>
        <w:tab/>
      </w:r>
      <w:r w:rsidRPr="00417AC1">
        <w:rPr>
          <w:lang w:val="tr-TR"/>
        </w:rPr>
        <w:tab/>
        <w:t>Yolsuzlukla mücadeleye yönelik kurumsal ve yasal çerçeve</w:t>
      </w:r>
    </w:p>
    <w:p w14:paraId="6580A18B" w14:textId="77777777" w:rsidR="00856523" w:rsidRPr="00417AC1" w:rsidRDefault="00856523" w:rsidP="00856523">
      <w:pPr>
        <w:pStyle w:val="SingleTxtG"/>
        <w:rPr>
          <w:lang w:val="tr-TR"/>
        </w:rPr>
      </w:pPr>
      <w:r w:rsidRPr="00417AC1">
        <w:rPr>
          <w:lang w:val="tr-TR"/>
        </w:rPr>
        <w:t xml:space="preserve">127. </w:t>
      </w:r>
      <w:r w:rsidRPr="00417AC1">
        <w:rPr>
          <w:lang w:val="tr-TR"/>
        </w:rPr>
        <w:tab/>
        <w:t xml:space="preserve">Yolsuzluğun önlenmesi ve kamu kurumlarının şeffaflığı Anayasa'nın 71, 74, 108 ve 160. maddelerinde güvence altına alınmıştır. Yolsuzlukla mücadeleye ilişkin olarak 2886 sayılı Devlet İhale Kanunu, 4734 sayılı Kamu İhale Kanunu ve 4208 sayılı Kara Paranın Aklanmasının Önlenmesi Kanunu'nda düzenlemeler bulunmaktadır. Ayrıca doğrudan cezai yaptırıma tabi olan yolsuzluk fiilleri de TCK'da olduğu gibi Sermaye Piyasası Kanunu'nda rüşvet, irtikap, zimmete para geçirme, aklama, suçtan kaynaklanan mal varlığının aklanması, görevi kötüye kullanma ve içeriden öğrenenlerin ticareti olarak düzenlenmiştir. Ayrıca 3628 </w:t>
      </w:r>
      <w:r w:rsidRPr="00417AC1">
        <w:rPr>
          <w:lang w:val="tr-TR"/>
        </w:rPr>
        <w:lastRenderedPageBreak/>
        <w:t>sayılı Mal Bildirimi ve Rüşvet ve Yolsuzlukla Mücadele Kanunu ile 5326 sayılı Kabahatler Kanununa ilişkin düzenlemeler de bulunmaktadır.</w:t>
      </w:r>
    </w:p>
    <w:p w14:paraId="12C23D9F" w14:textId="77777777" w:rsidR="00856523" w:rsidRPr="00417AC1" w:rsidRDefault="00856523" w:rsidP="00856523">
      <w:pPr>
        <w:pStyle w:val="SingleTxtG"/>
        <w:rPr>
          <w:lang w:val="tr-TR"/>
        </w:rPr>
      </w:pPr>
      <w:r w:rsidRPr="00417AC1">
        <w:rPr>
          <w:lang w:val="tr-TR"/>
        </w:rPr>
        <w:t xml:space="preserve">128. </w:t>
      </w:r>
      <w:r w:rsidRPr="00417AC1">
        <w:rPr>
          <w:lang w:val="tr-TR"/>
        </w:rPr>
        <w:tab/>
        <w:t>BM Yolsuzluğa Karşı Sözleşme ve OECD'nin Uluslararası Ticari İşlemlerde Yabancı Kamu Görevlilerine Rüşvet Verilmesiyle Mücadele Sözleşmesi'ne uyumun sağlanması amacıyla iç mevzuatta gerekli değişiklikler yapılmıştır.</w:t>
      </w:r>
    </w:p>
    <w:p w14:paraId="40C2B45C" w14:textId="77777777" w:rsidR="00856523" w:rsidRPr="00417AC1" w:rsidRDefault="00856523" w:rsidP="00856523">
      <w:pPr>
        <w:pStyle w:val="SingleTxtG"/>
        <w:rPr>
          <w:lang w:val="tr-TR"/>
        </w:rPr>
      </w:pPr>
      <w:r w:rsidRPr="00417AC1">
        <w:rPr>
          <w:lang w:val="tr-TR"/>
        </w:rPr>
        <w:t xml:space="preserve">129. </w:t>
      </w:r>
      <w:r w:rsidRPr="00417AC1">
        <w:rPr>
          <w:lang w:val="tr-TR"/>
        </w:rPr>
        <w:tab/>
        <w:t>5018 sayılı Kamu Mali Yönetimi ve Kontrol Kanunu, kamu kaynaklarının daha etkin ve verimli kullanıldığı, şeffaflık ve hesap verebilirlik esasına dayalı bir mali yönetim ve kontrol sistemi düzenlemektedir. Kamu kaynaklarının edinimi ve kullanımında yetkili olan herkesin mali açıdan sorumlu tutulabilmesini sağlar.</w:t>
      </w:r>
    </w:p>
    <w:p w14:paraId="088DFEB9" w14:textId="77777777" w:rsidR="00856523" w:rsidRPr="00417AC1" w:rsidRDefault="00856523" w:rsidP="00856523">
      <w:pPr>
        <w:pStyle w:val="SingleTxtG"/>
        <w:rPr>
          <w:lang w:val="tr-TR"/>
        </w:rPr>
      </w:pPr>
      <w:r w:rsidRPr="00417AC1">
        <w:rPr>
          <w:lang w:val="tr-TR"/>
        </w:rPr>
        <w:t xml:space="preserve">130. </w:t>
      </w:r>
      <w:r w:rsidRPr="00417AC1">
        <w:rPr>
          <w:lang w:val="tr-TR"/>
        </w:rPr>
        <w:tab/>
        <w:t>Anayasal bir kurum olan Sayıştay, merkezi yönetim bütçesi ile sosyal güvenlik kurumları tarafından finanse edilen kamu idarelerinin gelir, gider ve mallarını TBMM adına denetlemek ve hesaplar hakkında kesin kararlar almakla görevlidir. ve sorumlu yetkililerin eylemleri.</w:t>
      </w:r>
    </w:p>
    <w:p w14:paraId="4A71B5C1" w14:textId="53817887" w:rsidR="00856523" w:rsidRPr="00417AC1" w:rsidRDefault="00856523" w:rsidP="00856523">
      <w:pPr>
        <w:pStyle w:val="SingleTxtG"/>
        <w:rPr>
          <w:lang w:val="tr-TR"/>
        </w:rPr>
      </w:pPr>
      <w:r w:rsidRPr="00417AC1">
        <w:rPr>
          <w:lang w:val="tr-TR"/>
        </w:rPr>
        <w:t xml:space="preserve">131. </w:t>
      </w:r>
      <w:r w:rsidRPr="00417AC1">
        <w:rPr>
          <w:lang w:val="tr-TR"/>
        </w:rPr>
        <w:tab/>
        <w:t xml:space="preserve">Kamu kurumlarının satın alma süreçleri Sayıştay denetimlerinde öncelikli olarak incelenen alanların başında gelmektedir </w:t>
      </w:r>
      <w:r w:rsidR="00742BC4" w:rsidRPr="00417AC1">
        <w:rPr>
          <w:lang w:val="tr-TR"/>
        </w:rPr>
        <w:t>. Kamu kaynaklarının kullanımında belirlenen ilke ve prosedürlere uyup uymadıkları hem mali açıdan hem de uygunluk denetimi açısından incelenmektedir.</w:t>
      </w:r>
    </w:p>
    <w:p w14:paraId="07568FF3" w14:textId="77777777" w:rsidR="00856523" w:rsidRPr="00417AC1" w:rsidRDefault="00856523" w:rsidP="00856523">
      <w:pPr>
        <w:pStyle w:val="SingleTxtG"/>
        <w:rPr>
          <w:lang w:val="tr-TR"/>
        </w:rPr>
      </w:pPr>
      <w:r w:rsidRPr="00417AC1">
        <w:rPr>
          <w:lang w:val="tr-TR"/>
        </w:rPr>
        <w:t xml:space="preserve">132. </w:t>
      </w:r>
      <w:r w:rsidRPr="00417AC1">
        <w:rPr>
          <w:lang w:val="tr-TR"/>
        </w:rPr>
        <w:tab/>
        <w:t>Kamu alımları temel olarak 4734 sayılı KİK ile düzenlenmektedir. Kanunun temel ilkeleri şeffaflık, rekabet, eşit muamele, güvenilirlik, gizlilik, kamu denetimi, ihtiyaçların yerinde ve zamanında karşılanması ve kaynakların verimli kullanılmasıdır.</w:t>
      </w:r>
    </w:p>
    <w:p w14:paraId="1EDD00CC" w14:textId="1C36B5ED" w:rsidR="00856523" w:rsidRPr="00417AC1" w:rsidRDefault="00856523" w:rsidP="00856523">
      <w:pPr>
        <w:pStyle w:val="SingleTxtG"/>
        <w:rPr>
          <w:lang w:val="tr-TR"/>
        </w:rPr>
      </w:pPr>
      <w:r w:rsidRPr="00417AC1">
        <w:rPr>
          <w:lang w:val="tr-TR"/>
        </w:rPr>
        <w:t xml:space="preserve">133. </w:t>
      </w:r>
      <w:r w:rsidRPr="00417AC1">
        <w:rPr>
          <w:lang w:val="tr-TR"/>
        </w:rPr>
        <w:tab/>
        <w:t xml:space="preserve">Kamu alımlarında şeffaflığın sağlanmasına yönelik çeşitli araçlar bulunmaktadır. KİK'e göre temel satın alma yöntemleri, ihale öncesinde satın alma fırsatlarının duyurulmasını gerektiren açık ve kısıtlı prosedürlerdir. KİK kapsamındaki tüm ihale ilanları EKAP'ta (https://ekap.kik.gov.tr) yayınlanmakta ve kamu tarafından görüntülenebilmektedir. İhale sonuç duyuruları ayrıca istekli sayısı, kazanan isteklilerin isimleri, tahmini değer, sözleşme bedeli, sözleşme tarihi gibi bilgileri içeren EKAP'ta da yayınlanmaktadır. Ayrıca ihale </w:t>
      </w:r>
      <w:r w:rsidR="00417AC1" w:rsidRPr="00417AC1">
        <w:rPr>
          <w:lang w:val="tr-TR"/>
        </w:rPr>
        <w:t>belgelerinin</w:t>
      </w:r>
      <w:r w:rsidRPr="00417AC1">
        <w:rPr>
          <w:lang w:val="tr-TR"/>
        </w:rPr>
        <w:t xml:space="preserve"> EKAP üzerinden kamuya açıklanması gerekmektedir. EKAP üzerinde yer alan ihale arama ekranı, halkın geçmiş ve devam eden ihale prosedürlerini aramasına ve bilgi edinmesine olanak sağlamaktadır. Uyuşmazlık çözümlerine ve engellenen tedarikçilere de EKAP üzerinde herhangi bir kayıt ve şifre gerekmeden ulaşılabilmektedir.</w:t>
      </w:r>
      <w:r w:rsidR="005041FC" w:rsidRPr="00417AC1">
        <w:rPr>
          <w:lang w:val="tr-TR"/>
        </w:rPr>
        <w:t xml:space="preserve"> </w:t>
      </w:r>
    </w:p>
    <w:p w14:paraId="1F744955" w14:textId="77777777" w:rsidR="00856523" w:rsidRPr="00417AC1" w:rsidRDefault="00856523" w:rsidP="00856523">
      <w:pPr>
        <w:pStyle w:val="SingleTxtG"/>
        <w:rPr>
          <w:lang w:val="tr-TR"/>
        </w:rPr>
      </w:pPr>
      <w:r w:rsidRPr="00417AC1">
        <w:rPr>
          <w:lang w:val="tr-TR"/>
        </w:rPr>
        <w:t xml:space="preserve">134. </w:t>
      </w:r>
      <w:r w:rsidRPr="00417AC1">
        <w:rPr>
          <w:lang w:val="tr-TR"/>
        </w:rPr>
        <w:tab/>
        <w:t>Şeffaf ve sağlam ihale prosedürlerinin sağlanması için inceleme ve çözüm sistemi, denetim ve adli kontrol mekanizmaları mevcuttur. PPL tarafından kurulan PPA, kamu alımları alanında düzenleyici ve denetleyici bir organdır. KVK, KVK'da belirtilen ilke, usul ve kanunların doğru bir şekilde uygulanması görev ve yetkisine sahiptir. PPA görevlerini yerine getirirken bağımsızdır. Hiçbir organ, ofis, kuruluş veya kişi, KİK kararlarını etkilemek amacıyla emir veya talimat veremez.</w:t>
      </w:r>
    </w:p>
    <w:p w14:paraId="4B2E16B3" w14:textId="77777777" w:rsidR="00856523" w:rsidRPr="00417AC1" w:rsidRDefault="00856523" w:rsidP="00856523">
      <w:pPr>
        <w:pStyle w:val="SingleTxtG"/>
        <w:rPr>
          <w:lang w:val="tr-TR"/>
        </w:rPr>
      </w:pPr>
      <w:r w:rsidRPr="00417AC1">
        <w:rPr>
          <w:lang w:val="tr-TR"/>
        </w:rPr>
        <w:t xml:space="preserve">135. </w:t>
      </w:r>
      <w:r w:rsidRPr="00417AC1">
        <w:rPr>
          <w:lang w:val="tr-TR"/>
        </w:rPr>
        <w:tab/>
        <w:t>KİK, ihale usulünden çıkarılma nedenlerini düzenlemekte ve ihale sürecinde dolandırıcılık, söz verme, tehdit, nüfuz kullanma, menfaat sağlama, anlaşma, irtikap, rüşvet veya diğer hile yollarına/teşebbüslerine ilişkin yasak eylem ve davranışları listelemektedir. İhale kanunlarına ilişkin işlemler.</w:t>
      </w:r>
    </w:p>
    <w:p w14:paraId="42299C2E" w14:textId="77777777" w:rsidR="00856523" w:rsidRPr="00417AC1" w:rsidRDefault="00856523" w:rsidP="00856523">
      <w:pPr>
        <w:pStyle w:val="SingleTxtG"/>
        <w:rPr>
          <w:lang w:val="tr-TR"/>
        </w:rPr>
      </w:pPr>
      <w:r w:rsidRPr="00417AC1">
        <w:rPr>
          <w:lang w:val="tr-TR"/>
        </w:rPr>
        <w:t xml:space="preserve">136. </w:t>
      </w:r>
      <w:r w:rsidRPr="00417AC1">
        <w:rPr>
          <w:lang w:val="tr-TR"/>
        </w:rPr>
        <w:tab/>
        <w:t xml:space="preserve">Yasaklanan fiilleri işleyenler, tüm kamu kurum ve kuruluşları tarafından yapılan ihalelere en az bir yıldan iki yıla kadar yasaktır. Buna ek olarak, KPA, kamu ihalelerine katılması yasaklanan isteklilerin bir listesini tutar ve ihale komisyonları, başarılı isteklinin kara listede olup olmadığını kontrol eder. Yasaklanan fiillerden birinin TCK'ya göre suç teşkil etmesi halinde, bu durum Cumhuriyet savcılarına bildirilir ve haklarında ceza davası açılanlar, yargılama süreci sona erinceye kadar kamu ihalelerine katılamaz. Satın </w:t>
      </w:r>
      <w:r w:rsidRPr="00417AC1">
        <w:rPr>
          <w:bCs/>
          <w:lang w:val="tr-TR"/>
        </w:rPr>
        <w:t xml:space="preserve">alma görevlileri görevlerini </w:t>
      </w:r>
      <w:r w:rsidRPr="00417AC1">
        <w:rPr>
          <w:lang w:val="tr-TR"/>
        </w:rPr>
        <w:t>tarafsız ve yasalara uygun olarak yerine getirmek zorundadır; aksi takdirde KİK'te belirtilen yaptırımlara tabi olacaklardır.</w:t>
      </w:r>
    </w:p>
    <w:p w14:paraId="515971AB" w14:textId="77777777" w:rsidR="00856523" w:rsidRPr="00417AC1" w:rsidRDefault="00856523" w:rsidP="00856523">
      <w:pPr>
        <w:pStyle w:val="SingleTxtG"/>
        <w:rPr>
          <w:lang w:val="tr-TR"/>
        </w:rPr>
      </w:pPr>
      <w:r w:rsidRPr="00417AC1">
        <w:rPr>
          <w:lang w:val="tr-TR"/>
        </w:rPr>
        <w:t xml:space="preserve">137. TCK'nın 235 ve 236. </w:t>
      </w:r>
      <w:r w:rsidRPr="00417AC1">
        <w:rPr>
          <w:lang w:val="tr-TR"/>
        </w:rPr>
        <w:tab/>
      </w:r>
      <w:r w:rsidRPr="00417AC1">
        <w:rPr>
          <w:bCs/>
          <w:lang w:val="tr-TR"/>
        </w:rPr>
        <w:t xml:space="preserve">maddeleri </w:t>
      </w:r>
      <w:r w:rsidRPr="00417AC1">
        <w:rPr>
          <w:lang w:val="tr-TR"/>
        </w:rPr>
        <w:t>ihalelerde sahtekarlığı tanımlamakta ve yasaklamaktadır. Bu suçu işleyenlere üç yıldan yedi yıla kadar hapis cezası verilir.</w:t>
      </w:r>
    </w:p>
    <w:p w14:paraId="6F6A889B" w14:textId="77777777" w:rsidR="00856523" w:rsidRPr="00417AC1" w:rsidRDefault="00856523" w:rsidP="00856523">
      <w:pPr>
        <w:pStyle w:val="SingleTxtG"/>
        <w:rPr>
          <w:lang w:val="tr-TR"/>
        </w:rPr>
      </w:pPr>
      <w:r w:rsidRPr="00417AC1">
        <w:rPr>
          <w:lang w:val="tr-TR"/>
        </w:rPr>
        <w:t xml:space="preserve">138. </w:t>
      </w:r>
      <w:r w:rsidRPr="00417AC1">
        <w:rPr>
          <w:lang w:val="tr-TR"/>
        </w:rPr>
        <w:tab/>
        <w:t>Türkiye, 1 Ocak 2004 tarihi itibariyle GRECO'ya üye olmuş ve GRECO'nun faaliyetlerine aktif olarak katılmakta, OECD ve FATF'nin tüm karar ve tavsiyelerini eksiksiz olarak uygulamaktadır.</w:t>
      </w:r>
    </w:p>
    <w:p w14:paraId="65079A31" w14:textId="77777777" w:rsidR="00856523" w:rsidRPr="00417AC1" w:rsidRDefault="00856523" w:rsidP="00856523">
      <w:pPr>
        <w:pStyle w:val="H4G"/>
        <w:rPr>
          <w:b/>
          <w:lang w:val="tr-TR"/>
        </w:rPr>
      </w:pPr>
      <w:r w:rsidRPr="00417AC1">
        <w:rPr>
          <w:lang w:val="tr-TR"/>
        </w:rPr>
        <w:lastRenderedPageBreak/>
        <w:tab/>
      </w:r>
      <w:r w:rsidRPr="00417AC1">
        <w:rPr>
          <w:lang w:val="tr-TR"/>
        </w:rPr>
        <w:tab/>
        <w:t>İstatistik</w:t>
      </w:r>
    </w:p>
    <w:p w14:paraId="6FB33B9D" w14:textId="0D08702D" w:rsidR="00856523" w:rsidRPr="00417AC1" w:rsidRDefault="00856523" w:rsidP="00856523">
      <w:pPr>
        <w:pStyle w:val="SingleTxtG"/>
        <w:rPr>
          <w:lang w:val="tr-TR"/>
        </w:rPr>
      </w:pPr>
      <w:r w:rsidRPr="00417AC1">
        <w:rPr>
          <w:lang w:val="tr-TR"/>
        </w:rPr>
        <w:t xml:space="preserve">139. </w:t>
      </w:r>
      <w:r w:rsidRPr="00417AC1">
        <w:rPr>
          <w:lang w:val="tr-TR"/>
        </w:rPr>
        <w:tab/>
        <w:t xml:space="preserve">Suç teşkil eden fiillere ilişkin Sayıştay, </w:t>
      </w:r>
      <w:r w:rsidR="00742BC4" w:rsidRPr="00417AC1">
        <w:rPr>
          <w:lang w:val="tr-TR"/>
        </w:rPr>
        <w:t>2021 yılı sonu itibarıyla 11 konuyu ele alınmak üzere ilgili Cumhuriyet Savcılıklarına gönderdi.</w:t>
      </w:r>
    </w:p>
    <w:p w14:paraId="4A02F2DE" w14:textId="5841851E" w:rsidR="00856523" w:rsidRPr="00417AC1" w:rsidRDefault="00856523" w:rsidP="00856523">
      <w:pPr>
        <w:pStyle w:val="SingleTxtG"/>
        <w:rPr>
          <w:lang w:val="tr-TR"/>
        </w:rPr>
      </w:pPr>
      <w:r w:rsidRPr="00417AC1">
        <w:rPr>
          <w:lang w:val="tr-TR"/>
        </w:rPr>
        <w:t xml:space="preserve">140. </w:t>
      </w:r>
      <w:r w:rsidRPr="00417AC1">
        <w:rPr>
          <w:lang w:val="tr-TR"/>
        </w:rPr>
        <w:tab/>
        <w:t xml:space="preserve">TMSF'nin şirketlere kayyım atadığı Eylül 2016'dan bu yana savcılıklara 15 şikâyette bulunuldu </w:t>
      </w:r>
      <w:r w:rsidR="00742BC4" w:rsidRPr="00417AC1">
        <w:rPr>
          <w:lang w:val="tr-TR"/>
        </w:rPr>
        <w:t>ve 5'inde takipsizlik kararı verildi. Cumhurbaşkanlığı Denetleme Kurulu, bir dosyada 5411 sayılı Bankacılık Kanunu'nun 127'nci maddesine dayanarak soruşturma izni verilmemesine karar verdi. 6 dosyada soruşturma ve bilgi ve belge toplama süreçleri, 1 dosyanın ise ceza davası devam ediyor. Ayrıca, TMSF'nin kayyum sıfatıyla adli satışlarına ilişkin olarak idare mahkemelerinde açılan 158 iptal davasından 113'ü kabul edilmiş, 4'ü reddedilmiş olup, 41'i istinaf süreci devam etmektedir.</w:t>
      </w:r>
    </w:p>
    <w:p w14:paraId="6E2BF9CD" w14:textId="74B99ED2" w:rsidR="00856523" w:rsidRPr="00417AC1" w:rsidRDefault="00856523" w:rsidP="00856523">
      <w:pPr>
        <w:pStyle w:val="H23G"/>
        <w:rPr>
          <w:lang w:val="tr-TR"/>
        </w:rPr>
      </w:pPr>
      <w:bookmarkStart w:id="13" w:name="_Toc110354335"/>
      <w:r w:rsidRPr="00417AC1">
        <w:rPr>
          <w:lang w:val="tr-TR"/>
        </w:rPr>
        <w:tab/>
      </w:r>
      <w:r w:rsidRPr="00417AC1">
        <w:rPr>
          <w:lang w:val="tr-TR"/>
        </w:rPr>
        <w:tab/>
        <w:t xml:space="preserve">Zorla kaybetmeler ve adam kaçırmalar </w:t>
      </w:r>
      <w:r w:rsidR="00214245" w:rsidRPr="00417AC1">
        <w:rPr>
          <w:lang w:val="tr-TR"/>
        </w:rPr>
        <w:t>– Madde 6, 9 ve 12</w:t>
      </w:r>
      <w:bookmarkEnd w:id="13"/>
    </w:p>
    <w:p w14:paraId="281B0E6F" w14:textId="77777777" w:rsidR="00856523" w:rsidRPr="00417AC1" w:rsidRDefault="00856523" w:rsidP="00856523">
      <w:pPr>
        <w:pStyle w:val="SingleTxtG"/>
        <w:rPr>
          <w:lang w:val="tr-TR"/>
        </w:rPr>
      </w:pPr>
      <w:r w:rsidRPr="00417AC1">
        <w:rPr>
          <w:lang w:val="tr-TR"/>
        </w:rPr>
        <w:t xml:space="preserve">141. </w:t>
      </w:r>
      <w:r w:rsidRPr="00417AC1">
        <w:rPr>
          <w:lang w:val="tr-TR"/>
        </w:rPr>
        <w:tab/>
        <w:t>Kolluk kuvvetlerinin tüm işlemleri, ilgili kanunlarda belirtilen usul ve esaslara uygun olarak yürütülmekte olup, adli makamlar, ulusal ve uluslararası otoriteler tarafından denetlenmektedir.</w:t>
      </w:r>
    </w:p>
    <w:p w14:paraId="31056D99" w14:textId="77777777" w:rsidR="00856523" w:rsidRPr="00417AC1" w:rsidRDefault="00856523" w:rsidP="00856523">
      <w:pPr>
        <w:pStyle w:val="SingleTxtG"/>
        <w:rPr>
          <w:lang w:val="tr-TR"/>
        </w:rPr>
      </w:pPr>
      <w:r w:rsidRPr="00417AC1">
        <w:rPr>
          <w:lang w:val="tr-TR"/>
        </w:rPr>
        <w:t xml:space="preserve">142. </w:t>
      </w:r>
      <w:r w:rsidRPr="00417AC1">
        <w:rPr>
          <w:lang w:val="tr-TR"/>
        </w:rPr>
        <w:tab/>
        <w:t>BM Zorla ve İrade Dışı Kayıplar Çalışma Grubu, Çalışma Grubu tarafından Türkiye'ye iletilen kişilere ilişkin soruşturma/kovuşturma süreçleri hakkında bilgilendirilmektedir. Bu konulara ilişkin diğer BM Özel Mekanizmalarından alınan iletişimlere de gerektiği gibi yanıt verilmektedir.</w:t>
      </w:r>
    </w:p>
    <w:p w14:paraId="384A660B" w14:textId="5DCD3FA5" w:rsidR="00856523" w:rsidRPr="00417AC1" w:rsidRDefault="00856523" w:rsidP="00856523">
      <w:pPr>
        <w:pStyle w:val="SingleTxtG"/>
        <w:rPr>
          <w:lang w:val="tr-TR"/>
        </w:rPr>
      </w:pPr>
      <w:r w:rsidRPr="00417AC1">
        <w:rPr>
          <w:lang w:val="tr-TR"/>
        </w:rPr>
        <w:t xml:space="preserve">143. </w:t>
      </w:r>
      <w:r w:rsidRPr="00417AC1">
        <w:rPr>
          <w:lang w:val="tr-TR"/>
        </w:rPr>
        <w:tab/>
        <w:t xml:space="preserve">Bazı kaçırma iddiaları FETÖ'nün yaygın ve kötü niyetli stratejisinin bir parçasıdır. Terör örgütünün elebaşının, FETÖ üyesi olduğundan şüphelenilen kişilerin " </w:t>
      </w:r>
      <w:r w:rsidRPr="00417AC1">
        <w:rPr>
          <w:i/>
          <w:lang w:val="tr-TR"/>
        </w:rPr>
        <w:t xml:space="preserve">gaybubet </w:t>
      </w:r>
      <w:r w:rsidRPr="00417AC1">
        <w:rPr>
          <w:lang w:val="tr-TR"/>
        </w:rPr>
        <w:t>evleri" adı verilen özel evlerde saklanması ve kaçırılma mağduru gibi davranması yönünde net talimatı var. Temel amaç, üyelere FETÖ'nün yasa dışı faaliyetlerini takip etme olanağı sağlamak ve tutuklanma riskini ortadan kaldırmaktır.</w:t>
      </w:r>
    </w:p>
    <w:p w14:paraId="19397736" w14:textId="6D6D207F" w:rsidR="00856523" w:rsidRPr="00417AC1" w:rsidRDefault="00856523" w:rsidP="00856523">
      <w:pPr>
        <w:pStyle w:val="SingleTxtG"/>
        <w:rPr>
          <w:lang w:val="tr-TR"/>
        </w:rPr>
      </w:pPr>
      <w:r w:rsidRPr="00417AC1">
        <w:rPr>
          <w:lang w:val="tr-TR"/>
        </w:rPr>
        <w:t xml:space="preserve">144. </w:t>
      </w:r>
      <w:r w:rsidRPr="00417AC1">
        <w:rPr>
          <w:lang w:val="tr-TR"/>
        </w:rPr>
        <w:tab/>
        <w:t>Örneğin,</w:t>
      </w:r>
      <w:r w:rsidRPr="00417AC1">
        <w:rPr>
          <w:b/>
          <w:bCs/>
          <w:lang w:val="tr-TR"/>
        </w:rPr>
        <w:t xml:space="preserve"> </w:t>
      </w:r>
      <w:r w:rsidRPr="00417AC1">
        <w:rPr>
          <w:lang w:val="tr-TR"/>
        </w:rPr>
        <w:t xml:space="preserve">AİHM'ye yapılan Irmak ve diğerleri/Türkiye (Başvuru no.18036/19), </w:t>
      </w:r>
      <w:r w:rsidRPr="00417AC1">
        <w:rPr>
          <w:rStyle w:val="FootnoteReference"/>
          <w:szCs w:val="18"/>
          <w:lang w:val="tr-TR"/>
        </w:rPr>
        <w:footnoteReference w:id="4"/>
      </w:r>
      <w:r w:rsidRPr="00417AC1">
        <w:rPr>
          <w:lang w:val="tr-TR"/>
        </w:rPr>
        <w:t xml:space="preserve">Zeybek ve diğerleri/Türkiye (Başvuru no.21330/19) </w:t>
      </w:r>
      <w:r w:rsidRPr="00417AC1">
        <w:rPr>
          <w:rStyle w:val="FootnoteReference"/>
          <w:szCs w:val="18"/>
          <w:lang w:val="tr-TR"/>
        </w:rPr>
        <w:footnoteReference w:id="5"/>
      </w:r>
      <w:r w:rsidRPr="00417AC1">
        <w:rPr>
          <w:lang w:val="tr-TR"/>
        </w:rPr>
        <w:t xml:space="preserve">ve Kaya ve diğerleri/Türkiye (Başvuru no.14443/19) başvuruları </w:t>
      </w:r>
      <w:r w:rsidRPr="00417AC1">
        <w:rPr>
          <w:rStyle w:val="FootnoteReference"/>
          <w:szCs w:val="18"/>
          <w:lang w:val="tr-TR"/>
        </w:rPr>
        <w:footnoteReference w:id="6"/>
      </w:r>
      <w:r w:rsidRPr="00417AC1">
        <w:rPr>
          <w:lang w:val="tr-TR"/>
        </w:rPr>
        <w:t>daha sonra başvurucular tarafından geri çekilmiş, bunun sonucunda Mahkeme davaların reddine karar vermiştir. AİHM de benzer şekilde Okumuş ve diğerleri/Türkiye'nin (Başvuru no.58984/17) başvurusunu reddetmiştir.</w:t>
      </w:r>
      <w:r w:rsidRPr="00417AC1">
        <w:rPr>
          <w:rStyle w:val="FootnoteReference"/>
          <w:szCs w:val="18"/>
          <w:lang w:val="tr-TR"/>
        </w:rPr>
        <w:footnoteReference w:id="7"/>
      </w:r>
      <w:r w:rsidRPr="00417AC1">
        <w:rPr>
          <w:sz w:val="18"/>
          <w:szCs w:val="18"/>
          <w:lang w:val="tr-TR"/>
        </w:rPr>
        <w:t xml:space="preserve"> </w:t>
      </w:r>
      <w:r w:rsidRPr="00417AC1">
        <w:rPr>
          <w:lang w:val="tr-TR"/>
        </w:rPr>
        <w:t xml:space="preserve">takip edilmediği için devlet yetkilileri tarafından kaçırıldığı iddia edildi. Son olarak AİHM, Tunç ve diğerleri/Türkiye'nin (Başvuru no. 45801/19) </w:t>
      </w:r>
      <w:r w:rsidRPr="00417AC1">
        <w:rPr>
          <w:rStyle w:val="FootnoteReference"/>
          <w:szCs w:val="18"/>
          <w:lang w:val="tr-TR"/>
        </w:rPr>
        <w:footnoteReference w:id="8"/>
      </w:r>
      <w:r w:rsidRPr="00417AC1">
        <w:rPr>
          <w:lang w:val="tr-TR"/>
        </w:rPr>
        <w:t>benzer şikâyet başvurusunu, şikâyetlerin açıkça dayanaktan yoksun olduğu gerekçesiyle kabul edilemez buldu.</w:t>
      </w:r>
    </w:p>
    <w:p w14:paraId="4C9F0378" w14:textId="77777777" w:rsidR="00856523" w:rsidRPr="00417AC1" w:rsidRDefault="00856523" w:rsidP="00856523">
      <w:pPr>
        <w:pStyle w:val="SingleTxtG"/>
        <w:rPr>
          <w:lang w:val="tr-TR"/>
        </w:rPr>
      </w:pPr>
      <w:r w:rsidRPr="00417AC1">
        <w:rPr>
          <w:lang w:val="tr-TR"/>
        </w:rPr>
        <w:t xml:space="preserve">145. </w:t>
      </w:r>
      <w:r w:rsidRPr="00417AC1">
        <w:rPr>
          <w:lang w:val="tr-TR"/>
        </w:rPr>
        <w:tab/>
        <w:t>Bu tür taktikler, uluslararası kamuoyunu kandırmaya yönelik kasıtlı girişimlerdir ve açıkça uluslararası şikayet mekanizmalarının kötüye kullanılması anlamına gelmektedir.</w:t>
      </w:r>
    </w:p>
    <w:p w14:paraId="0B54FCEC" w14:textId="0CFE008D" w:rsidR="00856523" w:rsidRPr="00417AC1" w:rsidRDefault="00856523" w:rsidP="00856523">
      <w:pPr>
        <w:pStyle w:val="H23G"/>
        <w:rPr>
          <w:lang w:val="tr-TR"/>
        </w:rPr>
      </w:pPr>
      <w:bookmarkStart w:id="14" w:name="_Toc110354336"/>
      <w:r w:rsidRPr="00417AC1">
        <w:rPr>
          <w:lang w:val="tr-TR"/>
        </w:rPr>
        <w:tab/>
      </w:r>
      <w:r w:rsidRPr="00417AC1">
        <w:rPr>
          <w:lang w:val="tr-TR"/>
        </w:rPr>
        <w:tab/>
        <w:t xml:space="preserve">İşkence ve zalimce, insanlık dışı veya aşağılayıcı muamele veya ceza yasağı </w:t>
      </w:r>
      <w:r w:rsidR="00713E5B" w:rsidRPr="00417AC1">
        <w:rPr>
          <w:lang w:val="tr-TR"/>
        </w:rPr>
        <w:t>– Madde 2, 7, 9, 10, 12 ve 14</w:t>
      </w:r>
      <w:bookmarkEnd w:id="14"/>
    </w:p>
    <w:p w14:paraId="5677938B" w14:textId="7DF04639" w:rsidR="00856523" w:rsidRPr="00417AC1" w:rsidRDefault="00856523" w:rsidP="00856523">
      <w:pPr>
        <w:pStyle w:val="SingleTxtG"/>
        <w:rPr>
          <w:lang w:val="tr-TR"/>
        </w:rPr>
      </w:pPr>
      <w:r w:rsidRPr="00417AC1">
        <w:rPr>
          <w:lang w:val="tr-TR"/>
        </w:rPr>
        <w:t xml:space="preserve">146. </w:t>
      </w:r>
      <w:r w:rsidRPr="00417AC1">
        <w:rPr>
          <w:lang w:val="tr-TR"/>
        </w:rPr>
        <w:tab/>
        <w:t xml:space="preserve">Türkiye, 2003 yılından bu yana “işkenceye karşı sıfır tolerans” politikasını benimsemiş </w:t>
      </w:r>
      <w:r w:rsidR="00BA1A10" w:rsidRPr="00417AC1">
        <w:rPr>
          <w:lang w:val="tr-TR"/>
        </w:rPr>
        <w:t>ve her türlü işkence ve kötü muamele eylemini önlemek, soruşturmak, kovuşturmak ve cezalandırmak amacıyla kapsamlı bir dizi mevzuat ve diğer tedbirleri uygulamaya koymuştur. Türkiye periyodik olarak İşkenceyle Mücadele Komitesi'ne ülke raporları sunmaktadır. 2014 tarihli 4. Ülke Raporu ve 2020 tarihli 5. Ülke Raporu kapsamlı ve detaylı bilgiler içermekte olup, BM veri tabanından erişilebilmektedir.</w:t>
      </w:r>
    </w:p>
    <w:p w14:paraId="446422F9" w14:textId="77777777" w:rsidR="00856523" w:rsidRPr="00417AC1" w:rsidRDefault="00856523" w:rsidP="00856523">
      <w:pPr>
        <w:pStyle w:val="SingleTxtG"/>
        <w:rPr>
          <w:lang w:val="tr-TR"/>
        </w:rPr>
      </w:pPr>
      <w:r w:rsidRPr="00417AC1">
        <w:rPr>
          <w:lang w:val="tr-TR"/>
        </w:rPr>
        <w:t xml:space="preserve">147. </w:t>
      </w:r>
      <w:r w:rsidRPr="00417AC1">
        <w:rPr>
          <w:lang w:val="tr-TR"/>
        </w:rPr>
        <w:tab/>
        <w:t xml:space="preserve">Anayasa'nın 17/3 maddesinde hiç kimseye işkence yapılamaz, insan onuruyla bağdaşmayan bir ceza veya muamele uygulanamayacağı belirtilmektedir. TCK'nın 77. maddesinde işkencenin, bir topluluğa karşı siyasi, felsefi, ırksal veya dini saiklerle işlenmesi halinde evrensel bir insanlığa karşı suç sayılacağı belirtilmektedir. TCK'nın 94. maddesi, insan onuruyla bağdaşmayan, kişinin bedensel veya ruhsal açıdan acı çekmesine neden </w:t>
      </w:r>
      <w:r w:rsidRPr="00417AC1">
        <w:rPr>
          <w:lang w:val="tr-TR"/>
        </w:rPr>
        <w:lastRenderedPageBreak/>
        <w:t>olacak, algısını veya iradesini etkileyecek veya kamu görevlisi tarafından aşağılanmasına neden olacak eylemlerin işkence suçunu oluşturduğunu düzenlemektedir.</w:t>
      </w:r>
    </w:p>
    <w:p w14:paraId="509E7E60" w14:textId="77777777" w:rsidR="00856523" w:rsidRPr="00417AC1" w:rsidRDefault="00856523" w:rsidP="00856523">
      <w:pPr>
        <w:pStyle w:val="SingleTxtG"/>
        <w:rPr>
          <w:lang w:val="tr-TR"/>
        </w:rPr>
      </w:pPr>
      <w:r w:rsidRPr="00417AC1">
        <w:rPr>
          <w:lang w:val="tr-TR"/>
        </w:rPr>
        <w:t xml:space="preserve">148. </w:t>
      </w:r>
      <w:r w:rsidRPr="00417AC1">
        <w:rPr>
          <w:lang w:val="tr-TR"/>
        </w:rPr>
        <w:tab/>
        <w:t>2013 yılında işkence suçuna ilişkin zamanaşımı tamamen kaldırılmış ve 23 Ocak 2017 tarih ve 682 sayılı Kanun Hükmünde Kararname ile işkence memuriyetten çıkarılma sebeplerinden biri olarak kabul edilmiştir.</w:t>
      </w:r>
    </w:p>
    <w:p w14:paraId="6B63137F" w14:textId="77777777" w:rsidR="00856523" w:rsidRPr="00417AC1" w:rsidRDefault="00856523" w:rsidP="00856523">
      <w:pPr>
        <w:pStyle w:val="H4G"/>
        <w:rPr>
          <w:b/>
          <w:lang w:val="tr-TR"/>
        </w:rPr>
      </w:pPr>
      <w:bookmarkStart w:id="15" w:name="_Hlk109762113"/>
      <w:r w:rsidRPr="00417AC1">
        <w:rPr>
          <w:lang w:val="tr-TR"/>
        </w:rPr>
        <w:tab/>
      </w:r>
      <w:r w:rsidRPr="00417AC1">
        <w:rPr>
          <w:lang w:val="tr-TR"/>
        </w:rPr>
        <w:tab/>
        <w:t>İşkenceyle mücadelede ulusal önleme mekanizmaları ve uluslararası denetim</w:t>
      </w:r>
    </w:p>
    <w:bookmarkEnd w:id="15"/>
    <w:p w14:paraId="52EFDB2F" w14:textId="77777777" w:rsidR="00856523" w:rsidRPr="00417AC1" w:rsidRDefault="00856523" w:rsidP="00856523">
      <w:pPr>
        <w:pStyle w:val="SingleTxtG"/>
        <w:rPr>
          <w:lang w:val="tr-TR"/>
        </w:rPr>
      </w:pPr>
      <w:r w:rsidRPr="00417AC1">
        <w:rPr>
          <w:lang w:val="tr-TR"/>
        </w:rPr>
        <w:t xml:space="preserve">149. </w:t>
      </w:r>
      <w:r w:rsidRPr="00417AC1">
        <w:rPr>
          <w:lang w:val="tr-TR"/>
        </w:rPr>
        <w:tab/>
        <w:t>Ceza infaz kurumları ulusal ve uluslararası denetime açıktır. Ulusal düzeyde ise savcılar, cezaevlerinden sorumlu savcılar, Adalet Bakanlığı müfettişleri, kontrolörler, sivil izleme kurulları, STK temsilcilerinden oluşan il ve ilçe insan hakları kurulları, TBMM İnsan Haklarını İnceleme Komisyonu, HREIT tarafından izlenmekte ve denetlenmektedir. ve OI.</w:t>
      </w:r>
    </w:p>
    <w:p w14:paraId="56B87137" w14:textId="77777777" w:rsidR="00856523" w:rsidRPr="00417AC1" w:rsidRDefault="00856523" w:rsidP="00856523">
      <w:pPr>
        <w:pStyle w:val="SingleTxtG"/>
        <w:rPr>
          <w:lang w:val="tr-TR"/>
        </w:rPr>
      </w:pPr>
      <w:r w:rsidRPr="00417AC1">
        <w:rPr>
          <w:lang w:val="tr-TR"/>
        </w:rPr>
        <w:t xml:space="preserve">150. </w:t>
      </w:r>
      <w:r w:rsidRPr="00417AC1">
        <w:rPr>
          <w:lang w:val="tr-TR"/>
        </w:rPr>
        <w:tab/>
        <w:t>CMK ve Tutuklama, Gözaltı ve İfade Yönetmeliği uyarınca gözaltı odaları, varsa ifade alma odaları, tutukluların durumları, tutukluluk nedenleri ve süreleri, tutuklamaya ilişkin tüm kayıt ve işlemler ve Gözaltına alınanlar, Cumhuriyet başsavcıları veya belirleyecekleri Cumhuriyet savcıları tarafından denetlenir.</w:t>
      </w:r>
    </w:p>
    <w:p w14:paraId="7CDC2E55" w14:textId="77777777" w:rsidR="00856523" w:rsidRPr="00417AC1" w:rsidRDefault="00856523" w:rsidP="00856523">
      <w:pPr>
        <w:pStyle w:val="SingleTxtG"/>
        <w:rPr>
          <w:lang w:val="tr-TR"/>
        </w:rPr>
      </w:pPr>
      <w:r w:rsidRPr="00417AC1">
        <w:rPr>
          <w:lang w:val="tr-TR"/>
        </w:rPr>
        <w:t xml:space="preserve">151. </w:t>
      </w:r>
      <w:r w:rsidRPr="00417AC1">
        <w:rPr>
          <w:lang w:val="tr-TR"/>
        </w:rPr>
        <w:tab/>
        <w:t>Polis karakolları ve gözaltı yerleri, mülki müfettişler tarafından periyodik olarak il ve ilçe genel denetimleriyle denetlenmektedir.</w:t>
      </w:r>
    </w:p>
    <w:p w14:paraId="25EA6D8A" w14:textId="77777777" w:rsidR="00856523" w:rsidRPr="00417AC1" w:rsidRDefault="00856523" w:rsidP="00856523">
      <w:pPr>
        <w:pStyle w:val="SingleTxtG"/>
        <w:rPr>
          <w:lang w:val="tr-TR"/>
        </w:rPr>
      </w:pPr>
      <w:r w:rsidRPr="00417AC1">
        <w:rPr>
          <w:lang w:val="tr-TR"/>
        </w:rPr>
        <w:t xml:space="preserve">152. </w:t>
      </w:r>
      <w:r w:rsidRPr="00417AC1">
        <w:rPr>
          <w:lang w:val="tr-TR"/>
        </w:rPr>
        <w:tab/>
        <w:t>Adalet Bakanlığı, soruşturmaların etkinliğini artırmak amacıyla 20 Şubat 2015 tarihinde 158 sayılı Genelge yayınlayarak, başta işkence ve kötü muamele olmak üzere insan hakları ihlali iddialarına ilişkin soruşturmaların bizzat Cumhuriyet Başsavcısı veya bir Cumhuriyet Başsavcısı tarafından yürütülmesi gerektiğini belirlemiştir. Savcı, Cumhuriyet Başsavcılığını atadı.</w:t>
      </w:r>
    </w:p>
    <w:p w14:paraId="2D7907F2" w14:textId="77777777" w:rsidR="00856523" w:rsidRPr="00417AC1" w:rsidRDefault="00856523" w:rsidP="00856523">
      <w:pPr>
        <w:pStyle w:val="SingleTxtG"/>
        <w:rPr>
          <w:lang w:val="tr-TR"/>
        </w:rPr>
      </w:pPr>
      <w:r w:rsidRPr="00417AC1">
        <w:rPr>
          <w:lang w:val="tr-TR"/>
        </w:rPr>
        <w:t xml:space="preserve">153. </w:t>
      </w:r>
      <w:r w:rsidRPr="00417AC1">
        <w:rPr>
          <w:lang w:val="tr-TR"/>
        </w:rPr>
        <w:tab/>
        <w:t>Kolluk Denetleme Komisyonu Mayıs 2016 tarih ve 6713 sayılı Kanunla kurulmuştur. Denetim kurulu olarak kolluk görevlilerine yönelik tüm soruşturmalar ve disiplin işlemleri için ortak bir veri tabanı oluşturarak kolluk birimlerinin etkinliğini ve şeffaflığını artırmayı amaçlamaktadır. . Kanunun Uygulanmasına İlişkin Yönetmelik 7 Ağustos 2019 tarihinde Resmi Gazete’de yayımlandı.</w:t>
      </w:r>
    </w:p>
    <w:p w14:paraId="1732AD54" w14:textId="6DB022A2" w:rsidR="00856523" w:rsidRPr="00417AC1" w:rsidRDefault="00856523" w:rsidP="00856523">
      <w:pPr>
        <w:pStyle w:val="SingleTxtG"/>
        <w:rPr>
          <w:lang w:val="tr-TR"/>
        </w:rPr>
      </w:pPr>
      <w:r w:rsidRPr="00417AC1">
        <w:rPr>
          <w:lang w:val="tr-TR"/>
        </w:rPr>
        <w:t xml:space="preserve">154. </w:t>
      </w:r>
      <w:r w:rsidRPr="00417AC1">
        <w:rPr>
          <w:lang w:val="tr-TR"/>
        </w:rPr>
        <w:tab/>
        <w:t xml:space="preserve">HREIT, OPCAT kapsamındaki UPM olarak, özgürlüğünden yoksun bırakılan veya koruma altına alınan kişilerin başvurularını inceler, bu kişilerin tutulduğu yerlere düzenli olarak bilgili veya habersiz ziyaretler yapar ve bu ziyaretlere ilişkin raporlar hazırlar. HREIT, ceza infaz kurumlarının yanı sıra ülkesine geri gönderme merkezlerini, psikiyatri merkezlerini, huzurevlerini, yaşlı bakım ve rehabilitasyon merkezlerini, çocuk </w:t>
      </w:r>
      <w:r w:rsidR="00742BC4" w:rsidRPr="00417AC1">
        <w:rPr>
          <w:lang w:val="tr-TR"/>
        </w:rPr>
        <w:t>evlerini ve çocuk bakım evlerini, çocuk destek merkezlerini, engelli bakım ve rehabilitasyon merkezlerini ve geçici konaklama merkezlerini ziyaret etmektedir.</w:t>
      </w:r>
    </w:p>
    <w:p w14:paraId="0E301DE6" w14:textId="77777777" w:rsidR="00856523" w:rsidRPr="00417AC1" w:rsidRDefault="00856523" w:rsidP="00856523">
      <w:pPr>
        <w:pStyle w:val="SingleTxtG"/>
        <w:rPr>
          <w:lang w:val="tr-TR"/>
        </w:rPr>
      </w:pPr>
      <w:r w:rsidRPr="00417AC1">
        <w:rPr>
          <w:lang w:val="tr-TR"/>
        </w:rPr>
        <w:t xml:space="preserve">155. </w:t>
      </w:r>
      <w:r w:rsidRPr="00417AC1">
        <w:rPr>
          <w:lang w:val="tr-TR"/>
        </w:rPr>
        <w:tab/>
        <w:t>Uluslararası düzeyde, özgürlüğünden yoksun bırakılan kişilerin tutulduğu tüm yerler, CPT, SPT, BM Keyfi Gözaltı Çalışma Grubu ve BM İşkencenin Önlenmesi Özel Raportörü gibi mekanizmalar tarafından ziyaret edilip denetlenebilmektedir.</w:t>
      </w:r>
    </w:p>
    <w:p w14:paraId="66F7C4BD" w14:textId="77777777" w:rsidR="00856523" w:rsidRPr="00417AC1" w:rsidRDefault="00856523" w:rsidP="00856523">
      <w:pPr>
        <w:pStyle w:val="H4G"/>
        <w:rPr>
          <w:b/>
          <w:lang w:val="tr-TR"/>
        </w:rPr>
      </w:pPr>
      <w:r w:rsidRPr="00417AC1">
        <w:rPr>
          <w:lang w:val="tr-TR"/>
        </w:rPr>
        <w:tab/>
      </w:r>
      <w:r w:rsidRPr="00417AC1">
        <w:rPr>
          <w:lang w:val="tr-TR"/>
        </w:rPr>
        <w:tab/>
        <w:t>İstatistik</w:t>
      </w:r>
    </w:p>
    <w:p w14:paraId="4A436BBD" w14:textId="230B834A" w:rsidR="00856523" w:rsidRPr="00417AC1" w:rsidRDefault="00856523" w:rsidP="00856523">
      <w:pPr>
        <w:pStyle w:val="SingleTxtG"/>
        <w:rPr>
          <w:lang w:val="tr-TR"/>
        </w:rPr>
      </w:pPr>
      <w:r w:rsidRPr="00417AC1">
        <w:rPr>
          <w:lang w:val="tr-TR"/>
        </w:rPr>
        <w:t xml:space="preserve">156. </w:t>
      </w:r>
      <w:r w:rsidRPr="00417AC1">
        <w:rPr>
          <w:lang w:val="tr-TR"/>
        </w:rPr>
        <w:tab/>
      </w:r>
      <w:r w:rsidR="00BA1A10" w:rsidRPr="00417AC1">
        <w:rPr>
          <w:lang w:val="tr-TR"/>
        </w:rPr>
        <w:t xml:space="preserve">Emniyet Genel Müdürlüğü personeline yönelik “işkence” </w:t>
      </w:r>
      <w:r w:rsidRPr="00417AC1">
        <w:rPr>
          <w:lang w:val="tr-TR"/>
        </w:rPr>
        <w:t xml:space="preserve">iddialarını içeren 2017 yılında 20, 2018 yılında 21, 2019 yılında 14, 2020 yılında 12 ve 2021 yılında 37 olmak üzere toplam 104 idari soruşturma dosyası bulunmaktadır. </w:t>
      </w:r>
      <w:r w:rsidR="00BA1A10" w:rsidRPr="00417AC1">
        <w:rPr>
          <w:lang w:val="tr-TR"/>
        </w:rPr>
        <w:t>2017 yılında 16, 2018 yılında 10, 2019 yılında 8, 2020 yılında 13 ve 2021 yılında 13 adet olmak üzere toplam 61 adet adli soruşturma dosyası bulunmaktadır.</w:t>
      </w:r>
    </w:p>
    <w:p w14:paraId="17890CC7" w14:textId="77777777" w:rsidR="00856523" w:rsidRPr="00417AC1" w:rsidRDefault="00856523" w:rsidP="00856523">
      <w:pPr>
        <w:pStyle w:val="SingleTxtG"/>
        <w:rPr>
          <w:lang w:val="tr-TR"/>
        </w:rPr>
      </w:pPr>
      <w:r w:rsidRPr="00417AC1">
        <w:rPr>
          <w:lang w:val="tr-TR"/>
        </w:rPr>
        <w:t xml:space="preserve">157. </w:t>
      </w:r>
      <w:r w:rsidRPr="00417AC1">
        <w:rPr>
          <w:lang w:val="tr-TR"/>
        </w:rPr>
        <w:tab/>
        <w:t>Türkiye İnsan Hakları Kurumu, UÖM olarak 2014 yılında 5, 2015 yılında ise 7 ziyaret gerçekleştirmiştir. Bu ziyaret raporlarına ek olarak 2014 yılında 4 adet tematik rapor, 2015 yılında ise 2 adet tematik rapor ve inceleme raporu UPM olarak hazırlanmıştır. 2014 yılında 134, 2015 yılında ise 211 başvuru incelendi. Kötü muamele yasağına ilişkin olarak 2015 yılında ceza infaz kurumlarından gelen başvurular hariç 21 başvuru incelendi.</w:t>
      </w:r>
    </w:p>
    <w:p w14:paraId="7FBBDCF8" w14:textId="345A07FF" w:rsidR="00856523" w:rsidRPr="00417AC1" w:rsidRDefault="00856523" w:rsidP="004852C7">
      <w:pPr>
        <w:pStyle w:val="SingleTxtG"/>
        <w:spacing w:after="240"/>
        <w:rPr>
          <w:lang w:val="tr-TR"/>
        </w:rPr>
      </w:pPr>
      <w:r w:rsidRPr="00417AC1">
        <w:rPr>
          <w:lang w:val="tr-TR"/>
        </w:rPr>
        <w:t xml:space="preserve">158. 2016 yılında UÖM olarak </w:t>
      </w:r>
      <w:r w:rsidRPr="00417AC1">
        <w:rPr>
          <w:lang w:val="tr-TR"/>
        </w:rPr>
        <w:tab/>
      </w:r>
      <w:r w:rsidRPr="00417AC1">
        <w:rPr>
          <w:i/>
          <w:iCs/>
          <w:lang w:val="tr-TR"/>
        </w:rPr>
        <w:t xml:space="preserve">resen veya başvuru üzerine </w:t>
      </w:r>
      <w:r w:rsidRPr="00417AC1">
        <w:rPr>
          <w:lang w:val="tr-TR"/>
        </w:rPr>
        <w:t>kurulan HREIT'in incelemeleri ve aldığı kararlara ilişkin bilgiler yukarıdaki 24. paragrafta sunulmaktadır. HREİT'in gözaltı yerlerine ilişkin ziyaretleri ve raporlarına ilişkin bilgiler aşağıdaki tabloda yer almaktadır.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8"/>
        <w:gridCol w:w="616"/>
        <w:gridCol w:w="1320"/>
        <w:gridCol w:w="1137"/>
        <w:gridCol w:w="1173"/>
        <w:gridCol w:w="1316"/>
      </w:tblGrid>
      <w:tr w:rsidR="00D43823" w:rsidRPr="00417AC1" w14:paraId="0B66C861" w14:textId="77777777" w:rsidTr="00A53E2E">
        <w:trPr>
          <w:tblHeader/>
        </w:trPr>
        <w:tc>
          <w:tcPr>
            <w:tcW w:w="1808" w:type="dxa"/>
            <w:tcBorders>
              <w:top w:val="single" w:sz="4" w:space="0" w:color="auto"/>
              <w:bottom w:val="single" w:sz="12" w:space="0" w:color="auto"/>
            </w:tcBorders>
            <w:shd w:val="clear" w:color="auto" w:fill="auto"/>
            <w:vAlign w:val="bottom"/>
          </w:tcPr>
          <w:p w14:paraId="65191C83" w14:textId="7CF1A118" w:rsidR="00856523" w:rsidRPr="00417AC1" w:rsidRDefault="00856523" w:rsidP="00A53E2E">
            <w:pPr>
              <w:suppressAutoHyphens w:val="0"/>
              <w:spacing w:before="80" w:after="80" w:line="200" w:lineRule="exact"/>
              <w:ind w:right="113"/>
              <w:rPr>
                <w:rFonts w:eastAsia="Calibri"/>
                <w:i/>
                <w:sz w:val="16"/>
                <w:lang w:val="tr-TR"/>
              </w:rPr>
            </w:pPr>
          </w:p>
        </w:tc>
        <w:tc>
          <w:tcPr>
            <w:tcW w:w="616" w:type="dxa"/>
            <w:tcBorders>
              <w:top w:val="single" w:sz="4" w:space="0" w:color="auto"/>
              <w:bottom w:val="single" w:sz="12" w:space="0" w:color="auto"/>
            </w:tcBorders>
            <w:shd w:val="clear" w:color="auto" w:fill="auto"/>
            <w:vAlign w:val="bottom"/>
          </w:tcPr>
          <w:p w14:paraId="0F67C8B3" w14:textId="77777777" w:rsidR="00856523" w:rsidRPr="00417AC1" w:rsidRDefault="00856523" w:rsidP="00A53E2E">
            <w:pPr>
              <w:suppressAutoHyphens w:val="0"/>
              <w:spacing w:before="80" w:after="80" w:line="200" w:lineRule="exact"/>
              <w:ind w:right="113"/>
              <w:jc w:val="right"/>
              <w:rPr>
                <w:rFonts w:eastAsia="Calibri"/>
                <w:i/>
                <w:sz w:val="16"/>
                <w:lang w:val="tr-TR"/>
              </w:rPr>
            </w:pPr>
            <w:r w:rsidRPr="00417AC1">
              <w:rPr>
                <w:rFonts w:eastAsia="Calibri"/>
                <w:i/>
                <w:sz w:val="16"/>
                <w:lang w:val="tr-TR"/>
              </w:rPr>
              <w:t>2017</w:t>
            </w:r>
          </w:p>
        </w:tc>
        <w:tc>
          <w:tcPr>
            <w:tcW w:w="1320" w:type="dxa"/>
            <w:tcBorders>
              <w:top w:val="single" w:sz="4" w:space="0" w:color="auto"/>
              <w:bottom w:val="single" w:sz="12" w:space="0" w:color="auto"/>
            </w:tcBorders>
            <w:shd w:val="clear" w:color="auto" w:fill="auto"/>
            <w:vAlign w:val="bottom"/>
          </w:tcPr>
          <w:p w14:paraId="1B8B3F37" w14:textId="77777777" w:rsidR="00856523" w:rsidRPr="00417AC1" w:rsidRDefault="00856523" w:rsidP="00A53E2E">
            <w:pPr>
              <w:suppressAutoHyphens w:val="0"/>
              <w:spacing w:before="80" w:after="80" w:line="200" w:lineRule="exact"/>
              <w:ind w:right="113"/>
              <w:jc w:val="right"/>
              <w:rPr>
                <w:rFonts w:eastAsia="Calibri"/>
                <w:i/>
                <w:sz w:val="16"/>
                <w:lang w:val="tr-TR"/>
              </w:rPr>
            </w:pPr>
            <w:r w:rsidRPr="00417AC1">
              <w:rPr>
                <w:rFonts w:eastAsia="Calibri"/>
                <w:i/>
                <w:sz w:val="16"/>
                <w:lang w:val="tr-TR"/>
              </w:rPr>
              <w:t>2018</w:t>
            </w:r>
          </w:p>
        </w:tc>
        <w:tc>
          <w:tcPr>
            <w:tcW w:w="1137" w:type="dxa"/>
            <w:tcBorders>
              <w:top w:val="single" w:sz="4" w:space="0" w:color="auto"/>
              <w:bottom w:val="single" w:sz="12" w:space="0" w:color="auto"/>
            </w:tcBorders>
            <w:shd w:val="clear" w:color="auto" w:fill="auto"/>
            <w:vAlign w:val="bottom"/>
          </w:tcPr>
          <w:p w14:paraId="4804DFB2" w14:textId="77777777" w:rsidR="00856523" w:rsidRPr="00417AC1" w:rsidRDefault="00856523" w:rsidP="00A53E2E">
            <w:pPr>
              <w:suppressAutoHyphens w:val="0"/>
              <w:spacing w:before="80" w:after="80" w:line="200" w:lineRule="exact"/>
              <w:ind w:right="113"/>
              <w:jc w:val="right"/>
              <w:rPr>
                <w:rFonts w:eastAsia="Calibri"/>
                <w:i/>
                <w:sz w:val="16"/>
                <w:lang w:val="tr-TR"/>
              </w:rPr>
            </w:pPr>
            <w:r w:rsidRPr="00417AC1">
              <w:rPr>
                <w:rFonts w:eastAsia="Calibri"/>
                <w:i/>
                <w:sz w:val="16"/>
                <w:lang w:val="tr-TR"/>
              </w:rPr>
              <w:t>2019</w:t>
            </w:r>
          </w:p>
        </w:tc>
        <w:tc>
          <w:tcPr>
            <w:tcW w:w="1173" w:type="dxa"/>
            <w:tcBorders>
              <w:top w:val="single" w:sz="4" w:space="0" w:color="auto"/>
              <w:bottom w:val="single" w:sz="12" w:space="0" w:color="auto"/>
            </w:tcBorders>
            <w:shd w:val="clear" w:color="auto" w:fill="auto"/>
            <w:vAlign w:val="bottom"/>
          </w:tcPr>
          <w:p w14:paraId="7E068AC6" w14:textId="77777777" w:rsidR="00856523" w:rsidRPr="00417AC1" w:rsidRDefault="00856523" w:rsidP="00A53E2E">
            <w:pPr>
              <w:suppressAutoHyphens w:val="0"/>
              <w:spacing w:before="80" w:after="80" w:line="200" w:lineRule="exact"/>
              <w:ind w:right="113"/>
              <w:jc w:val="right"/>
              <w:rPr>
                <w:rFonts w:eastAsia="Calibri"/>
                <w:i/>
                <w:sz w:val="16"/>
                <w:lang w:val="tr-TR"/>
              </w:rPr>
            </w:pPr>
            <w:r w:rsidRPr="00417AC1">
              <w:rPr>
                <w:rFonts w:eastAsia="Calibri"/>
                <w:i/>
                <w:sz w:val="16"/>
                <w:lang w:val="tr-TR"/>
              </w:rPr>
              <w:t>2020</w:t>
            </w:r>
          </w:p>
        </w:tc>
        <w:tc>
          <w:tcPr>
            <w:tcW w:w="1316" w:type="dxa"/>
            <w:tcBorders>
              <w:top w:val="single" w:sz="4" w:space="0" w:color="auto"/>
              <w:bottom w:val="single" w:sz="12" w:space="0" w:color="auto"/>
            </w:tcBorders>
            <w:shd w:val="clear" w:color="auto" w:fill="auto"/>
            <w:vAlign w:val="bottom"/>
          </w:tcPr>
          <w:p w14:paraId="5C06C956" w14:textId="77777777" w:rsidR="00856523" w:rsidRPr="00417AC1" w:rsidRDefault="00856523" w:rsidP="00A53E2E">
            <w:pPr>
              <w:suppressAutoHyphens w:val="0"/>
              <w:spacing w:before="80" w:after="80" w:line="200" w:lineRule="exact"/>
              <w:ind w:right="113"/>
              <w:jc w:val="right"/>
              <w:rPr>
                <w:rFonts w:eastAsia="Calibri"/>
                <w:i/>
                <w:sz w:val="16"/>
                <w:lang w:val="tr-TR"/>
              </w:rPr>
            </w:pPr>
            <w:r w:rsidRPr="00417AC1">
              <w:rPr>
                <w:rFonts w:eastAsia="Calibri"/>
                <w:i/>
                <w:sz w:val="16"/>
                <w:lang w:val="tr-TR"/>
              </w:rPr>
              <w:t>2021</w:t>
            </w:r>
          </w:p>
        </w:tc>
      </w:tr>
      <w:tr w:rsidR="00856523" w:rsidRPr="00417AC1" w14:paraId="794C9DBC" w14:textId="77777777" w:rsidTr="00A53E2E">
        <w:tc>
          <w:tcPr>
            <w:tcW w:w="1808" w:type="dxa"/>
            <w:tcBorders>
              <w:top w:val="single" w:sz="12" w:space="0" w:color="auto"/>
            </w:tcBorders>
            <w:shd w:val="clear" w:color="auto" w:fill="auto"/>
          </w:tcPr>
          <w:p w14:paraId="0121E671" w14:textId="77777777" w:rsidR="00856523" w:rsidRPr="00417AC1" w:rsidRDefault="00856523" w:rsidP="00A53E2E">
            <w:pPr>
              <w:suppressAutoHyphens w:val="0"/>
              <w:spacing w:before="40" w:after="40" w:line="220" w:lineRule="exact"/>
              <w:ind w:right="113"/>
              <w:rPr>
                <w:rFonts w:eastAsia="Calibri"/>
                <w:bCs/>
                <w:sz w:val="18"/>
                <w:lang w:val="tr-TR"/>
              </w:rPr>
            </w:pPr>
            <w:r w:rsidRPr="00417AC1">
              <w:rPr>
                <w:rFonts w:eastAsia="Calibri"/>
                <w:bCs/>
                <w:sz w:val="18"/>
                <w:lang w:val="tr-TR"/>
              </w:rPr>
              <w:t>Ziyaretler</w:t>
            </w:r>
          </w:p>
        </w:tc>
        <w:tc>
          <w:tcPr>
            <w:tcW w:w="616" w:type="dxa"/>
            <w:tcBorders>
              <w:top w:val="single" w:sz="12" w:space="0" w:color="auto"/>
            </w:tcBorders>
            <w:shd w:val="clear" w:color="auto" w:fill="auto"/>
            <w:vAlign w:val="bottom"/>
          </w:tcPr>
          <w:p w14:paraId="0C922F2E"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5</w:t>
            </w:r>
          </w:p>
        </w:tc>
        <w:tc>
          <w:tcPr>
            <w:tcW w:w="1320" w:type="dxa"/>
            <w:tcBorders>
              <w:top w:val="single" w:sz="12" w:space="0" w:color="auto"/>
            </w:tcBorders>
            <w:shd w:val="clear" w:color="auto" w:fill="auto"/>
            <w:vAlign w:val="bottom"/>
          </w:tcPr>
          <w:p w14:paraId="5F28BF0B"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28</w:t>
            </w:r>
          </w:p>
        </w:tc>
        <w:tc>
          <w:tcPr>
            <w:tcW w:w="1137" w:type="dxa"/>
            <w:tcBorders>
              <w:top w:val="single" w:sz="12" w:space="0" w:color="auto"/>
            </w:tcBorders>
            <w:shd w:val="clear" w:color="auto" w:fill="auto"/>
            <w:vAlign w:val="bottom"/>
          </w:tcPr>
          <w:p w14:paraId="3935EB57"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34</w:t>
            </w:r>
          </w:p>
        </w:tc>
        <w:tc>
          <w:tcPr>
            <w:tcW w:w="1173" w:type="dxa"/>
            <w:tcBorders>
              <w:top w:val="single" w:sz="12" w:space="0" w:color="auto"/>
            </w:tcBorders>
            <w:shd w:val="clear" w:color="auto" w:fill="auto"/>
            <w:vAlign w:val="bottom"/>
          </w:tcPr>
          <w:p w14:paraId="64923EC5"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13</w:t>
            </w:r>
          </w:p>
        </w:tc>
        <w:tc>
          <w:tcPr>
            <w:tcW w:w="1316" w:type="dxa"/>
            <w:tcBorders>
              <w:top w:val="single" w:sz="12" w:space="0" w:color="auto"/>
            </w:tcBorders>
            <w:shd w:val="clear" w:color="auto" w:fill="auto"/>
            <w:vAlign w:val="bottom"/>
          </w:tcPr>
          <w:p w14:paraId="597F076C"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56</w:t>
            </w:r>
          </w:p>
        </w:tc>
      </w:tr>
      <w:tr w:rsidR="00856523" w:rsidRPr="00417AC1" w14:paraId="1EB695F4" w14:textId="77777777" w:rsidTr="00A53E2E">
        <w:tc>
          <w:tcPr>
            <w:tcW w:w="1808" w:type="dxa"/>
            <w:shd w:val="clear" w:color="auto" w:fill="auto"/>
          </w:tcPr>
          <w:p w14:paraId="0B4C3DE5" w14:textId="77777777" w:rsidR="00856523" w:rsidRPr="00417AC1" w:rsidRDefault="00856523" w:rsidP="00A53E2E">
            <w:pPr>
              <w:suppressAutoHyphens w:val="0"/>
              <w:spacing w:before="40" w:after="40" w:line="220" w:lineRule="exact"/>
              <w:ind w:right="113"/>
              <w:rPr>
                <w:rFonts w:eastAsia="Calibri"/>
                <w:bCs/>
                <w:sz w:val="18"/>
                <w:lang w:val="tr-TR"/>
              </w:rPr>
            </w:pPr>
            <w:r w:rsidRPr="00417AC1">
              <w:rPr>
                <w:rFonts w:eastAsia="Calibri"/>
                <w:bCs/>
                <w:sz w:val="18"/>
                <w:lang w:val="tr-TR"/>
              </w:rPr>
              <w:t>Raporlar</w:t>
            </w:r>
          </w:p>
        </w:tc>
        <w:tc>
          <w:tcPr>
            <w:tcW w:w="616" w:type="dxa"/>
            <w:shd w:val="clear" w:color="auto" w:fill="auto"/>
            <w:vAlign w:val="bottom"/>
          </w:tcPr>
          <w:p w14:paraId="06EF32C4"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0</w:t>
            </w:r>
          </w:p>
        </w:tc>
        <w:tc>
          <w:tcPr>
            <w:tcW w:w="1320" w:type="dxa"/>
            <w:shd w:val="clear" w:color="auto" w:fill="auto"/>
            <w:vAlign w:val="bottom"/>
          </w:tcPr>
          <w:p w14:paraId="217B4200"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13</w:t>
            </w:r>
          </w:p>
        </w:tc>
        <w:tc>
          <w:tcPr>
            <w:tcW w:w="1137" w:type="dxa"/>
            <w:shd w:val="clear" w:color="auto" w:fill="auto"/>
            <w:vAlign w:val="bottom"/>
          </w:tcPr>
          <w:p w14:paraId="109FC7B4"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24</w:t>
            </w:r>
          </w:p>
        </w:tc>
        <w:tc>
          <w:tcPr>
            <w:tcW w:w="1173" w:type="dxa"/>
            <w:shd w:val="clear" w:color="auto" w:fill="auto"/>
            <w:vAlign w:val="bottom"/>
          </w:tcPr>
          <w:p w14:paraId="5CBD05BA"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15</w:t>
            </w:r>
          </w:p>
        </w:tc>
        <w:tc>
          <w:tcPr>
            <w:tcW w:w="1316" w:type="dxa"/>
            <w:shd w:val="clear" w:color="auto" w:fill="auto"/>
            <w:vAlign w:val="bottom"/>
          </w:tcPr>
          <w:p w14:paraId="5A919965" w14:textId="77777777" w:rsidR="00856523" w:rsidRPr="00417AC1" w:rsidRDefault="00856523" w:rsidP="00A53E2E">
            <w:pPr>
              <w:suppressAutoHyphens w:val="0"/>
              <w:spacing w:before="40" w:after="40" w:line="220" w:lineRule="exact"/>
              <w:ind w:right="113"/>
              <w:jc w:val="right"/>
              <w:rPr>
                <w:rFonts w:eastAsia="Calibri"/>
                <w:i/>
                <w:sz w:val="18"/>
                <w:lang w:val="tr-TR"/>
              </w:rPr>
            </w:pPr>
            <w:r w:rsidRPr="00417AC1">
              <w:rPr>
                <w:rFonts w:eastAsia="Calibri"/>
                <w:i/>
                <w:sz w:val="18"/>
                <w:lang w:val="tr-TR"/>
              </w:rPr>
              <w:t>14</w:t>
            </w:r>
          </w:p>
        </w:tc>
      </w:tr>
    </w:tbl>
    <w:p w14:paraId="5DA37872" w14:textId="77777777" w:rsidR="00856523" w:rsidRPr="00417AC1" w:rsidRDefault="00856523" w:rsidP="00856523">
      <w:pPr>
        <w:pStyle w:val="SingleTxtG"/>
        <w:spacing w:before="240"/>
        <w:rPr>
          <w:lang w:val="tr-TR"/>
        </w:rPr>
      </w:pPr>
      <w:r w:rsidRPr="00417AC1">
        <w:rPr>
          <w:lang w:val="tr-TR"/>
        </w:rPr>
        <w:t xml:space="preserve">159. </w:t>
      </w:r>
      <w:r w:rsidRPr="00417AC1">
        <w:rPr>
          <w:lang w:val="tr-TR"/>
        </w:rPr>
        <w:tab/>
        <w:t>HGYO ayrıca alternatif izleme yöntemlerinin oluşturulması konusunda da çalışmalar yürütmüş ve Adalet Bakanlığı ile işbirliği yapılarak HGYO'ya görsel-işitsel bilgi sistemi kurulmuştur.</w:t>
      </w:r>
    </w:p>
    <w:p w14:paraId="6350A034" w14:textId="4BCE3817" w:rsidR="00856523" w:rsidRPr="00417AC1" w:rsidRDefault="00856523" w:rsidP="00856523">
      <w:pPr>
        <w:pStyle w:val="H23G"/>
        <w:rPr>
          <w:lang w:val="tr-TR"/>
        </w:rPr>
      </w:pPr>
      <w:bookmarkStart w:id="16" w:name="_Toc110354337"/>
      <w:r w:rsidRPr="00417AC1">
        <w:rPr>
          <w:lang w:val="tr-TR"/>
        </w:rPr>
        <w:tab/>
      </w:r>
      <w:r w:rsidRPr="00417AC1">
        <w:rPr>
          <w:lang w:val="tr-TR"/>
        </w:rPr>
        <w:tab/>
        <w:t xml:space="preserve">Kişi Özgürlüğü ve Güvenliği Hakkı </w:t>
      </w:r>
      <w:r w:rsidR="00124943" w:rsidRPr="00417AC1">
        <w:rPr>
          <w:lang w:val="tr-TR"/>
        </w:rPr>
        <w:t>– 6. ve 9. Maddeler</w:t>
      </w:r>
      <w:bookmarkEnd w:id="16"/>
    </w:p>
    <w:p w14:paraId="271ECF39" w14:textId="77777777" w:rsidR="00856523" w:rsidRPr="00417AC1" w:rsidRDefault="00856523" w:rsidP="00856523">
      <w:pPr>
        <w:pStyle w:val="H4G"/>
        <w:rPr>
          <w:b/>
          <w:lang w:val="tr-TR"/>
        </w:rPr>
      </w:pPr>
      <w:r w:rsidRPr="00417AC1">
        <w:rPr>
          <w:lang w:val="tr-TR"/>
        </w:rPr>
        <w:tab/>
      </w:r>
      <w:r w:rsidRPr="00417AC1">
        <w:rPr>
          <w:lang w:val="tr-TR"/>
        </w:rPr>
        <w:tab/>
        <w:t>Gözaltına alternatif tedbirler</w:t>
      </w:r>
    </w:p>
    <w:p w14:paraId="6400797F" w14:textId="77777777" w:rsidR="00856523" w:rsidRPr="00417AC1" w:rsidRDefault="00856523" w:rsidP="00856523">
      <w:pPr>
        <w:pStyle w:val="SingleTxtG"/>
        <w:rPr>
          <w:lang w:val="tr-TR"/>
        </w:rPr>
      </w:pPr>
      <w:r w:rsidRPr="00417AC1">
        <w:rPr>
          <w:lang w:val="tr-TR"/>
        </w:rPr>
        <w:t xml:space="preserve">160. </w:t>
      </w:r>
      <w:r w:rsidRPr="00417AC1">
        <w:rPr>
          <w:lang w:val="tr-TR"/>
        </w:rPr>
        <w:tab/>
        <w:t>CMK'nın 109. maddesi uyarınca; 100'üncü maddede belirtilen tutuklama sebeplerinin varlığı halinde şüphelinin tutuklanması yerine adli kontrol altına alınmasına karar verilebilir. Tutuklama yasağının kanunda öngörüldüğü hallerde de adli kontrole ilişkin hükümler uygulanabilecektir.</w:t>
      </w:r>
    </w:p>
    <w:p w14:paraId="0141FB65" w14:textId="77777777" w:rsidR="00856523" w:rsidRPr="00417AC1" w:rsidRDefault="00856523" w:rsidP="00856523">
      <w:pPr>
        <w:pStyle w:val="SingleTxtG"/>
        <w:rPr>
          <w:lang w:val="tr-TR"/>
        </w:rPr>
      </w:pPr>
      <w:r w:rsidRPr="00417AC1">
        <w:rPr>
          <w:lang w:val="tr-TR"/>
        </w:rPr>
        <w:t xml:space="preserve">161. </w:t>
      </w:r>
      <w:r w:rsidRPr="00417AC1">
        <w:rPr>
          <w:lang w:val="tr-TR"/>
        </w:rPr>
        <w:tab/>
        <w:t xml:space="preserve">Şüphelinin suç niteliğine ve her olayın şartlarına göre yurt dışına çıkma veya ikamet yasağı, tıbbi tedavi veya eğitim alma yasağı gibi farklı adli kontrol tedbirleri uygulanabilmektedir. 8 Temmuz 2021 tarih ve 7331 sayılı Kanunla yapılan değişiklikle adli kontrolün devamına ilişkin kararın, soruşturma aşamasında Cumhuriyet savcısının talebi üzerine ceza hâkimleri tarafından, </w:t>
      </w:r>
      <w:r w:rsidRPr="00417AC1">
        <w:rPr>
          <w:i/>
          <w:iCs/>
          <w:lang w:val="tr-TR"/>
        </w:rPr>
        <w:t xml:space="preserve">resen </w:t>
      </w:r>
      <w:r w:rsidRPr="00417AC1">
        <w:rPr>
          <w:lang w:val="tr-TR"/>
        </w:rPr>
        <w:t>mahkeme tarafından verileceği öngörülmüştür. kovuşturma aşamasında en geç dört ay aralıklarla.</w:t>
      </w:r>
    </w:p>
    <w:p w14:paraId="5B5607A3" w14:textId="77777777" w:rsidR="00856523" w:rsidRPr="00417AC1" w:rsidRDefault="00856523" w:rsidP="00856523">
      <w:pPr>
        <w:pStyle w:val="SingleTxtG"/>
        <w:rPr>
          <w:lang w:val="tr-TR"/>
        </w:rPr>
      </w:pPr>
      <w:r w:rsidRPr="00417AC1">
        <w:rPr>
          <w:lang w:val="tr-TR"/>
        </w:rPr>
        <w:t xml:space="preserve">162. </w:t>
      </w:r>
      <w:r w:rsidRPr="00417AC1">
        <w:rPr>
          <w:lang w:val="tr-TR"/>
        </w:rPr>
        <w:tab/>
        <w:t>Şüpheli, sanık ve hükümlülerin izleme, denetim ve takipleri elektronik cihazlar kullanılarak da yapılabilecektir.</w:t>
      </w:r>
    </w:p>
    <w:p w14:paraId="0E6FF008" w14:textId="77777777" w:rsidR="00856523" w:rsidRPr="00417AC1" w:rsidRDefault="00856523" w:rsidP="00856523">
      <w:pPr>
        <w:pStyle w:val="H4G"/>
        <w:rPr>
          <w:lang w:val="tr-TR"/>
        </w:rPr>
      </w:pPr>
      <w:r w:rsidRPr="00417AC1">
        <w:rPr>
          <w:lang w:val="tr-TR"/>
        </w:rPr>
        <w:tab/>
      </w:r>
      <w:r w:rsidRPr="00417AC1">
        <w:rPr>
          <w:lang w:val="tr-TR"/>
        </w:rPr>
        <w:tab/>
        <w:t>Azami yasal tutukluluk süresi</w:t>
      </w:r>
    </w:p>
    <w:p w14:paraId="77580C7D" w14:textId="77777777" w:rsidR="00856523" w:rsidRPr="00417AC1" w:rsidRDefault="00856523" w:rsidP="00856523">
      <w:pPr>
        <w:pStyle w:val="SingleTxtG"/>
        <w:rPr>
          <w:lang w:val="tr-TR"/>
        </w:rPr>
      </w:pPr>
      <w:r w:rsidRPr="00417AC1">
        <w:rPr>
          <w:lang w:val="tr-TR"/>
        </w:rPr>
        <w:t xml:space="preserve">163. </w:t>
      </w:r>
      <w:r w:rsidRPr="00417AC1">
        <w:rPr>
          <w:lang w:val="tr-TR"/>
        </w:rPr>
        <w:tab/>
        <w:t>CMK'nın 91. ve devamı maddelerine göre tutukluluk süresi kural olarak 24 saati geçemez. Suçun toplu olarak işlenmiş olması ve suça ilişkin delillerin toplanmasında zorluk yaşanması veya şüpheli sayısının fazla olması halinde Cumhuriyet savcısı, tutukluluk süresinin her defasında 1 günü geçmemek üzere 3 gün süreyle uzatılmasına yazılı olarak karar verebilir. .</w:t>
      </w:r>
    </w:p>
    <w:p w14:paraId="07E41059" w14:textId="77777777" w:rsidR="00856523" w:rsidRPr="00417AC1" w:rsidRDefault="00856523" w:rsidP="00856523">
      <w:pPr>
        <w:pStyle w:val="SingleTxtG"/>
        <w:rPr>
          <w:lang w:val="tr-TR"/>
        </w:rPr>
      </w:pPr>
      <w:r w:rsidRPr="00417AC1">
        <w:rPr>
          <w:lang w:val="tr-TR"/>
        </w:rPr>
        <w:t xml:space="preserve">164. </w:t>
      </w:r>
      <w:r w:rsidRPr="00417AC1">
        <w:rPr>
          <w:lang w:val="tr-TR"/>
        </w:rPr>
        <w:tab/>
        <w:t>OHAL döneminde kabul edilen 667 sayılı Kanun Hükmünde Kararname ile terörle bağlantılı bazı suçlarda gözaltı süresi OHAL süresiyle sınırlı olmak üzere azami 30 güne çıkarıldı. Daha sonra 23 Ocak 2017 tarihinde yürürlüğe giren 684 sayılı Kanun Hükmünde Kararname ile bu süre 7 güne indirilmiş olup, sayının daha fazla olduğu davalarla sınırlı olmak üzere savcının bu süreyi en fazla 7 gün uzatabileceği hükme bağlanmıştır. Şüphelilerin olaya karıştığı veya delil toplamada zorluk yaşandığı durumlar.</w:t>
      </w:r>
      <w:r w:rsidRPr="00417AC1" w:rsidDel="00F87593">
        <w:rPr>
          <w:lang w:val="tr-TR"/>
        </w:rPr>
        <w:t xml:space="preserve"> </w:t>
      </w:r>
    </w:p>
    <w:p w14:paraId="5353E067" w14:textId="77777777" w:rsidR="00856523" w:rsidRPr="00417AC1" w:rsidRDefault="00856523" w:rsidP="00856523">
      <w:pPr>
        <w:pStyle w:val="SingleTxtG"/>
        <w:rPr>
          <w:lang w:val="tr-TR"/>
        </w:rPr>
      </w:pPr>
      <w:r w:rsidRPr="00417AC1">
        <w:rPr>
          <w:lang w:val="tr-TR"/>
        </w:rPr>
        <w:t xml:space="preserve">165. </w:t>
      </w:r>
      <w:r w:rsidRPr="00417AC1">
        <w:rPr>
          <w:lang w:val="tr-TR"/>
        </w:rPr>
        <w:tab/>
        <w:t>Azami 30 günlük gözaltı süresi, her terör şüphelisi için azami olarak uygulanmadı. Nitekim OHAL döneminde terörle ilgili soruşturmaların yaklaşık yüzde 80'inde şüpheliler genellikle 4 ila 5 gün tutuklu kalıyordu.</w:t>
      </w:r>
    </w:p>
    <w:p w14:paraId="53D4A07D" w14:textId="277BD462" w:rsidR="00856523" w:rsidRPr="00417AC1" w:rsidRDefault="00856523" w:rsidP="00856523">
      <w:pPr>
        <w:pStyle w:val="SingleTxtG"/>
        <w:rPr>
          <w:lang w:val="tr-TR"/>
        </w:rPr>
      </w:pPr>
      <w:r w:rsidRPr="00417AC1">
        <w:rPr>
          <w:lang w:val="tr-TR"/>
        </w:rPr>
        <w:t xml:space="preserve">166. </w:t>
      </w:r>
      <w:r w:rsidRPr="00417AC1">
        <w:rPr>
          <w:lang w:val="tr-TR"/>
        </w:rPr>
        <w:tab/>
        <w:t xml:space="preserve">25 Temmuz 2018 tarihli ve 7145 sayılı Kanun ile terörle bağlantılı suçlar ile Anayasa düzenine aykırı suçlar için bu Kanunun yürürlüğe girdiği tarihten itibaren üç yıl süreyle uygulanacak azami tutukluluk süresi daha da genişletilmiştir. 48 saate indirilmiş ve bu sürenin, kapsamlı davalar veya delillerin toplanmasında zorluk yaşanan davalarla sınırlı olmak üzere, </w:t>
      </w:r>
      <w:r w:rsidR="00742BC4" w:rsidRPr="00417AC1">
        <w:rPr>
          <w:lang w:val="tr-TR"/>
        </w:rPr>
        <w:t xml:space="preserve">tutuklularla yapılan duruşmada hakim kararıyla </w:t>
      </w:r>
      <w:r w:rsidRPr="00417AC1">
        <w:rPr>
          <w:lang w:val="tr-TR"/>
        </w:rPr>
        <w:t xml:space="preserve">aynı süreler için iki defaya kadar uzatılabileceği düzenlenmiştir. </w:t>
      </w:r>
      <w:r w:rsidR="00742BC4" w:rsidRPr="00417AC1">
        <w:rPr>
          <w:lang w:val="tr-TR"/>
        </w:rPr>
        <w:t>Cumhuriyet savcısının talebi üzerine hazır bulunur.</w:t>
      </w:r>
    </w:p>
    <w:p w14:paraId="1F1DC9C8" w14:textId="77777777" w:rsidR="00856523" w:rsidRPr="00417AC1" w:rsidRDefault="00856523" w:rsidP="00856523">
      <w:pPr>
        <w:pStyle w:val="SingleTxtG"/>
        <w:rPr>
          <w:lang w:val="tr-TR"/>
        </w:rPr>
      </w:pPr>
      <w:r w:rsidRPr="00417AC1">
        <w:rPr>
          <w:lang w:val="tr-TR"/>
        </w:rPr>
        <w:t xml:space="preserve">167. </w:t>
      </w:r>
      <w:r w:rsidRPr="00417AC1">
        <w:rPr>
          <w:lang w:val="tr-TR"/>
        </w:rPr>
        <w:tab/>
        <w:t>18 Temmuz 2021 tarih ve 7333 sayılı Kanun ile yukarıda belirtilen üç yıllık süre bir yıl daha uzatılmıştır.</w:t>
      </w:r>
    </w:p>
    <w:p w14:paraId="54D2C67C" w14:textId="77777777" w:rsidR="00856523" w:rsidRPr="00417AC1" w:rsidRDefault="00856523" w:rsidP="00856523">
      <w:pPr>
        <w:pStyle w:val="H4G"/>
        <w:rPr>
          <w:b/>
          <w:lang w:val="tr-TR"/>
        </w:rPr>
      </w:pPr>
      <w:r w:rsidRPr="00417AC1">
        <w:rPr>
          <w:lang w:val="tr-TR"/>
        </w:rPr>
        <w:tab/>
      </w:r>
      <w:r w:rsidRPr="00417AC1">
        <w:rPr>
          <w:lang w:val="tr-TR"/>
        </w:rPr>
        <w:tab/>
        <w:t>İtiraz hakkı</w:t>
      </w:r>
    </w:p>
    <w:p w14:paraId="3515722B" w14:textId="77777777" w:rsidR="00856523" w:rsidRPr="00417AC1" w:rsidRDefault="00856523" w:rsidP="00856523">
      <w:pPr>
        <w:pStyle w:val="SingleTxtG"/>
        <w:rPr>
          <w:lang w:val="tr-TR"/>
        </w:rPr>
      </w:pPr>
      <w:r w:rsidRPr="00417AC1">
        <w:rPr>
          <w:lang w:val="tr-TR"/>
        </w:rPr>
        <w:t xml:space="preserve">168. </w:t>
      </w:r>
      <w:r w:rsidRPr="00417AC1">
        <w:rPr>
          <w:lang w:val="tr-TR"/>
        </w:rPr>
        <w:tab/>
        <w:t xml:space="preserve">OHAL döneminde CMK'nın 104. maddesi uyarınca tutuklama kararlarına itiraz etmek mümkündü. Soruşturma ve kovuşturma aşamalarının her aşamasında şüpheli veya sanık tahliyesini talep edebilir. Şüphelinin tutukluluk halinin devamına mahkemece karar verildi. </w:t>
      </w:r>
      <w:r w:rsidRPr="00417AC1">
        <w:rPr>
          <w:lang w:val="tr-TR"/>
        </w:rPr>
        <w:lastRenderedPageBreak/>
        <w:t>Bu kararlara itiraz edilebilir. İtiraz hakkı yalnızca ilk derece mahkemelerinde değil, Bölge Adliye Mahkemesi ve Yargıtay önünde de mevcuttur. Gözaltında hukuki yardım mümkündür.</w:t>
      </w:r>
    </w:p>
    <w:p w14:paraId="12C99D69" w14:textId="77777777" w:rsidR="00856523" w:rsidRPr="00417AC1" w:rsidRDefault="00856523" w:rsidP="00856523">
      <w:pPr>
        <w:pStyle w:val="SingleTxtG"/>
        <w:rPr>
          <w:lang w:val="tr-TR"/>
        </w:rPr>
      </w:pPr>
      <w:r w:rsidRPr="00417AC1">
        <w:rPr>
          <w:lang w:val="tr-TR"/>
        </w:rPr>
        <w:t xml:space="preserve">169. </w:t>
      </w:r>
      <w:r w:rsidRPr="00417AC1">
        <w:rPr>
          <w:lang w:val="tr-TR"/>
        </w:rPr>
        <w:tab/>
        <w:t xml:space="preserve">Şüpheli veya sanığın itirazını değerlendiren mahkeme, talebin reddine karar verirse dosyayı bir üst mahkemeye gönderir. Böylece karar aynı zamanda üst yargı merciinin incelemesine de sunuluyor. CMK'nın 108. maddesi uyarınca Cumhuriyet savcısının talebi üzerine sulh hakimi, soruşturma aşamasında her otuz günde bir tutukluluğun devam edip etmeyeceğine karar verir. Şüphelinin talebi olmasa dahi, savcının talebi üzerine Sulh Ceza Hakimi bu incelemeyi </w:t>
      </w:r>
      <w:r w:rsidRPr="00417AC1">
        <w:rPr>
          <w:i/>
          <w:iCs/>
          <w:lang w:val="tr-TR"/>
        </w:rPr>
        <w:t>resen yapar.</w:t>
      </w:r>
    </w:p>
    <w:p w14:paraId="5BA88B0D" w14:textId="77777777" w:rsidR="00856523" w:rsidRPr="00417AC1" w:rsidRDefault="00856523" w:rsidP="00856523">
      <w:pPr>
        <w:pStyle w:val="H4G"/>
        <w:rPr>
          <w:b/>
          <w:lang w:val="tr-TR"/>
        </w:rPr>
      </w:pPr>
      <w:r w:rsidRPr="00417AC1">
        <w:rPr>
          <w:lang w:val="tr-TR"/>
        </w:rPr>
        <w:tab/>
      </w:r>
      <w:r w:rsidRPr="00417AC1">
        <w:rPr>
          <w:lang w:val="tr-TR"/>
        </w:rPr>
        <w:tab/>
        <w:t>Ceza infaz kurumlarının kapasitesi</w:t>
      </w:r>
    </w:p>
    <w:p w14:paraId="6BEB5D9E" w14:textId="77777777" w:rsidR="00856523" w:rsidRPr="00417AC1" w:rsidRDefault="00856523" w:rsidP="00856523">
      <w:pPr>
        <w:pStyle w:val="SingleTxtG"/>
        <w:rPr>
          <w:lang w:val="tr-TR"/>
        </w:rPr>
      </w:pPr>
      <w:r w:rsidRPr="00417AC1">
        <w:rPr>
          <w:lang w:val="tr-TR"/>
        </w:rPr>
        <w:t xml:space="preserve">170. </w:t>
      </w:r>
      <w:r w:rsidRPr="00417AC1">
        <w:rPr>
          <w:lang w:val="tr-TR"/>
        </w:rPr>
        <w:tab/>
        <w:t>Ceza ve Güvenlik Tedbirlerinin İnfazı Hakkında Kanuna 11 Nisan 2012 tarihinde 105/A maddesinin eklenmesiyle, ceza infaz kurumlarından şartla erken tahliyeye ilişkin denetimli serbestlik tedbirleri getirilerek, 1 yıl süreyle iyi halli hükümlüler hakkında uygulanmaya başlanmıştır. veya daha azının denetimli serbestlikle serbest bırakılması.</w:t>
      </w:r>
    </w:p>
    <w:p w14:paraId="3F7365D1" w14:textId="77777777" w:rsidR="00856523" w:rsidRPr="00417AC1" w:rsidRDefault="00856523" w:rsidP="00856523">
      <w:pPr>
        <w:pStyle w:val="SingleTxtG"/>
        <w:rPr>
          <w:lang w:val="tr-TR"/>
        </w:rPr>
      </w:pPr>
      <w:r w:rsidRPr="00417AC1">
        <w:rPr>
          <w:lang w:val="tr-TR"/>
        </w:rPr>
        <w:t xml:space="preserve">171. </w:t>
      </w:r>
      <w:r w:rsidRPr="00417AC1">
        <w:rPr>
          <w:lang w:val="tr-TR"/>
        </w:rPr>
        <w:tab/>
        <w:t>Kanunun 106 (i) maddesinde 18 Haziran 2014 tarihinde yapılan değişiklikle, verilen adli para cezasını ödemeyen hükümlüler, ceza infaz kurumlarına alınmak yerine kamuya yararlı bir işte çalıştırılmaktadır.</w:t>
      </w:r>
    </w:p>
    <w:p w14:paraId="4915E0A9" w14:textId="77777777" w:rsidR="00856523" w:rsidRPr="00417AC1" w:rsidRDefault="00856523" w:rsidP="00856523">
      <w:pPr>
        <w:pStyle w:val="SingleTxtG"/>
        <w:rPr>
          <w:lang w:val="tr-TR"/>
        </w:rPr>
      </w:pPr>
      <w:r w:rsidRPr="00417AC1">
        <w:rPr>
          <w:lang w:val="tr-TR"/>
        </w:rPr>
        <w:t xml:space="preserve">172. </w:t>
      </w:r>
      <w:r w:rsidRPr="00417AC1">
        <w:rPr>
          <w:lang w:val="tr-TR"/>
        </w:rPr>
        <w:tab/>
        <w:t>Kanunun 110'uncu maddesinde 15 Nisan 2020 tarihinde yapılan değişiklikle, cezaevi koşullarında tek başına yaşamını sürdüremeyen çocuklar için ev hapsine çevrilebilecek hapis cezalarının üst sınırı yükseltilmiştir. ağır hastalık veya sakatlık ile doğumdan itibaren altı ayı geçmemiş olup toplam üç yıl veya daha az hapis cezasına çarptırılan veya cezası adli para cezasından hapis cezasına çevrilen hükümlü kadınlar.</w:t>
      </w:r>
    </w:p>
    <w:p w14:paraId="67589626" w14:textId="77777777" w:rsidR="00856523" w:rsidRPr="00417AC1" w:rsidRDefault="00856523" w:rsidP="00856523">
      <w:pPr>
        <w:pStyle w:val="SingleTxtG"/>
        <w:rPr>
          <w:lang w:val="tr-TR"/>
        </w:rPr>
      </w:pPr>
      <w:r w:rsidRPr="00417AC1">
        <w:rPr>
          <w:lang w:val="tr-TR"/>
        </w:rPr>
        <w:t xml:space="preserve">173. </w:t>
      </w:r>
      <w:r w:rsidRPr="00417AC1">
        <w:rPr>
          <w:lang w:val="tr-TR"/>
        </w:rPr>
        <w:tab/>
        <w:t>Denetimli Serbestlik Hizmetleri Kanunu uyarınca hükümlülerin toplum içinde izlenmesi, denetlenmesi ve takip edilmesi elektronik cihazlar kullanılarak da gerçekleştirilebilmektedir.</w:t>
      </w:r>
    </w:p>
    <w:p w14:paraId="4C851914" w14:textId="77777777" w:rsidR="00856523" w:rsidRPr="00417AC1" w:rsidRDefault="00856523" w:rsidP="00856523">
      <w:pPr>
        <w:pStyle w:val="SingleTxtG"/>
        <w:rPr>
          <w:lang w:val="tr-TR"/>
        </w:rPr>
      </w:pPr>
      <w:r w:rsidRPr="00417AC1">
        <w:rPr>
          <w:lang w:val="tr-TR"/>
        </w:rPr>
        <w:t xml:space="preserve">174. </w:t>
      </w:r>
      <w:r w:rsidRPr="00417AC1">
        <w:rPr>
          <w:lang w:val="tr-TR"/>
        </w:rPr>
        <w:tab/>
        <w:t>Cezaevlerinde COVİD-19'a ilişkin alınan tedbirlere ilişkin detaylı bilgi yukarıdaki 67 ila 73. paragraflarda verilmektedir.</w:t>
      </w:r>
    </w:p>
    <w:p w14:paraId="291FF5F9" w14:textId="77777777" w:rsidR="00856523" w:rsidRPr="00417AC1" w:rsidRDefault="00856523" w:rsidP="00856523">
      <w:pPr>
        <w:pStyle w:val="SingleTxtG"/>
        <w:rPr>
          <w:lang w:val="tr-TR"/>
        </w:rPr>
      </w:pPr>
      <w:r w:rsidRPr="00417AC1">
        <w:rPr>
          <w:lang w:val="tr-TR"/>
        </w:rPr>
        <w:t xml:space="preserve">175. </w:t>
      </w:r>
      <w:r w:rsidRPr="00417AC1">
        <w:rPr>
          <w:lang w:val="tr-TR"/>
        </w:rPr>
        <w:tab/>
        <w:t>Aşırı kalabalığı ortadan kaldırmak için; 153.305 kapasiteli 204 yeni ceza infaz kurumu inşa edilmiş olup, 47.884 kapasiteli 61 yeni cezaevinin inşaatı devam etmektedir.</w:t>
      </w:r>
    </w:p>
    <w:p w14:paraId="4A2C25E7" w14:textId="76CB35B5" w:rsidR="00856523" w:rsidRPr="00417AC1" w:rsidRDefault="00856523" w:rsidP="00856523">
      <w:pPr>
        <w:pStyle w:val="H23G"/>
        <w:rPr>
          <w:lang w:val="tr-TR"/>
        </w:rPr>
      </w:pPr>
      <w:bookmarkStart w:id="17" w:name="_Toc110354338"/>
      <w:r w:rsidRPr="00417AC1">
        <w:rPr>
          <w:lang w:val="tr-TR"/>
        </w:rPr>
        <w:tab/>
      </w:r>
      <w:r w:rsidRPr="00417AC1">
        <w:rPr>
          <w:lang w:val="tr-TR"/>
        </w:rPr>
        <w:tab/>
        <w:t xml:space="preserve">Köleliğin, esaretin ve insan ticaretinin kaldırılması </w:t>
      </w:r>
      <w:r w:rsidR="00785F3D" w:rsidRPr="00417AC1">
        <w:rPr>
          <w:lang w:val="tr-TR"/>
        </w:rPr>
        <w:t>– Madde 2, 7, 8 ve 26</w:t>
      </w:r>
      <w:bookmarkEnd w:id="17"/>
    </w:p>
    <w:p w14:paraId="1AB6DD98" w14:textId="77777777" w:rsidR="00856523" w:rsidRPr="00417AC1" w:rsidRDefault="00856523" w:rsidP="00856523">
      <w:pPr>
        <w:pStyle w:val="H4G"/>
        <w:rPr>
          <w:b/>
          <w:lang w:val="tr-TR"/>
        </w:rPr>
      </w:pPr>
      <w:r w:rsidRPr="00417AC1">
        <w:rPr>
          <w:lang w:val="tr-TR"/>
        </w:rPr>
        <w:tab/>
      </w:r>
      <w:r w:rsidRPr="00417AC1">
        <w:rPr>
          <w:lang w:val="tr-TR"/>
        </w:rPr>
        <w:tab/>
        <w:t>İnsan Ticaretine Karşı Eylem Planı</w:t>
      </w:r>
    </w:p>
    <w:p w14:paraId="745FDF6A" w14:textId="77777777" w:rsidR="00856523" w:rsidRPr="00417AC1" w:rsidRDefault="00856523" w:rsidP="00856523">
      <w:pPr>
        <w:pStyle w:val="SingleTxtG"/>
        <w:rPr>
          <w:lang w:val="tr-TR"/>
        </w:rPr>
      </w:pPr>
      <w:r w:rsidRPr="00417AC1">
        <w:rPr>
          <w:lang w:val="tr-TR"/>
        </w:rPr>
        <w:t xml:space="preserve">176. </w:t>
      </w:r>
      <w:r w:rsidRPr="00417AC1">
        <w:rPr>
          <w:lang w:val="tr-TR"/>
        </w:rPr>
        <w:tab/>
        <w:t>İnsan ticaretiyle mücadeleye yönelik ulusal eylem planları 2003 ve 2009 yıllarında kabul edilmiştir. 2022 yılı sonunda tamamlanacak 3. Ulusal Eylem Planı'nın hazırlıkları devam etmektedir. Mevcut veya planlanan bazı projelerdeki saha çalışması faaliyetleri de Eylem Planını destekleyecektir.</w:t>
      </w:r>
    </w:p>
    <w:p w14:paraId="1D0AE57D" w14:textId="400991BB" w:rsidR="00856523" w:rsidRPr="00417AC1" w:rsidRDefault="00856523" w:rsidP="00856523">
      <w:pPr>
        <w:pStyle w:val="SingleTxtG"/>
        <w:rPr>
          <w:lang w:val="tr-TR"/>
        </w:rPr>
      </w:pPr>
      <w:r w:rsidRPr="00417AC1">
        <w:rPr>
          <w:lang w:val="tr-TR"/>
        </w:rPr>
        <w:t xml:space="preserve">177. </w:t>
      </w:r>
      <w:r w:rsidRPr="00417AC1">
        <w:rPr>
          <w:lang w:val="tr-TR"/>
        </w:rPr>
        <w:tab/>
        <w:t xml:space="preserve">Eylül 2020 – Mart 2022 tarihleri arasında yürütülen İnsan Ticaretiyle Mücadele Araştırma Projesi kapsamında </w:t>
      </w:r>
      <w:r w:rsidR="00314FF0" w:rsidRPr="00417AC1">
        <w:rPr>
          <w:lang w:val="tr-TR"/>
        </w:rPr>
        <w:t xml:space="preserve">çocuk ticareti ve emek sömürüsüne ilişkin risk faktörleri, insan ticareti sömürüsü türleri ve mağdur profilleri analiz edilmektedir. Ayrıca sekiz ülkenin (Hollanda, İngiltere, İtalya, Fransa, Almanya, Romanya, Yunanistan ve İsveç) Ulusal Rehberlik Mekanizmalarının işleyişine yönelik iyi uygulama raporları hazırlanmaktadır </w:t>
      </w:r>
      <w:r w:rsidRPr="00417AC1">
        <w:rPr>
          <w:rFonts w:eastAsia="Tahoma"/>
          <w:lang w:val="tr-TR"/>
        </w:rPr>
        <w:t>.</w:t>
      </w:r>
    </w:p>
    <w:p w14:paraId="4612A92D" w14:textId="77777777" w:rsidR="00856523" w:rsidRPr="00417AC1" w:rsidRDefault="00856523" w:rsidP="00856523">
      <w:pPr>
        <w:pStyle w:val="SingleTxtG"/>
        <w:rPr>
          <w:lang w:val="tr-TR"/>
        </w:rPr>
      </w:pPr>
      <w:r w:rsidRPr="00417AC1">
        <w:rPr>
          <w:lang w:val="tr-TR"/>
        </w:rPr>
        <w:t xml:space="preserve">178. </w:t>
      </w:r>
      <w:r w:rsidRPr="00417AC1">
        <w:rPr>
          <w:lang w:val="tr-TR"/>
        </w:rPr>
        <w:tab/>
        <w:t>Göç İdaresi Başkanlığı ve Uluslararası Göç Örgütü iş birliğiyle Göçmen Varlığı Tespit Programı kapsamındaki araştırmalar Nisan 2021'de başlamış olup, raporlama aşaması Ekim 2021'de tamamlanmıştır. Araştırma İstanbul'da gerçekleştirilmiş ve kapsayıcı niteliktedir. emek sömürüsü, cinsel sömürü ve zorla evlendirme sorunları.</w:t>
      </w:r>
    </w:p>
    <w:p w14:paraId="54F10919" w14:textId="5F836CC3" w:rsidR="00856523" w:rsidRPr="00417AC1" w:rsidRDefault="00856523" w:rsidP="00856523">
      <w:pPr>
        <w:pStyle w:val="SingleTxtG"/>
        <w:rPr>
          <w:lang w:val="tr-TR"/>
        </w:rPr>
      </w:pPr>
      <w:r w:rsidRPr="00417AC1">
        <w:rPr>
          <w:lang w:val="tr-TR"/>
        </w:rPr>
        <w:t xml:space="preserve">179. Eylem Planı hazırlıklarını destekleyen diğer bir çalışma olan </w:t>
      </w:r>
      <w:r w:rsidRPr="00417AC1">
        <w:rPr>
          <w:lang w:val="tr-TR"/>
        </w:rPr>
        <w:tab/>
      </w:r>
      <w:r w:rsidR="00BA1A10" w:rsidRPr="00417AC1">
        <w:rPr>
          <w:i/>
          <w:iCs/>
          <w:lang w:val="tr-TR"/>
        </w:rPr>
        <w:t xml:space="preserve">“Türkiye'de Göçmenlerin ve İnsan Ticareti Mağdurlarının İnsan Hakları Açısından Korunmasının Güçlendirilmesi” projesi </w:t>
      </w:r>
      <w:r w:rsidRPr="00417AC1">
        <w:rPr>
          <w:lang w:val="tr-TR"/>
        </w:rPr>
        <w:t xml:space="preserve">ile AK işbirliğinde yürütülmektedir. </w:t>
      </w:r>
      <w:r w:rsidR="00BA1A10" w:rsidRPr="00417AC1">
        <w:rPr>
          <w:i/>
          <w:iCs/>
          <w:lang w:val="tr-TR"/>
        </w:rPr>
        <w:t xml:space="preserve">“Cinsel Sömürü Amaçlı İnsan Ticareti” </w:t>
      </w:r>
      <w:r w:rsidRPr="00417AC1">
        <w:rPr>
          <w:lang w:val="tr-TR"/>
        </w:rPr>
        <w:t xml:space="preserve">ve </w:t>
      </w:r>
      <w:r w:rsidR="00BA1A10" w:rsidRPr="00417AC1">
        <w:rPr>
          <w:i/>
          <w:iCs/>
          <w:lang w:val="tr-TR"/>
        </w:rPr>
        <w:t xml:space="preserve">“Çocuk Ticareti ve Emek İstismarı Amaçlı İnsan Ticareti” </w:t>
      </w:r>
      <w:r w:rsidRPr="00417AC1">
        <w:rPr>
          <w:lang w:val="tr-TR"/>
        </w:rPr>
        <w:t>raporları tamamlandı. Raporlarda, insan ticaretiyle mücadelede ilgili kurum ve kuruluşların sorumluluk alanları ve destek hizmetlerinin gelişimi inceleniyor.</w:t>
      </w:r>
    </w:p>
    <w:p w14:paraId="3DF6F78C" w14:textId="77777777" w:rsidR="00856523" w:rsidRPr="00417AC1" w:rsidRDefault="00856523" w:rsidP="00856523">
      <w:pPr>
        <w:pStyle w:val="H4G"/>
        <w:rPr>
          <w:b/>
          <w:lang w:val="tr-TR"/>
        </w:rPr>
      </w:pPr>
      <w:r w:rsidRPr="00417AC1">
        <w:rPr>
          <w:lang w:val="tr-TR"/>
        </w:rPr>
        <w:lastRenderedPageBreak/>
        <w:tab/>
      </w:r>
      <w:r w:rsidRPr="00417AC1">
        <w:rPr>
          <w:lang w:val="tr-TR"/>
        </w:rPr>
        <w:tab/>
        <w:t>İnsan ticareti mağdurlarının işlediği yasa dışı eylemlere ilişkin yasal hükümler</w:t>
      </w:r>
    </w:p>
    <w:p w14:paraId="46838C2D" w14:textId="77777777" w:rsidR="00856523" w:rsidRPr="00417AC1" w:rsidRDefault="00856523" w:rsidP="00856523">
      <w:pPr>
        <w:pStyle w:val="SingleTxtG"/>
        <w:rPr>
          <w:lang w:val="tr-TR"/>
        </w:rPr>
      </w:pPr>
      <w:r w:rsidRPr="00417AC1">
        <w:rPr>
          <w:lang w:val="tr-TR"/>
        </w:rPr>
        <w:t xml:space="preserve">180. </w:t>
      </w:r>
      <w:r w:rsidRPr="00417AC1">
        <w:rPr>
          <w:lang w:val="tr-TR"/>
        </w:rPr>
        <w:tab/>
        <w:t>TCK'nın 25. maddesi meşru savunma ve zorunluluk, 28. maddesi cebir ve şiddet, tehdit ve tehdit, 30. maddesi ise hata kavramını düzenlemektedir. Bu hükümler, insan ticareti mağduru kişilerin, insan tacirleri tarafından zorla işlemeye zorlandıkları yasa dışı fiillerden dolayı cezalandırılmalarını önlemek amacıyla uygulanır.</w:t>
      </w:r>
    </w:p>
    <w:p w14:paraId="3FA57DC7" w14:textId="77777777" w:rsidR="00856523" w:rsidRPr="00417AC1" w:rsidRDefault="00856523" w:rsidP="00856523">
      <w:pPr>
        <w:pStyle w:val="H4G"/>
        <w:rPr>
          <w:b/>
          <w:lang w:val="tr-TR"/>
        </w:rPr>
      </w:pPr>
      <w:r w:rsidRPr="00417AC1">
        <w:rPr>
          <w:lang w:val="tr-TR"/>
        </w:rPr>
        <w:tab/>
      </w:r>
      <w:r w:rsidRPr="00417AC1">
        <w:rPr>
          <w:lang w:val="tr-TR"/>
        </w:rPr>
        <w:tab/>
        <w:t>İnsan ticareti mağdurlarına yönelik psiko-sosyal destek ve hukuki koruma tedbirleri</w:t>
      </w:r>
    </w:p>
    <w:p w14:paraId="4AD7168E" w14:textId="77777777" w:rsidR="00856523" w:rsidRPr="00417AC1" w:rsidRDefault="00856523" w:rsidP="00856523">
      <w:pPr>
        <w:pStyle w:val="SingleTxtG"/>
        <w:rPr>
          <w:lang w:val="tr-TR"/>
        </w:rPr>
      </w:pPr>
      <w:r w:rsidRPr="00417AC1">
        <w:rPr>
          <w:lang w:val="tr-TR"/>
        </w:rPr>
        <w:t xml:space="preserve">181. </w:t>
      </w:r>
      <w:r w:rsidRPr="00417AC1">
        <w:rPr>
          <w:lang w:val="tr-TR"/>
        </w:rPr>
        <w:tab/>
        <w:t>İnsan Ticaretiyle Mücadele ve Mağdurların Korunması Hakkında Yönetmelik'e göre, insan ticareti suçlarından mağdur olan veya mağdur olduğundan kuvvetle şüphelenilen kişilerin, soruşturma veya kovuşturma sonucu beklenmeden yapılacak idari işlemle mağdur olarak tanımlandığı, şikayette bulunup bulunmadıklarına bakılmaksızın. Bu aşamadan sonra soruşturma ve kovuşturma başlıyor.</w:t>
      </w:r>
    </w:p>
    <w:p w14:paraId="38892891" w14:textId="2A232339" w:rsidR="00856523" w:rsidRPr="00417AC1" w:rsidRDefault="00856523" w:rsidP="00856523">
      <w:pPr>
        <w:pStyle w:val="SingleTxtG"/>
        <w:rPr>
          <w:rFonts w:eastAsia="Tahoma"/>
          <w:lang w:val="tr-TR"/>
        </w:rPr>
      </w:pPr>
      <w:r w:rsidRPr="00417AC1">
        <w:rPr>
          <w:rFonts w:eastAsia="Tahoma"/>
          <w:lang w:val="tr-TR"/>
        </w:rPr>
        <w:t xml:space="preserve">182. </w:t>
      </w:r>
      <w:r w:rsidRPr="00417AC1">
        <w:rPr>
          <w:rFonts w:eastAsia="Tahoma"/>
          <w:lang w:val="tr-TR"/>
        </w:rPr>
        <w:tab/>
      </w:r>
      <w:r w:rsidRPr="00417AC1">
        <w:rPr>
          <w:lang w:val="tr-TR"/>
        </w:rPr>
        <w:t xml:space="preserve">Mağdurlar talep etmeleri halinde “mağdur destek programı” ve “güvenli geri dönüş programı” hizmetlerinden faydalanabilmektedir. Yönetmeliğin 28. maddesinde mağdurlara verilecek destek hizmetlerinin garanti altına alındığı belirtiliyor. Program kapsamında aşağıdaki hizmetler verilmektedir </w:t>
      </w:r>
      <w:r w:rsidRPr="00417AC1">
        <w:rPr>
          <w:rFonts w:eastAsia="Tahoma"/>
          <w:lang w:val="tr-TR"/>
        </w:rPr>
        <w:t>:</w:t>
      </w:r>
    </w:p>
    <w:p w14:paraId="00E61A7F"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Barınaklarda veya güvenli yerlerde barınma,</w:t>
      </w:r>
    </w:p>
    <w:p w14:paraId="1693291F"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Sağlık hizmetlerine erişim,</w:t>
      </w:r>
    </w:p>
    <w:p w14:paraId="269D3978"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Psiko-sosyal destek,</w:t>
      </w:r>
    </w:p>
    <w:p w14:paraId="78B28034"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Sosyal hizmet ve yardımlara erişim,</w:t>
      </w:r>
    </w:p>
    <w:p w14:paraId="72ED37A5" w14:textId="1E77A4A9"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Mağdurların hukuki haklarına ilişkin hukuki yardım ve danışmanlığa erişim,</w:t>
      </w:r>
    </w:p>
    <w:p w14:paraId="117CBAFE"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Eğitim ve öğretim hizmetlerine erişim konusunda rehberlik,</w:t>
      </w:r>
    </w:p>
    <w:p w14:paraId="791E5419"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Mesleki eğitim ve işgücü piyasasına erişimin desteklenmesi,</w:t>
      </w:r>
    </w:p>
    <w:p w14:paraId="1B8D3B45"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Sosyal Yardımlaşma ve Dayanışmayı Teşvik Kanunu hükümleri uyarınca maddi destek konusunda rehberlik,</w:t>
      </w:r>
    </w:p>
    <w:p w14:paraId="14278708"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İlgili STK'lar ve uluslararası kuruluşlar tarafından sağlanabilecek danışmanlık hizmetlerine erişim,</w:t>
      </w:r>
    </w:p>
    <w:p w14:paraId="4B7403E4"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Tercüme,</w:t>
      </w:r>
    </w:p>
    <w:p w14:paraId="3CC60E55"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Vatandaşı olduğu ülkenin büyükelçiliği veya konsolosluğuna rızası alınarak bilgi verme ve yetkilileriyle görüşme imkanı,</w:t>
      </w:r>
    </w:p>
    <w:p w14:paraId="152097D1" w14:textId="77777777" w:rsidR="00856523" w:rsidRPr="00417AC1" w:rsidRDefault="00856523" w:rsidP="00856523">
      <w:pPr>
        <w:pStyle w:val="Bullet1G"/>
        <w:numPr>
          <w:ilvl w:val="0"/>
          <w:numId w:val="6"/>
        </w:numPr>
        <w:kinsoku w:val="0"/>
        <w:overflowPunct w:val="0"/>
        <w:autoSpaceDE w:val="0"/>
        <w:autoSpaceDN w:val="0"/>
        <w:adjustRightInd w:val="0"/>
        <w:snapToGrid w:val="0"/>
        <w:rPr>
          <w:lang w:val="tr-TR"/>
        </w:rPr>
      </w:pPr>
      <w:r w:rsidRPr="00417AC1">
        <w:rPr>
          <w:lang w:val="tr-TR"/>
        </w:rPr>
        <w:t>Seyahat belgelerinin sağlanmasında kimlik tespiti ve yardım.</w:t>
      </w:r>
    </w:p>
    <w:p w14:paraId="1E6CE49A" w14:textId="77777777" w:rsidR="00856523" w:rsidRPr="00417AC1" w:rsidRDefault="00856523" w:rsidP="00856523">
      <w:pPr>
        <w:pStyle w:val="SingleTxtG"/>
        <w:rPr>
          <w:lang w:val="tr-TR"/>
        </w:rPr>
      </w:pPr>
      <w:r w:rsidRPr="00417AC1">
        <w:rPr>
          <w:lang w:val="tr-TR"/>
        </w:rPr>
        <w:t xml:space="preserve">183. </w:t>
      </w:r>
      <w:r w:rsidRPr="00417AC1">
        <w:rPr>
          <w:lang w:val="tr-TR"/>
        </w:rPr>
        <w:tab/>
        <w:t>6458 sayılı Yabancılar ve Uluslararası Koruma Kanunu'nun 48 ve 49'uncu maddeleri ile insan ticareti mağduru olan veya olduğundan kuvvetle şüphelenilen yabancılara, iyileşebilmeleri için 30 gün ikamet izni verildiği düzenlenmiştir. deneyimlerinin etkilerinden yararlanarak yetkililerle işbirliği yapıp yapmamaya karar verirler. İkamet izni mağdurun sağlık durumu veya özel durumu nedeniyle en fazla altı ay uzatılabilir, ancak toplamda üç yılı geçemez.</w:t>
      </w:r>
    </w:p>
    <w:p w14:paraId="528A99D9" w14:textId="77777777" w:rsidR="00856523" w:rsidRPr="00417AC1" w:rsidRDefault="00856523" w:rsidP="00856523">
      <w:pPr>
        <w:pStyle w:val="SingleTxtG"/>
        <w:rPr>
          <w:lang w:val="tr-TR"/>
        </w:rPr>
      </w:pPr>
      <w:r w:rsidRPr="00417AC1">
        <w:rPr>
          <w:lang w:val="tr-TR"/>
        </w:rPr>
        <w:t xml:space="preserve">184. </w:t>
      </w:r>
      <w:r w:rsidRPr="00417AC1">
        <w:rPr>
          <w:lang w:val="tr-TR"/>
        </w:rPr>
        <w:tab/>
        <w:t>Sığınmaevlerinde mağdur destek programları sunulmaktadır. Programdan yararlanmak isteyen mağdur ve beraberindeki çocuklar, destek programlarının devam ettiği sığınma evlerine gönderiliyor. Halen Ankara ve Kırıkkale'de yabancı mağdurlara yönelik 30 ve 12 kişilik 2 adet sığınma evi bulunmaktadır.</w:t>
      </w:r>
    </w:p>
    <w:p w14:paraId="2A3CF2A0" w14:textId="3CA6437D" w:rsidR="00856523" w:rsidRPr="00417AC1" w:rsidRDefault="00856523" w:rsidP="00856523">
      <w:pPr>
        <w:pStyle w:val="SingleTxtG"/>
        <w:rPr>
          <w:lang w:val="tr-TR"/>
        </w:rPr>
      </w:pPr>
      <w:r w:rsidRPr="00417AC1">
        <w:rPr>
          <w:lang w:val="tr-TR"/>
        </w:rPr>
        <w:t xml:space="preserve">185. </w:t>
      </w:r>
      <w:r w:rsidRPr="00417AC1">
        <w:rPr>
          <w:lang w:val="tr-TR"/>
        </w:rPr>
        <w:tab/>
        <w:t xml:space="preserve">Sığınma evine kabul için gönderilen mağdura sunulacak destek hizmetleri kapsamında kendi dilinde bilgi verilmektedir. Tüm temel ihtiyaçlar kurumun bütçesinden karşılanmaktadır </w:t>
      </w:r>
      <w:r w:rsidR="00742BC4" w:rsidRPr="00417AC1">
        <w:rPr>
          <w:lang w:val="tr-TR"/>
        </w:rPr>
        <w:t xml:space="preserve">. Mağdur kendini fiziksel ve psikolojik olarak hazır hissettiğinde sosyal hizmet uzmanları ve psikologlar tarafından görüşmeler yapılır. Mağdura özel bireysel müdahale planı hazırlanır. Bu planlar çocuğun yüksek yararı gözetilerek hazırlanır </w:t>
      </w:r>
      <w:r w:rsidRPr="00417AC1">
        <w:rPr>
          <w:rFonts w:eastAsia="Tahoma"/>
          <w:lang w:val="tr-TR"/>
        </w:rPr>
        <w:t>.</w:t>
      </w:r>
    </w:p>
    <w:p w14:paraId="7F34A0F7" w14:textId="63946D63" w:rsidR="00856523" w:rsidRPr="00417AC1" w:rsidRDefault="00856523" w:rsidP="00856523">
      <w:pPr>
        <w:pStyle w:val="SingleTxtG"/>
        <w:rPr>
          <w:rFonts w:eastAsia="Tahoma"/>
          <w:lang w:val="tr-TR"/>
        </w:rPr>
      </w:pPr>
      <w:r w:rsidRPr="00417AC1">
        <w:rPr>
          <w:rFonts w:eastAsia="Tahoma"/>
          <w:lang w:val="tr-TR"/>
        </w:rPr>
        <w:t xml:space="preserve">186. </w:t>
      </w:r>
      <w:r w:rsidRPr="00417AC1">
        <w:rPr>
          <w:rFonts w:eastAsia="Tahoma"/>
          <w:lang w:val="tr-TR"/>
        </w:rPr>
        <w:tab/>
      </w:r>
      <w:r w:rsidRPr="00417AC1">
        <w:rPr>
          <w:lang w:val="tr-TR"/>
        </w:rPr>
        <w:t xml:space="preserve">İyileşme ve rehabilitasyon süreçleri tamamlandıktan sonra mağdurlar, yetenek ve becerileri doğrultusunda uzun vadeli çözümlere ulaşabilmeleri amacıyla uygun iş sektörlerine yönlendirilmektedir. BM Gıda ve Tarım Örgütü ve Milli Eğitim Bakanlığı ortaklığıyla yürütülen </w:t>
      </w:r>
      <w:r w:rsidR="00BA1A10" w:rsidRPr="00417AC1">
        <w:rPr>
          <w:i/>
          <w:iCs/>
          <w:lang w:val="tr-TR"/>
        </w:rPr>
        <w:t xml:space="preserve">'Mutfakta Umut Var' </w:t>
      </w:r>
      <w:r w:rsidRPr="00417AC1">
        <w:rPr>
          <w:lang w:val="tr-TR"/>
        </w:rPr>
        <w:t xml:space="preserve">projesiyle mağdurlara aldıkları sertifikalarla </w:t>
      </w:r>
      <w:r w:rsidRPr="00417AC1">
        <w:rPr>
          <w:lang w:val="tr-TR"/>
        </w:rPr>
        <w:lastRenderedPageBreak/>
        <w:t xml:space="preserve">istihdam sağlandı. Mağdurlara ayrıca sosyal yardımlaşma ve dayanışma vakıfları, uluslararası kuruluşlar ve STK'ların işbirliğiyle maddi destek sağlanıyor </w:t>
      </w:r>
      <w:r w:rsidRPr="00417AC1">
        <w:rPr>
          <w:rFonts w:eastAsia="Tahoma"/>
          <w:lang w:val="tr-TR"/>
        </w:rPr>
        <w:t>.</w:t>
      </w:r>
    </w:p>
    <w:p w14:paraId="21101074" w14:textId="36ECEECA" w:rsidR="00856523" w:rsidRPr="00417AC1" w:rsidRDefault="00856523" w:rsidP="00856523">
      <w:pPr>
        <w:pStyle w:val="SingleTxtG"/>
        <w:rPr>
          <w:lang w:val="tr-TR"/>
        </w:rPr>
      </w:pPr>
      <w:r w:rsidRPr="00417AC1">
        <w:rPr>
          <w:lang w:val="tr-TR"/>
        </w:rPr>
        <w:t xml:space="preserve">187. </w:t>
      </w:r>
      <w:r w:rsidRPr="00417AC1">
        <w:rPr>
          <w:lang w:val="tr-TR"/>
        </w:rPr>
        <w:tab/>
        <w:t>Bağımsız yaşamak isteyen mağdurlara uygun ev bulma konusunda destek verilmektedir. Eşyaya erişim, ulaşım, kira vb. konularda belediyeler ve STK’lar aracılığıyla destekleniyorlar.</w:t>
      </w:r>
      <w:r w:rsidR="005041FC" w:rsidRPr="00417AC1">
        <w:rPr>
          <w:lang w:val="tr-TR"/>
        </w:rPr>
        <w:t xml:space="preserve"> </w:t>
      </w:r>
    </w:p>
    <w:p w14:paraId="0053FB33" w14:textId="77777777" w:rsidR="00856523" w:rsidRPr="00417AC1" w:rsidRDefault="00856523" w:rsidP="00856523">
      <w:pPr>
        <w:pStyle w:val="H4G"/>
        <w:rPr>
          <w:b/>
          <w:lang w:val="tr-TR"/>
        </w:rPr>
      </w:pPr>
      <w:r w:rsidRPr="00417AC1">
        <w:rPr>
          <w:lang w:val="tr-TR"/>
        </w:rPr>
        <w:tab/>
      </w:r>
      <w:r w:rsidRPr="00417AC1">
        <w:rPr>
          <w:lang w:val="tr-TR"/>
        </w:rPr>
        <w:tab/>
        <w:t>İstatistik</w:t>
      </w:r>
    </w:p>
    <w:p w14:paraId="30D88AD3" w14:textId="449AF30C" w:rsidR="00856523" w:rsidRPr="00417AC1" w:rsidRDefault="00856523" w:rsidP="00603337">
      <w:pPr>
        <w:pStyle w:val="SingleTxtG"/>
        <w:spacing w:after="240"/>
        <w:rPr>
          <w:lang w:val="tr-TR"/>
        </w:rPr>
      </w:pPr>
      <w:r w:rsidRPr="00417AC1">
        <w:rPr>
          <w:lang w:val="tr-TR"/>
        </w:rPr>
        <w:t xml:space="preserve">188. </w:t>
      </w:r>
      <w:r w:rsidRPr="00417AC1">
        <w:rPr>
          <w:lang w:val="tr-TR"/>
        </w:rPr>
        <w:tab/>
        <w:t xml:space="preserve">Polis sorumluluk alanındaki insan ticareti suçlarına ilişkin 2011 </w:t>
      </w:r>
      <w:r w:rsidR="00603337" w:rsidRPr="00417AC1">
        <w:rPr>
          <w:lang w:val="tr-TR"/>
        </w:rPr>
        <w:t>–2021 yılları arasındaki verilere ilişkin tablo aşağıdaki gibidir: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5"/>
        <w:gridCol w:w="1262"/>
        <w:gridCol w:w="1792"/>
        <w:gridCol w:w="1539"/>
        <w:gridCol w:w="1852"/>
      </w:tblGrid>
      <w:tr w:rsidR="00D43823" w:rsidRPr="00417AC1" w14:paraId="4BF795CF" w14:textId="77777777" w:rsidTr="00D43823">
        <w:trPr>
          <w:tblHeader/>
        </w:trPr>
        <w:tc>
          <w:tcPr>
            <w:tcW w:w="925" w:type="dxa"/>
            <w:tcBorders>
              <w:top w:val="single" w:sz="4" w:space="0" w:color="auto"/>
              <w:bottom w:val="single" w:sz="12" w:space="0" w:color="auto"/>
            </w:tcBorders>
            <w:shd w:val="clear" w:color="auto" w:fill="auto"/>
            <w:vAlign w:val="bottom"/>
            <w:hideMark/>
          </w:tcPr>
          <w:p w14:paraId="7E529C70" w14:textId="77777777" w:rsidR="00856523" w:rsidRPr="00417AC1" w:rsidRDefault="00856523" w:rsidP="00D43823">
            <w:pPr>
              <w:suppressAutoHyphens w:val="0"/>
              <w:spacing w:before="80" w:after="80" w:line="200" w:lineRule="exact"/>
              <w:ind w:right="113"/>
              <w:rPr>
                <w:rFonts w:eastAsia="Calibri"/>
                <w:i/>
                <w:sz w:val="16"/>
                <w:lang w:val="tr-TR"/>
              </w:rPr>
            </w:pPr>
            <w:r w:rsidRPr="00417AC1">
              <w:rPr>
                <w:rFonts w:eastAsia="Calibri"/>
                <w:i/>
                <w:sz w:val="16"/>
                <w:lang w:val="tr-TR"/>
              </w:rPr>
              <w:t>YIL</w:t>
            </w:r>
          </w:p>
        </w:tc>
        <w:tc>
          <w:tcPr>
            <w:tcW w:w="1262" w:type="dxa"/>
            <w:tcBorders>
              <w:top w:val="single" w:sz="4" w:space="0" w:color="auto"/>
              <w:bottom w:val="single" w:sz="12" w:space="0" w:color="auto"/>
            </w:tcBorders>
            <w:shd w:val="clear" w:color="auto" w:fill="auto"/>
            <w:vAlign w:val="bottom"/>
            <w:hideMark/>
          </w:tcPr>
          <w:p w14:paraId="42487078" w14:textId="77777777" w:rsidR="00856523" w:rsidRPr="00417AC1" w:rsidRDefault="00856523" w:rsidP="00D43823">
            <w:pPr>
              <w:suppressAutoHyphens w:val="0"/>
              <w:spacing w:before="80" w:after="80" w:line="200" w:lineRule="exact"/>
              <w:ind w:right="113"/>
              <w:jc w:val="right"/>
              <w:rPr>
                <w:rFonts w:eastAsia="Calibri"/>
                <w:i/>
                <w:sz w:val="16"/>
                <w:lang w:val="tr-TR"/>
              </w:rPr>
            </w:pPr>
            <w:r w:rsidRPr="00417AC1">
              <w:rPr>
                <w:rFonts w:eastAsia="Calibri"/>
                <w:i/>
                <w:sz w:val="16"/>
                <w:lang w:val="tr-TR"/>
              </w:rPr>
              <w:t>VAKALAR</w:t>
            </w:r>
          </w:p>
        </w:tc>
        <w:tc>
          <w:tcPr>
            <w:tcW w:w="1792" w:type="dxa"/>
            <w:tcBorders>
              <w:top w:val="single" w:sz="4" w:space="0" w:color="auto"/>
              <w:bottom w:val="single" w:sz="12" w:space="0" w:color="auto"/>
            </w:tcBorders>
            <w:shd w:val="clear" w:color="auto" w:fill="auto"/>
            <w:vAlign w:val="bottom"/>
            <w:hideMark/>
          </w:tcPr>
          <w:p w14:paraId="700F8821" w14:textId="77777777" w:rsidR="00856523" w:rsidRPr="00417AC1" w:rsidRDefault="00856523" w:rsidP="00D43823">
            <w:pPr>
              <w:suppressAutoHyphens w:val="0"/>
              <w:spacing w:before="80" w:after="80" w:line="200" w:lineRule="exact"/>
              <w:ind w:right="113"/>
              <w:jc w:val="right"/>
              <w:rPr>
                <w:rFonts w:eastAsia="Calibri"/>
                <w:i/>
                <w:sz w:val="16"/>
                <w:lang w:val="tr-TR"/>
              </w:rPr>
            </w:pPr>
            <w:r w:rsidRPr="00417AC1">
              <w:rPr>
                <w:rFonts w:eastAsia="Calibri"/>
                <w:i/>
                <w:sz w:val="16"/>
                <w:lang w:val="tr-TR"/>
              </w:rPr>
              <w:t>TACİKÇİLER</w:t>
            </w:r>
          </w:p>
        </w:tc>
        <w:tc>
          <w:tcPr>
            <w:tcW w:w="1539" w:type="dxa"/>
            <w:tcBorders>
              <w:top w:val="single" w:sz="4" w:space="0" w:color="auto"/>
              <w:bottom w:val="single" w:sz="12" w:space="0" w:color="auto"/>
            </w:tcBorders>
            <w:shd w:val="clear" w:color="auto" w:fill="auto"/>
            <w:vAlign w:val="bottom"/>
            <w:hideMark/>
          </w:tcPr>
          <w:p w14:paraId="1EE64058" w14:textId="77777777" w:rsidR="00856523" w:rsidRPr="00417AC1" w:rsidRDefault="00856523" w:rsidP="00D43823">
            <w:pPr>
              <w:suppressAutoHyphens w:val="0"/>
              <w:spacing w:before="80" w:after="80" w:line="200" w:lineRule="exact"/>
              <w:ind w:right="113"/>
              <w:jc w:val="right"/>
              <w:rPr>
                <w:rFonts w:eastAsia="Calibri"/>
                <w:i/>
                <w:sz w:val="16"/>
                <w:lang w:val="tr-TR"/>
              </w:rPr>
            </w:pPr>
            <w:r w:rsidRPr="00417AC1">
              <w:rPr>
                <w:rFonts w:eastAsia="Calibri"/>
                <w:i/>
                <w:sz w:val="16"/>
                <w:lang w:val="tr-TR"/>
              </w:rPr>
              <w:t>KURBANLAR</w:t>
            </w:r>
          </w:p>
        </w:tc>
        <w:tc>
          <w:tcPr>
            <w:tcW w:w="1852" w:type="dxa"/>
            <w:tcBorders>
              <w:top w:val="single" w:sz="4" w:space="0" w:color="auto"/>
              <w:bottom w:val="single" w:sz="12" w:space="0" w:color="auto"/>
            </w:tcBorders>
            <w:shd w:val="clear" w:color="auto" w:fill="auto"/>
            <w:vAlign w:val="bottom"/>
            <w:hideMark/>
          </w:tcPr>
          <w:p w14:paraId="023F283E" w14:textId="77777777" w:rsidR="00856523" w:rsidRPr="00417AC1" w:rsidRDefault="00856523" w:rsidP="00D43823">
            <w:pPr>
              <w:suppressAutoHyphens w:val="0"/>
              <w:spacing w:before="80" w:after="80" w:line="200" w:lineRule="exact"/>
              <w:ind w:right="113"/>
              <w:jc w:val="right"/>
              <w:rPr>
                <w:rFonts w:eastAsia="Calibri"/>
                <w:i/>
                <w:sz w:val="16"/>
                <w:lang w:val="tr-TR"/>
              </w:rPr>
            </w:pPr>
            <w:r w:rsidRPr="00417AC1">
              <w:rPr>
                <w:rFonts w:eastAsia="Calibri"/>
                <w:i/>
                <w:sz w:val="16"/>
                <w:lang w:val="tr-TR"/>
              </w:rPr>
              <w:t>MAHKUMLAR</w:t>
            </w:r>
          </w:p>
        </w:tc>
      </w:tr>
      <w:tr w:rsidR="00856523" w:rsidRPr="00417AC1" w14:paraId="3A281552" w14:textId="77777777" w:rsidTr="00D43823">
        <w:tc>
          <w:tcPr>
            <w:tcW w:w="925" w:type="dxa"/>
            <w:tcBorders>
              <w:top w:val="single" w:sz="12" w:space="0" w:color="auto"/>
            </w:tcBorders>
            <w:shd w:val="clear" w:color="auto" w:fill="auto"/>
            <w:hideMark/>
          </w:tcPr>
          <w:p w14:paraId="743B0462"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2011</w:t>
            </w:r>
          </w:p>
        </w:tc>
        <w:tc>
          <w:tcPr>
            <w:tcW w:w="1262" w:type="dxa"/>
            <w:tcBorders>
              <w:top w:val="single" w:sz="12" w:space="0" w:color="auto"/>
            </w:tcBorders>
            <w:shd w:val="clear" w:color="auto" w:fill="auto"/>
            <w:vAlign w:val="bottom"/>
            <w:hideMark/>
          </w:tcPr>
          <w:p w14:paraId="172420CF"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15</w:t>
            </w:r>
          </w:p>
        </w:tc>
        <w:tc>
          <w:tcPr>
            <w:tcW w:w="1792" w:type="dxa"/>
            <w:tcBorders>
              <w:top w:val="single" w:sz="12" w:space="0" w:color="auto"/>
            </w:tcBorders>
            <w:shd w:val="clear" w:color="auto" w:fill="auto"/>
            <w:vAlign w:val="bottom"/>
            <w:hideMark/>
          </w:tcPr>
          <w:p w14:paraId="600B6CC1"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151</w:t>
            </w:r>
          </w:p>
        </w:tc>
        <w:tc>
          <w:tcPr>
            <w:tcW w:w="1539" w:type="dxa"/>
            <w:tcBorders>
              <w:top w:val="single" w:sz="12" w:space="0" w:color="auto"/>
            </w:tcBorders>
            <w:shd w:val="clear" w:color="auto" w:fill="auto"/>
            <w:vAlign w:val="bottom"/>
            <w:hideMark/>
          </w:tcPr>
          <w:p w14:paraId="315813DD"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145</w:t>
            </w:r>
          </w:p>
        </w:tc>
        <w:tc>
          <w:tcPr>
            <w:tcW w:w="1852" w:type="dxa"/>
            <w:tcBorders>
              <w:top w:val="single" w:sz="12" w:space="0" w:color="auto"/>
            </w:tcBorders>
            <w:shd w:val="clear" w:color="auto" w:fill="auto"/>
            <w:vAlign w:val="bottom"/>
            <w:hideMark/>
          </w:tcPr>
          <w:p w14:paraId="1AFEC068"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w:t>
            </w:r>
          </w:p>
        </w:tc>
      </w:tr>
      <w:tr w:rsidR="00856523" w:rsidRPr="00417AC1" w14:paraId="3098688F" w14:textId="77777777" w:rsidTr="00D43823">
        <w:tc>
          <w:tcPr>
            <w:tcW w:w="925" w:type="dxa"/>
            <w:shd w:val="clear" w:color="auto" w:fill="auto"/>
            <w:hideMark/>
          </w:tcPr>
          <w:p w14:paraId="2EC6C5D4"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2012</w:t>
            </w:r>
          </w:p>
        </w:tc>
        <w:tc>
          <w:tcPr>
            <w:tcW w:w="1262" w:type="dxa"/>
            <w:shd w:val="clear" w:color="auto" w:fill="auto"/>
            <w:vAlign w:val="bottom"/>
            <w:hideMark/>
          </w:tcPr>
          <w:p w14:paraId="1AA02418"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20</w:t>
            </w:r>
          </w:p>
        </w:tc>
        <w:tc>
          <w:tcPr>
            <w:tcW w:w="1792" w:type="dxa"/>
            <w:shd w:val="clear" w:color="auto" w:fill="auto"/>
            <w:vAlign w:val="bottom"/>
            <w:hideMark/>
          </w:tcPr>
          <w:p w14:paraId="0C956A8A"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182</w:t>
            </w:r>
          </w:p>
        </w:tc>
        <w:tc>
          <w:tcPr>
            <w:tcW w:w="1539" w:type="dxa"/>
            <w:shd w:val="clear" w:color="auto" w:fill="auto"/>
            <w:vAlign w:val="bottom"/>
            <w:hideMark/>
          </w:tcPr>
          <w:p w14:paraId="5B24DDFD"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62</w:t>
            </w:r>
          </w:p>
        </w:tc>
        <w:tc>
          <w:tcPr>
            <w:tcW w:w="1852" w:type="dxa"/>
            <w:shd w:val="clear" w:color="auto" w:fill="auto"/>
            <w:vAlign w:val="bottom"/>
            <w:hideMark/>
          </w:tcPr>
          <w:p w14:paraId="3065130B"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w:t>
            </w:r>
          </w:p>
        </w:tc>
      </w:tr>
      <w:tr w:rsidR="00856523" w:rsidRPr="00417AC1" w14:paraId="4253F670" w14:textId="77777777" w:rsidTr="00D43823">
        <w:tc>
          <w:tcPr>
            <w:tcW w:w="925" w:type="dxa"/>
            <w:shd w:val="clear" w:color="auto" w:fill="auto"/>
            <w:hideMark/>
          </w:tcPr>
          <w:p w14:paraId="61F00E70"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2013</w:t>
            </w:r>
          </w:p>
        </w:tc>
        <w:tc>
          <w:tcPr>
            <w:tcW w:w="1262" w:type="dxa"/>
            <w:shd w:val="clear" w:color="auto" w:fill="auto"/>
            <w:vAlign w:val="bottom"/>
            <w:hideMark/>
          </w:tcPr>
          <w:p w14:paraId="5166CC62"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19</w:t>
            </w:r>
          </w:p>
        </w:tc>
        <w:tc>
          <w:tcPr>
            <w:tcW w:w="1792" w:type="dxa"/>
            <w:shd w:val="clear" w:color="auto" w:fill="auto"/>
            <w:vAlign w:val="bottom"/>
            <w:hideMark/>
          </w:tcPr>
          <w:p w14:paraId="6FBBA271"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92</w:t>
            </w:r>
          </w:p>
        </w:tc>
        <w:tc>
          <w:tcPr>
            <w:tcW w:w="1539" w:type="dxa"/>
            <w:shd w:val="clear" w:color="auto" w:fill="auto"/>
            <w:vAlign w:val="bottom"/>
            <w:hideMark/>
          </w:tcPr>
          <w:p w14:paraId="0C53B6E6"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113</w:t>
            </w:r>
          </w:p>
        </w:tc>
        <w:tc>
          <w:tcPr>
            <w:tcW w:w="1852" w:type="dxa"/>
            <w:shd w:val="clear" w:color="auto" w:fill="auto"/>
            <w:vAlign w:val="bottom"/>
            <w:hideMark/>
          </w:tcPr>
          <w:p w14:paraId="029C5420"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w:t>
            </w:r>
          </w:p>
        </w:tc>
      </w:tr>
      <w:tr w:rsidR="00856523" w:rsidRPr="00417AC1" w14:paraId="4BCAB5BE" w14:textId="77777777" w:rsidTr="00D43823">
        <w:tc>
          <w:tcPr>
            <w:tcW w:w="925" w:type="dxa"/>
            <w:shd w:val="clear" w:color="auto" w:fill="auto"/>
            <w:hideMark/>
          </w:tcPr>
          <w:p w14:paraId="2A2203FA"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2014</w:t>
            </w:r>
          </w:p>
        </w:tc>
        <w:tc>
          <w:tcPr>
            <w:tcW w:w="1262" w:type="dxa"/>
            <w:shd w:val="clear" w:color="auto" w:fill="auto"/>
            <w:vAlign w:val="bottom"/>
            <w:hideMark/>
          </w:tcPr>
          <w:p w14:paraId="75FF5DC4"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29</w:t>
            </w:r>
          </w:p>
        </w:tc>
        <w:tc>
          <w:tcPr>
            <w:tcW w:w="1792" w:type="dxa"/>
            <w:shd w:val="clear" w:color="auto" w:fill="auto"/>
            <w:vAlign w:val="bottom"/>
            <w:hideMark/>
          </w:tcPr>
          <w:p w14:paraId="60BD212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161</w:t>
            </w:r>
          </w:p>
        </w:tc>
        <w:tc>
          <w:tcPr>
            <w:tcW w:w="1539" w:type="dxa"/>
            <w:shd w:val="clear" w:color="auto" w:fill="auto"/>
            <w:vAlign w:val="bottom"/>
            <w:hideMark/>
          </w:tcPr>
          <w:p w14:paraId="52AD1C26"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134</w:t>
            </w:r>
          </w:p>
        </w:tc>
        <w:tc>
          <w:tcPr>
            <w:tcW w:w="1852" w:type="dxa"/>
            <w:shd w:val="clear" w:color="auto" w:fill="auto"/>
            <w:vAlign w:val="bottom"/>
            <w:hideMark/>
          </w:tcPr>
          <w:p w14:paraId="561DAEE0"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w:t>
            </w:r>
          </w:p>
        </w:tc>
      </w:tr>
      <w:tr w:rsidR="00856523" w:rsidRPr="00417AC1" w14:paraId="076220F1" w14:textId="77777777" w:rsidTr="00D43823">
        <w:tc>
          <w:tcPr>
            <w:tcW w:w="925" w:type="dxa"/>
            <w:shd w:val="clear" w:color="auto" w:fill="auto"/>
            <w:hideMark/>
          </w:tcPr>
          <w:p w14:paraId="3AAB2938"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2015</w:t>
            </w:r>
          </w:p>
        </w:tc>
        <w:tc>
          <w:tcPr>
            <w:tcW w:w="1262" w:type="dxa"/>
            <w:shd w:val="clear" w:color="auto" w:fill="auto"/>
            <w:vAlign w:val="bottom"/>
            <w:hideMark/>
          </w:tcPr>
          <w:p w14:paraId="53591219"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19</w:t>
            </w:r>
          </w:p>
        </w:tc>
        <w:tc>
          <w:tcPr>
            <w:tcW w:w="1792" w:type="dxa"/>
            <w:shd w:val="clear" w:color="auto" w:fill="auto"/>
            <w:vAlign w:val="bottom"/>
            <w:hideMark/>
          </w:tcPr>
          <w:p w14:paraId="1B18313C"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91</w:t>
            </w:r>
          </w:p>
        </w:tc>
        <w:tc>
          <w:tcPr>
            <w:tcW w:w="1539" w:type="dxa"/>
            <w:shd w:val="clear" w:color="auto" w:fill="auto"/>
            <w:vAlign w:val="bottom"/>
            <w:hideMark/>
          </w:tcPr>
          <w:p w14:paraId="0A2590B5"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50</w:t>
            </w:r>
          </w:p>
        </w:tc>
        <w:tc>
          <w:tcPr>
            <w:tcW w:w="1852" w:type="dxa"/>
            <w:shd w:val="clear" w:color="auto" w:fill="auto"/>
            <w:vAlign w:val="bottom"/>
            <w:hideMark/>
          </w:tcPr>
          <w:p w14:paraId="5E2D3549"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w:t>
            </w:r>
          </w:p>
        </w:tc>
      </w:tr>
      <w:tr w:rsidR="00856523" w:rsidRPr="00417AC1" w14:paraId="3BC7F096" w14:textId="77777777" w:rsidTr="00D43823">
        <w:tc>
          <w:tcPr>
            <w:tcW w:w="925" w:type="dxa"/>
            <w:shd w:val="clear" w:color="auto" w:fill="auto"/>
            <w:hideMark/>
          </w:tcPr>
          <w:p w14:paraId="5A9674D9"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2016</w:t>
            </w:r>
          </w:p>
        </w:tc>
        <w:tc>
          <w:tcPr>
            <w:tcW w:w="1262" w:type="dxa"/>
            <w:shd w:val="clear" w:color="auto" w:fill="auto"/>
            <w:vAlign w:val="bottom"/>
            <w:hideMark/>
          </w:tcPr>
          <w:p w14:paraId="590D849E"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56</w:t>
            </w:r>
          </w:p>
        </w:tc>
        <w:tc>
          <w:tcPr>
            <w:tcW w:w="1792" w:type="dxa"/>
            <w:shd w:val="clear" w:color="auto" w:fill="auto"/>
            <w:vAlign w:val="bottom"/>
            <w:hideMark/>
          </w:tcPr>
          <w:p w14:paraId="76A58ECA"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161</w:t>
            </w:r>
          </w:p>
        </w:tc>
        <w:tc>
          <w:tcPr>
            <w:tcW w:w="1539" w:type="dxa"/>
            <w:shd w:val="clear" w:color="auto" w:fill="auto"/>
            <w:vAlign w:val="bottom"/>
            <w:hideMark/>
          </w:tcPr>
          <w:p w14:paraId="4863E314"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118</w:t>
            </w:r>
          </w:p>
        </w:tc>
        <w:tc>
          <w:tcPr>
            <w:tcW w:w="1852" w:type="dxa"/>
            <w:shd w:val="clear" w:color="auto" w:fill="auto"/>
            <w:vAlign w:val="bottom"/>
            <w:hideMark/>
          </w:tcPr>
          <w:p w14:paraId="3B0B4E4F"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4</w:t>
            </w:r>
          </w:p>
        </w:tc>
      </w:tr>
      <w:tr w:rsidR="00856523" w:rsidRPr="00417AC1" w14:paraId="3B6D4979" w14:textId="77777777" w:rsidTr="00D43823">
        <w:tc>
          <w:tcPr>
            <w:tcW w:w="925" w:type="dxa"/>
            <w:shd w:val="clear" w:color="auto" w:fill="auto"/>
            <w:hideMark/>
          </w:tcPr>
          <w:p w14:paraId="006573B4"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2017</w:t>
            </w:r>
          </w:p>
        </w:tc>
        <w:tc>
          <w:tcPr>
            <w:tcW w:w="1262" w:type="dxa"/>
            <w:shd w:val="clear" w:color="auto" w:fill="auto"/>
            <w:vAlign w:val="bottom"/>
            <w:hideMark/>
          </w:tcPr>
          <w:p w14:paraId="4F145F4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80</w:t>
            </w:r>
          </w:p>
        </w:tc>
        <w:tc>
          <w:tcPr>
            <w:tcW w:w="1792" w:type="dxa"/>
            <w:shd w:val="clear" w:color="auto" w:fill="auto"/>
            <w:vAlign w:val="bottom"/>
            <w:hideMark/>
          </w:tcPr>
          <w:p w14:paraId="5B9760E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333</w:t>
            </w:r>
          </w:p>
        </w:tc>
        <w:tc>
          <w:tcPr>
            <w:tcW w:w="1539" w:type="dxa"/>
            <w:shd w:val="clear" w:color="auto" w:fill="auto"/>
            <w:vAlign w:val="bottom"/>
            <w:hideMark/>
          </w:tcPr>
          <w:p w14:paraId="596CBAA2"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315</w:t>
            </w:r>
          </w:p>
        </w:tc>
        <w:tc>
          <w:tcPr>
            <w:tcW w:w="1852" w:type="dxa"/>
            <w:shd w:val="clear" w:color="auto" w:fill="auto"/>
            <w:vAlign w:val="bottom"/>
            <w:hideMark/>
          </w:tcPr>
          <w:p w14:paraId="3B40AE58"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75</w:t>
            </w:r>
          </w:p>
        </w:tc>
      </w:tr>
      <w:tr w:rsidR="00856523" w:rsidRPr="00417AC1" w14:paraId="5D564762" w14:textId="77777777" w:rsidTr="00D43823">
        <w:tc>
          <w:tcPr>
            <w:tcW w:w="925" w:type="dxa"/>
            <w:shd w:val="clear" w:color="auto" w:fill="auto"/>
            <w:hideMark/>
          </w:tcPr>
          <w:p w14:paraId="6AA88930"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2018</w:t>
            </w:r>
          </w:p>
        </w:tc>
        <w:tc>
          <w:tcPr>
            <w:tcW w:w="1262" w:type="dxa"/>
            <w:shd w:val="clear" w:color="auto" w:fill="auto"/>
            <w:vAlign w:val="bottom"/>
            <w:hideMark/>
          </w:tcPr>
          <w:p w14:paraId="5EA3D54C"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63</w:t>
            </w:r>
          </w:p>
        </w:tc>
        <w:tc>
          <w:tcPr>
            <w:tcW w:w="1792" w:type="dxa"/>
            <w:shd w:val="clear" w:color="auto" w:fill="auto"/>
            <w:vAlign w:val="bottom"/>
            <w:hideMark/>
          </w:tcPr>
          <w:p w14:paraId="4E3A9CCD"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218</w:t>
            </w:r>
          </w:p>
        </w:tc>
        <w:tc>
          <w:tcPr>
            <w:tcW w:w="1539" w:type="dxa"/>
            <w:shd w:val="clear" w:color="auto" w:fill="auto"/>
            <w:vAlign w:val="bottom"/>
            <w:hideMark/>
          </w:tcPr>
          <w:p w14:paraId="399E364C"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218</w:t>
            </w:r>
          </w:p>
        </w:tc>
        <w:tc>
          <w:tcPr>
            <w:tcW w:w="1852" w:type="dxa"/>
            <w:shd w:val="clear" w:color="auto" w:fill="auto"/>
            <w:vAlign w:val="bottom"/>
            <w:hideMark/>
          </w:tcPr>
          <w:p w14:paraId="0595C29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76</w:t>
            </w:r>
          </w:p>
        </w:tc>
      </w:tr>
      <w:tr w:rsidR="00856523" w:rsidRPr="00417AC1" w14:paraId="5D91E0AA" w14:textId="77777777" w:rsidTr="00D43823">
        <w:tc>
          <w:tcPr>
            <w:tcW w:w="925" w:type="dxa"/>
            <w:shd w:val="clear" w:color="auto" w:fill="auto"/>
            <w:hideMark/>
          </w:tcPr>
          <w:p w14:paraId="51FD6D77"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2019</w:t>
            </w:r>
          </w:p>
        </w:tc>
        <w:tc>
          <w:tcPr>
            <w:tcW w:w="1262" w:type="dxa"/>
            <w:shd w:val="clear" w:color="auto" w:fill="auto"/>
            <w:vAlign w:val="bottom"/>
            <w:hideMark/>
          </w:tcPr>
          <w:p w14:paraId="025D5988"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80</w:t>
            </w:r>
          </w:p>
        </w:tc>
        <w:tc>
          <w:tcPr>
            <w:tcW w:w="1792" w:type="dxa"/>
            <w:shd w:val="clear" w:color="auto" w:fill="auto"/>
            <w:vAlign w:val="bottom"/>
            <w:hideMark/>
          </w:tcPr>
          <w:p w14:paraId="52406E14"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377</w:t>
            </w:r>
          </w:p>
        </w:tc>
        <w:tc>
          <w:tcPr>
            <w:tcW w:w="1539" w:type="dxa"/>
            <w:shd w:val="clear" w:color="auto" w:fill="auto"/>
            <w:vAlign w:val="bottom"/>
            <w:hideMark/>
          </w:tcPr>
          <w:p w14:paraId="0CCBCD89"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376</w:t>
            </w:r>
          </w:p>
        </w:tc>
        <w:tc>
          <w:tcPr>
            <w:tcW w:w="1852" w:type="dxa"/>
            <w:shd w:val="clear" w:color="auto" w:fill="auto"/>
            <w:vAlign w:val="bottom"/>
            <w:hideMark/>
          </w:tcPr>
          <w:p w14:paraId="0198CA34"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99</w:t>
            </w:r>
          </w:p>
        </w:tc>
      </w:tr>
      <w:tr w:rsidR="00856523" w:rsidRPr="00417AC1" w14:paraId="1EEE7364" w14:textId="77777777" w:rsidTr="00D43823">
        <w:tc>
          <w:tcPr>
            <w:tcW w:w="925" w:type="dxa"/>
            <w:shd w:val="clear" w:color="auto" w:fill="auto"/>
            <w:hideMark/>
          </w:tcPr>
          <w:p w14:paraId="4064C74E"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2020</w:t>
            </w:r>
          </w:p>
        </w:tc>
        <w:tc>
          <w:tcPr>
            <w:tcW w:w="1262" w:type="dxa"/>
            <w:shd w:val="clear" w:color="auto" w:fill="auto"/>
            <w:vAlign w:val="bottom"/>
            <w:hideMark/>
          </w:tcPr>
          <w:p w14:paraId="753ECFB4"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42</w:t>
            </w:r>
          </w:p>
        </w:tc>
        <w:tc>
          <w:tcPr>
            <w:tcW w:w="1792" w:type="dxa"/>
            <w:shd w:val="clear" w:color="auto" w:fill="auto"/>
            <w:vAlign w:val="bottom"/>
            <w:hideMark/>
          </w:tcPr>
          <w:p w14:paraId="05B31A77"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126</w:t>
            </w:r>
          </w:p>
        </w:tc>
        <w:tc>
          <w:tcPr>
            <w:tcW w:w="1539" w:type="dxa"/>
            <w:shd w:val="clear" w:color="auto" w:fill="auto"/>
            <w:vAlign w:val="bottom"/>
            <w:hideMark/>
          </w:tcPr>
          <w:p w14:paraId="430AF44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102</w:t>
            </w:r>
          </w:p>
        </w:tc>
        <w:tc>
          <w:tcPr>
            <w:tcW w:w="1852" w:type="dxa"/>
            <w:shd w:val="clear" w:color="auto" w:fill="auto"/>
            <w:vAlign w:val="bottom"/>
            <w:hideMark/>
          </w:tcPr>
          <w:p w14:paraId="16498E8D"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32</w:t>
            </w:r>
          </w:p>
        </w:tc>
      </w:tr>
      <w:tr w:rsidR="00856523" w:rsidRPr="00417AC1" w14:paraId="4032F5A5" w14:textId="77777777" w:rsidTr="00D43823">
        <w:tc>
          <w:tcPr>
            <w:tcW w:w="925" w:type="dxa"/>
            <w:shd w:val="clear" w:color="auto" w:fill="auto"/>
            <w:hideMark/>
          </w:tcPr>
          <w:p w14:paraId="3CCD97B3" w14:textId="77777777" w:rsidR="00856523" w:rsidRPr="00417AC1" w:rsidRDefault="00856523" w:rsidP="00D43823">
            <w:pPr>
              <w:suppressAutoHyphens w:val="0"/>
              <w:spacing w:before="40" w:after="40" w:line="220" w:lineRule="exact"/>
              <w:ind w:right="113"/>
              <w:rPr>
                <w:rFonts w:eastAsia="Calibri"/>
                <w:bCs/>
                <w:sz w:val="18"/>
                <w:lang w:val="tr-TR"/>
              </w:rPr>
            </w:pPr>
            <w:r w:rsidRPr="00417AC1">
              <w:rPr>
                <w:rFonts w:eastAsia="Calibri"/>
                <w:bCs/>
                <w:sz w:val="18"/>
                <w:lang w:val="tr-TR"/>
              </w:rPr>
              <w:t>2021</w:t>
            </w:r>
          </w:p>
        </w:tc>
        <w:tc>
          <w:tcPr>
            <w:tcW w:w="1262" w:type="dxa"/>
            <w:shd w:val="clear" w:color="auto" w:fill="auto"/>
            <w:vAlign w:val="bottom"/>
            <w:hideMark/>
          </w:tcPr>
          <w:p w14:paraId="364175BC"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64</w:t>
            </w:r>
          </w:p>
        </w:tc>
        <w:tc>
          <w:tcPr>
            <w:tcW w:w="1792" w:type="dxa"/>
            <w:shd w:val="clear" w:color="auto" w:fill="auto"/>
            <w:vAlign w:val="bottom"/>
            <w:hideMark/>
          </w:tcPr>
          <w:p w14:paraId="084E809F"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194</w:t>
            </w:r>
          </w:p>
        </w:tc>
        <w:tc>
          <w:tcPr>
            <w:tcW w:w="1539" w:type="dxa"/>
            <w:shd w:val="clear" w:color="auto" w:fill="auto"/>
            <w:vAlign w:val="bottom"/>
            <w:hideMark/>
          </w:tcPr>
          <w:p w14:paraId="46A906A3"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362</w:t>
            </w:r>
          </w:p>
        </w:tc>
        <w:tc>
          <w:tcPr>
            <w:tcW w:w="1852" w:type="dxa"/>
            <w:shd w:val="clear" w:color="auto" w:fill="auto"/>
            <w:vAlign w:val="bottom"/>
            <w:hideMark/>
          </w:tcPr>
          <w:p w14:paraId="5D7081DD" w14:textId="77777777" w:rsidR="00856523" w:rsidRPr="00417AC1" w:rsidRDefault="00856523" w:rsidP="00D43823">
            <w:pPr>
              <w:suppressAutoHyphens w:val="0"/>
              <w:spacing w:before="40" w:after="40" w:line="220" w:lineRule="exact"/>
              <w:ind w:right="113"/>
              <w:jc w:val="right"/>
              <w:rPr>
                <w:rFonts w:eastAsia="Calibri"/>
                <w:bCs/>
                <w:sz w:val="18"/>
                <w:lang w:val="tr-TR"/>
              </w:rPr>
            </w:pPr>
            <w:r w:rsidRPr="00417AC1">
              <w:rPr>
                <w:rFonts w:eastAsia="Calibri"/>
                <w:bCs/>
                <w:sz w:val="18"/>
                <w:lang w:val="tr-TR"/>
              </w:rPr>
              <w:t>63</w:t>
            </w:r>
          </w:p>
        </w:tc>
      </w:tr>
    </w:tbl>
    <w:p w14:paraId="7E06862A" w14:textId="5A8D2DA4" w:rsidR="00856523" w:rsidRPr="00417AC1" w:rsidRDefault="00856523" w:rsidP="00A91959">
      <w:pPr>
        <w:pStyle w:val="SingleTxtG"/>
        <w:spacing w:before="240" w:after="240"/>
        <w:rPr>
          <w:lang w:val="tr-TR"/>
        </w:rPr>
      </w:pPr>
      <w:r w:rsidRPr="00417AC1">
        <w:rPr>
          <w:lang w:val="tr-TR"/>
        </w:rPr>
        <w:t xml:space="preserve">189. </w:t>
      </w:r>
      <w:r w:rsidRPr="00417AC1">
        <w:rPr>
          <w:lang w:val="tr-TR"/>
        </w:rPr>
        <w:tab/>
        <w:t xml:space="preserve">2017-2021 yılları arasında insan ticareti mağdurlarına ilişkin tablo </w:t>
      </w:r>
      <w:r w:rsidR="00A45226" w:rsidRPr="00417AC1">
        <w:rPr>
          <w:lang w:val="tr-TR"/>
        </w:rPr>
        <w:t>aşağıdaki gibidir: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6"/>
        <w:gridCol w:w="816"/>
        <w:gridCol w:w="816"/>
        <w:gridCol w:w="816"/>
        <w:gridCol w:w="817"/>
        <w:gridCol w:w="816"/>
        <w:gridCol w:w="816"/>
        <w:gridCol w:w="817"/>
      </w:tblGrid>
      <w:tr w:rsidR="006F1F13" w:rsidRPr="00417AC1" w14:paraId="1FF68560" w14:textId="77777777" w:rsidTr="001E2DCE">
        <w:trPr>
          <w:tblHeader/>
        </w:trPr>
        <w:tc>
          <w:tcPr>
            <w:tcW w:w="1656" w:type="dxa"/>
            <w:tcBorders>
              <w:top w:val="single" w:sz="4" w:space="0" w:color="auto"/>
              <w:bottom w:val="single" w:sz="12" w:space="0" w:color="auto"/>
            </w:tcBorders>
            <w:shd w:val="clear" w:color="auto" w:fill="auto"/>
            <w:vAlign w:val="bottom"/>
            <w:hideMark/>
          </w:tcPr>
          <w:p w14:paraId="0E6C5D4E" w14:textId="76C75C4C" w:rsidR="00856523" w:rsidRPr="00417AC1" w:rsidRDefault="00856523" w:rsidP="006F1F13">
            <w:pPr>
              <w:suppressAutoHyphens w:val="0"/>
              <w:spacing w:before="80" w:after="80" w:line="200" w:lineRule="exact"/>
              <w:ind w:right="113"/>
              <w:rPr>
                <w:bCs/>
                <w:i/>
                <w:sz w:val="16"/>
                <w:lang w:val="tr-TR"/>
              </w:rPr>
            </w:pPr>
            <w:r w:rsidRPr="00417AC1">
              <w:rPr>
                <w:bCs/>
                <w:i/>
                <w:sz w:val="16"/>
                <w:lang w:val="tr-TR"/>
              </w:rPr>
              <w:t>Tip</w:t>
            </w:r>
          </w:p>
        </w:tc>
        <w:tc>
          <w:tcPr>
            <w:tcW w:w="816" w:type="dxa"/>
            <w:tcBorders>
              <w:top w:val="single" w:sz="4" w:space="0" w:color="auto"/>
              <w:bottom w:val="single" w:sz="12" w:space="0" w:color="auto"/>
            </w:tcBorders>
            <w:shd w:val="clear" w:color="auto" w:fill="auto"/>
            <w:vAlign w:val="bottom"/>
            <w:hideMark/>
          </w:tcPr>
          <w:p w14:paraId="6E442BD6"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2017</w:t>
            </w:r>
          </w:p>
        </w:tc>
        <w:tc>
          <w:tcPr>
            <w:tcW w:w="816" w:type="dxa"/>
            <w:tcBorders>
              <w:top w:val="single" w:sz="4" w:space="0" w:color="auto"/>
              <w:bottom w:val="single" w:sz="12" w:space="0" w:color="auto"/>
            </w:tcBorders>
            <w:shd w:val="clear" w:color="auto" w:fill="auto"/>
            <w:vAlign w:val="bottom"/>
            <w:hideMark/>
          </w:tcPr>
          <w:p w14:paraId="48529AEA"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2018</w:t>
            </w:r>
          </w:p>
        </w:tc>
        <w:tc>
          <w:tcPr>
            <w:tcW w:w="816" w:type="dxa"/>
            <w:tcBorders>
              <w:top w:val="single" w:sz="4" w:space="0" w:color="auto"/>
              <w:bottom w:val="single" w:sz="12" w:space="0" w:color="auto"/>
            </w:tcBorders>
            <w:shd w:val="clear" w:color="auto" w:fill="auto"/>
            <w:vAlign w:val="bottom"/>
            <w:hideMark/>
          </w:tcPr>
          <w:p w14:paraId="240DEBAF"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2019</w:t>
            </w:r>
          </w:p>
        </w:tc>
        <w:tc>
          <w:tcPr>
            <w:tcW w:w="817" w:type="dxa"/>
            <w:tcBorders>
              <w:top w:val="single" w:sz="4" w:space="0" w:color="auto"/>
              <w:bottom w:val="single" w:sz="12" w:space="0" w:color="auto"/>
            </w:tcBorders>
            <w:shd w:val="clear" w:color="auto" w:fill="auto"/>
            <w:vAlign w:val="bottom"/>
            <w:hideMark/>
          </w:tcPr>
          <w:p w14:paraId="451768E6"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2020</w:t>
            </w:r>
          </w:p>
        </w:tc>
        <w:tc>
          <w:tcPr>
            <w:tcW w:w="816" w:type="dxa"/>
            <w:tcBorders>
              <w:top w:val="single" w:sz="4" w:space="0" w:color="auto"/>
              <w:bottom w:val="single" w:sz="12" w:space="0" w:color="auto"/>
            </w:tcBorders>
            <w:shd w:val="clear" w:color="auto" w:fill="auto"/>
            <w:vAlign w:val="bottom"/>
            <w:hideMark/>
          </w:tcPr>
          <w:p w14:paraId="2E200E9B"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2021</w:t>
            </w:r>
          </w:p>
        </w:tc>
        <w:tc>
          <w:tcPr>
            <w:tcW w:w="816" w:type="dxa"/>
            <w:tcBorders>
              <w:top w:val="single" w:sz="4" w:space="0" w:color="auto"/>
              <w:bottom w:val="single" w:sz="12" w:space="0" w:color="auto"/>
            </w:tcBorders>
            <w:shd w:val="clear" w:color="auto" w:fill="auto"/>
            <w:vAlign w:val="bottom"/>
            <w:hideMark/>
          </w:tcPr>
          <w:p w14:paraId="1EDD1BFD"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Toplam</w:t>
            </w:r>
          </w:p>
        </w:tc>
        <w:tc>
          <w:tcPr>
            <w:tcW w:w="817" w:type="dxa"/>
            <w:tcBorders>
              <w:top w:val="single" w:sz="4" w:space="0" w:color="auto"/>
              <w:bottom w:val="single" w:sz="12" w:space="0" w:color="auto"/>
            </w:tcBorders>
            <w:shd w:val="clear" w:color="auto" w:fill="auto"/>
            <w:vAlign w:val="bottom"/>
            <w:hideMark/>
          </w:tcPr>
          <w:p w14:paraId="23877DEC" w14:textId="77777777" w:rsidR="00856523" w:rsidRPr="00417AC1" w:rsidRDefault="00856523" w:rsidP="006F1F13">
            <w:pPr>
              <w:suppressAutoHyphens w:val="0"/>
              <w:spacing w:before="80" w:after="80" w:line="200" w:lineRule="exact"/>
              <w:ind w:right="113"/>
              <w:jc w:val="right"/>
              <w:rPr>
                <w:bCs/>
                <w:i/>
                <w:sz w:val="16"/>
                <w:lang w:val="tr-TR"/>
              </w:rPr>
            </w:pPr>
            <w:r w:rsidRPr="00417AC1">
              <w:rPr>
                <w:bCs/>
                <w:i/>
                <w:sz w:val="16"/>
                <w:lang w:val="tr-TR"/>
              </w:rPr>
              <w:t>%</w:t>
            </w:r>
          </w:p>
        </w:tc>
      </w:tr>
      <w:tr w:rsidR="001E2DCE" w:rsidRPr="00417AC1" w14:paraId="6FC813E0" w14:textId="77777777" w:rsidTr="001E2DCE">
        <w:trPr>
          <w:tblHeader/>
        </w:trPr>
        <w:tc>
          <w:tcPr>
            <w:tcW w:w="1656" w:type="dxa"/>
            <w:tcBorders>
              <w:top w:val="single" w:sz="12" w:space="0" w:color="auto"/>
              <w:bottom w:val="single" w:sz="12" w:space="0" w:color="auto"/>
            </w:tcBorders>
            <w:shd w:val="clear" w:color="auto" w:fill="auto"/>
            <w:vAlign w:val="bottom"/>
            <w:hideMark/>
          </w:tcPr>
          <w:p w14:paraId="4F678805" w14:textId="592CBBA8" w:rsidR="00856523" w:rsidRPr="00417AC1" w:rsidRDefault="006F1F13" w:rsidP="006F1F13">
            <w:pPr>
              <w:suppressAutoHyphens w:val="0"/>
              <w:spacing w:before="80" w:after="80" w:line="220" w:lineRule="exact"/>
              <w:ind w:left="283"/>
              <w:rPr>
                <w:b/>
                <w:bCs/>
                <w:iCs/>
                <w:sz w:val="18"/>
                <w:lang w:val="tr-TR"/>
              </w:rPr>
            </w:pPr>
            <w:r w:rsidRPr="00417AC1">
              <w:rPr>
                <w:b/>
                <w:bCs/>
                <w:iCs/>
                <w:sz w:val="18"/>
                <w:lang w:val="tr-TR"/>
              </w:rPr>
              <w:t>Toplam</w:t>
            </w:r>
          </w:p>
        </w:tc>
        <w:tc>
          <w:tcPr>
            <w:tcW w:w="816" w:type="dxa"/>
            <w:tcBorders>
              <w:top w:val="single" w:sz="12" w:space="0" w:color="auto"/>
              <w:bottom w:val="single" w:sz="12" w:space="0" w:color="auto"/>
            </w:tcBorders>
            <w:shd w:val="clear" w:color="auto" w:fill="auto"/>
            <w:vAlign w:val="bottom"/>
            <w:hideMark/>
          </w:tcPr>
          <w:p w14:paraId="51DA00FB"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303</w:t>
            </w:r>
          </w:p>
        </w:tc>
        <w:tc>
          <w:tcPr>
            <w:tcW w:w="816" w:type="dxa"/>
            <w:tcBorders>
              <w:top w:val="single" w:sz="12" w:space="0" w:color="auto"/>
              <w:bottom w:val="single" w:sz="12" w:space="0" w:color="auto"/>
            </w:tcBorders>
            <w:shd w:val="clear" w:color="auto" w:fill="auto"/>
            <w:vAlign w:val="bottom"/>
            <w:hideMark/>
          </w:tcPr>
          <w:p w14:paraId="33647CDE"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134</w:t>
            </w:r>
          </w:p>
        </w:tc>
        <w:tc>
          <w:tcPr>
            <w:tcW w:w="816" w:type="dxa"/>
            <w:tcBorders>
              <w:top w:val="single" w:sz="12" w:space="0" w:color="auto"/>
              <w:bottom w:val="single" w:sz="12" w:space="0" w:color="auto"/>
            </w:tcBorders>
            <w:shd w:val="clear" w:color="auto" w:fill="auto"/>
            <w:vAlign w:val="bottom"/>
            <w:hideMark/>
          </w:tcPr>
          <w:p w14:paraId="311728C4"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215</w:t>
            </w:r>
          </w:p>
        </w:tc>
        <w:tc>
          <w:tcPr>
            <w:tcW w:w="817" w:type="dxa"/>
            <w:tcBorders>
              <w:top w:val="single" w:sz="12" w:space="0" w:color="auto"/>
              <w:bottom w:val="single" w:sz="12" w:space="0" w:color="auto"/>
            </w:tcBorders>
            <w:shd w:val="clear" w:color="auto" w:fill="auto"/>
            <w:vAlign w:val="bottom"/>
            <w:hideMark/>
          </w:tcPr>
          <w:p w14:paraId="6083B20E"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282</w:t>
            </w:r>
          </w:p>
        </w:tc>
        <w:tc>
          <w:tcPr>
            <w:tcW w:w="816" w:type="dxa"/>
            <w:tcBorders>
              <w:top w:val="single" w:sz="12" w:space="0" w:color="auto"/>
              <w:bottom w:val="single" w:sz="12" w:space="0" w:color="auto"/>
            </w:tcBorders>
            <w:shd w:val="clear" w:color="auto" w:fill="auto"/>
            <w:vAlign w:val="bottom"/>
            <w:hideMark/>
          </w:tcPr>
          <w:p w14:paraId="3752AE89"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402</w:t>
            </w:r>
          </w:p>
        </w:tc>
        <w:tc>
          <w:tcPr>
            <w:tcW w:w="816" w:type="dxa"/>
            <w:tcBorders>
              <w:top w:val="single" w:sz="12" w:space="0" w:color="auto"/>
              <w:bottom w:val="single" w:sz="12" w:space="0" w:color="auto"/>
            </w:tcBorders>
            <w:shd w:val="clear" w:color="auto" w:fill="auto"/>
            <w:vAlign w:val="bottom"/>
            <w:hideMark/>
          </w:tcPr>
          <w:p w14:paraId="79FE8360" w14:textId="77777777"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1.336</w:t>
            </w:r>
          </w:p>
        </w:tc>
        <w:tc>
          <w:tcPr>
            <w:tcW w:w="817" w:type="dxa"/>
            <w:tcBorders>
              <w:top w:val="single" w:sz="12" w:space="0" w:color="auto"/>
              <w:bottom w:val="single" w:sz="12" w:space="0" w:color="auto"/>
            </w:tcBorders>
            <w:shd w:val="clear" w:color="auto" w:fill="auto"/>
            <w:vAlign w:val="bottom"/>
            <w:hideMark/>
          </w:tcPr>
          <w:p w14:paraId="3402F043" w14:textId="75AA258E" w:rsidR="00856523" w:rsidRPr="00417AC1" w:rsidRDefault="00856523" w:rsidP="006F1F13">
            <w:pPr>
              <w:suppressAutoHyphens w:val="0"/>
              <w:spacing w:before="80" w:after="80" w:line="220" w:lineRule="exact"/>
              <w:ind w:right="113"/>
              <w:jc w:val="right"/>
              <w:rPr>
                <w:b/>
                <w:sz w:val="18"/>
                <w:lang w:val="tr-TR"/>
              </w:rPr>
            </w:pPr>
            <w:r w:rsidRPr="00417AC1">
              <w:rPr>
                <w:b/>
                <w:sz w:val="18"/>
                <w:lang w:val="tr-TR"/>
              </w:rPr>
              <w:t>100,0</w:t>
            </w:r>
          </w:p>
        </w:tc>
      </w:tr>
      <w:tr w:rsidR="001E2DCE" w:rsidRPr="00417AC1" w14:paraId="53FB66D2" w14:textId="77777777" w:rsidTr="001E2DCE">
        <w:tc>
          <w:tcPr>
            <w:tcW w:w="1656" w:type="dxa"/>
            <w:tcBorders>
              <w:top w:val="single" w:sz="12" w:space="0" w:color="auto"/>
            </w:tcBorders>
            <w:shd w:val="clear" w:color="auto" w:fill="auto"/>
            <w:hideMark/>
          </w:tcPr>
          <w:p w14:paraId="69AF7AE6"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Cinsel Sömürü</w:t>
            </w:r>
          </w:p>
        </w:tc>
        <w:tc>
          <w:tcPr>
            <w:tcW w:w="816" w:type="dxa"/>
            <w:tcBorders>
              <w:top w:val="single" w:sz="12" w:space="0" w:color="auto"/>
            </w:tcBorders>
            <w:shd w:val="clear" w:color="auto" w:fill="auto"/>
            <w:vAlign w:val="bottom"/>
            <w:hideMark/>
          </w:tcPr>
          <w:p w14:paraId="0C0AB395"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186</w:t>
            </w:r>
          </w:p>
        </w:tc>
        <w:tc>
          <w:tcPr>
            <w:tcW w:w="816" w:type="dxa"/>
            <w:tcBorders>
              <w:top w:val="single" w:sz="12" w:space="0" w:color="auto"/>
            </w:tcBorders>
            <w:shd w:val="clear" w:color="auto" w:fill="auto"/>
            <w:vAlign w:val="bottom"/>
            <w:hideMark/>
          </w:tcPr>
          <w:p w14:paraId="11980F6F"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95</w:t>
            </w:r>
          </w:p>
        </w:tc>
        <w:tc>
          <w:tcPr>
            <w:tcW w:w="816" w:type="dxa"/>
            <w:tcBorders>
              <w:top w:val="single" w:sz="12" w:space="0" w:color="auto"/>
            </w:tcBorders>
            <w:shd w:val="clear" w:color="auto" w:fill="auto"/>
            <w:vAlign w:val="bottom"/>
            <w:hideMark/>
          </w:tcPr>
          <w:p w14:paraId="1194C090"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144</w:t>
            </w:r>
          </w:p>
        </w:tc>
        <w:tc>
          <w:tcPr>
            <w:tcW w:w="817" w:type="dxa"/>
            <w:tcBorders>
              <w:top w:val="single" w:sz="12" w:space="0" w:color="auto"/>
            </w:tcBorders>
            <w:shd w:val="clear" w:color="auto" w:fill="auto"/>
            <w:vAlign w:val="bottom"/>
            <w:hideMark/>
          </w:tcPr>
          <w:p w14:paraId="12AC0060"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160</w:t>
            </w:r>
          </w:p>
        </w:tc>
        <w:tc>
          <w:tcPr>
            <w:tcW w:w="816" w:type="dxa"/>
            <w:tcBorders>
              <w:top w:val="single" w:sz="12" w:space="0" w:color="auto"/>
            </w:tcBorders>
            <w:shd w:val="clear" w:color="auto" w:fill="auto"/>
            <w:vAlign w:val="bottom"/>
            <w:hideMark/>
          </w:tcPr>
          <w:p w14:paraId="6B970EDB"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200</w:t>
            </w:r>
          </w:p>
        </w:tc>
        <w:tc>
          <w:tcPr>
            <w:tcW w:w="816" w:type="dxa"/>
            <w:tcBorders>
              <w:top w:val="single" w:sz="12" w:space="0" w:color="auto"/>
            </w:tcBorders>
            <w:shd w:val="clear" w:color="auto" w:fill="auto"/>
            <w:vAlign w:val="bottom"/>
            <w:hideMark/>
          </w:tcPr>
          <w:p w14:paraId="1D21D94D"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785</w:t>
            </w:r>
          </w:p>
        </w:tc>
        <w:tc>
          <w:tcPr>
            <w:tcW w:w="817" w:type="dxa"/>
            <w:tcBorders>
              <w:top w:val="single" w:sz="12" w:space="0" w:color="auto"/>
            </w:tcBorders>
            <w:shd w:val="clear" w:color="auto" w:fill="auto"/>
            <w:vAlign w:val="bottom"/>
            <w:hideMark/>
          </w:tcPr>
          <w:p w14:paraId="369A2E9F" w14:textId="284A6C8B"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58,7</w:t>
            </w:r>
          </w:p>
        </w:tc>
      </w:tr>
      <w:tr w:rsidR="001E2DCE" w:rsidRPr="00417AC1" w14:paraId="3E0ABF50" w14:textId="77777777" w:rsidTr="001E2DCE">
        <w:tc>
          <w:tcPr>
            <w:tcW w:w="1656" w:type="dxa"/>
            <w:shd w:val="clear" w:color="auto" w:fill="auto"/>
            <w:hideMark/>
          </w:tcPr>
          <w:p w14:paraId="6EA4770E"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Emek Sömürüsü</w:t>
            </w:r>
          </w:p>
        </w:tc>
        <w:tc>
          <w:tcPr>
            <w:tcW w:w="816" w:type="dxa"/>
            <w:shd w:val="clear" w:color="auto" w:fill="auto"/>
            <w:vAlign w:val="bottom"/>
            <w:hideMark/>
          </w:tcPr>
          <w:p w14:paraId="36783C16"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52</w:t>
            </w:r>
          </w:p>
        </w:tc>
        <w:tc>
          <w:tcPr>
            <w:tcW w:w="816" w:type="dxa"/>
            <w:shd w:val="clear" w:color="auto" w:fill="auto"/>
            <w:vAlign w:val="bottom"/>
            <w:hideMark/>
          </w:tcPr>
          <w:p w14:paraId="3DA5F654"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39</w:t>
            </w:r>
          </w:p>
        </w:tc>
        <w:tc>
          <w:tcPr>
            <w:tcW w:w="816" w:type="dxa"/>
            <w:shd w:val="clear" w:color="auto" w:fill="auto"/>
            <w:vAlign w:val="bottom"/>
            <w:hideMark/>
          </w:tcPr>
          <w:p w14:paraId="22E7C24B"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55</w:t>
            </w:r>
          </w:p>
        </w:tc>
        <w:tc>
          <w:tcPr>
            <w:tcW w:w="817" w:type="dxa"/>
            <w:shd w:val="clear" w:color="auto" w:fill="auto"/>
            <w:vAlign w:val="bottom"/>
            <w:hideMark/>
          </w:tcPr>
          <w:p w14:paraId="30157F8E"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73</w:t>
            </w:r>
          </w:p>
        </w:tc>
        <w:tc>
          <w:tcPr>
            <w:tcW w:w="816" w:type="dxa"/>
            <w:shd w:val="clear" w:color="auto" w:fill="auto"/>
            <w:vAlign w:val="bottom"/>
            <w:hideMark/>
          </w:tcPr>
          <w:p w14:paraId="43CB28ED"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111</w:t>
            </w:r>
          </w:p>
        </w:tc>
        <w:tc>
          <w:tcPr>
            <w:tcW w:w="816" w:type="dxa"/>
            <w:shd w:val="clear" w:color="auto" w:fill="auto"/>
            <w:vAlign w:val="bottom"/>
            <w:hideMark/>
          </w:tcPr>
          <w:p w14:paraId="63EDEABB"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330</w:t>
            </w:r>
          </w:p>
        </w:tc>
        <w:tc>
          <w:tcPr>
            <w:tcW w:w="817" w:type="dxa"/>
            <w:shd w:val="clear" w:color="auto" w:fill="auto"/>
            <w:vAlign w:val="bottom"/>
            <w:hideMark/>
          </w:tcPr>
          <w:p w14:paraId="3952F195" w14:textId="1E74557E"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24,7</w:t>
            </w:r>
          </w:p>
        </w:tc>
      </w:tr>
      <w:tr w:rsidR="001E2DCE" w:rsidRPr="00417AC1" w14:paraId="72D3336A" w14:textId="77777777" w:rsidTr="001E2DCE">
        <w:tc>
          <w:tcPr>
            <w:tcW w:w="1656" w:type="dxa"/>
            <w:shd w:val="clear" w:color="auto" w:fill="auto"/>
            <w:hideMark/>
          </w:tcPr>
          <w:p w14:paraId="3D5A4644"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Zorla Dilencilik</w:t>
            </w:r>
          </w:p>
        </w:tc>
        <w:tc>
          <w:tcPr>
            <w:tcW w:w="816" w:type="dxa"/>
            <w:shd w:val="clear" w:color="auto" w:fill="auto"/>
            <w:vAlign w:val="bottom"/>
            <w:hideMark/>
          </w:tcPr>
          <w:p w14:paraId="4B466F40"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65</w:t>
            </w:r>
          </w:p>
        </w:tc>
        <w:tc>
          <w:tcPr>
            <w:tcW w:w="816" w:type="dxa"/>
            <w:shd w:val="clear" w:color="auto" w:fill="auto"/>
            <w:vAlign w:val="bottom"/>
            <w:hideMark/>
          </w:tcPr>
          <w:p w14:paraId="6826CE34"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33C18692"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4</w:t>
            </w:r>
          </w:p>
        </w:tc>
        <w:tc>
          <w:tcPr>
            <w:tcW w:w="817" w:type="dxa"/>
            <w:shd w:val="clear" w:color="auto" w:fill="auto"/>
            <w:vAlign w:val="bottom"/>
            <w:hideMark/>
          </w:tcPr>
          <w:p w14:paraId="2254552D"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43</w:t>
            </w:r>
          </w:p>
        </w:tc>
        <w:tc>
          <w:tcPr>
            <w:tcW w:w="816" w:type="dxa"/>
            <w:shd w:val="clear" w:color="auto" w:fill="auto"/>
            <w:vAlign w:val="bottom"/>
            <w:hideMark/>
          </w:tcPr>
          <w:p w14:paraId="1854536D"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22</w:t>
            </w:r>
          </w:p>
        </w:tc>
        <w:tc>
          <w:tcPr>
            <w:tcW w:w="816" w:type="dxa"/>
            <w:shd w:val="clear" w:color="auto" w:fill="auto"/>
            <w:vAlign w:val="bottom"/>
            <w:hideMark/>
          </w:tcPr>
          <w:p w14:paraId="76113949"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134</w:t>
            </w:r>
          </w:p>
        </w:tc>
        <w:tc>
          <w:tcPr>
            <w:tcW w:w="817" w:type="dxa"/>
            <w:shd w:val="clear" w:color="auto" w:fill="auto"/>
            <w:vAlign w:val="bottom"/>
            <w:hideMark/>
          </w:tcPr>
          <w:p w14:paraId="0DCFAAAC" w14:textId="61687182"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10,1</w:t>
            </w:r>
          </w:p>
        </w:tc>
      </w:tr>
      <w:tr w:rsidR="001E2DCE" w:rsidRPr="00417AC1" w14:paraId="050D9D9A" w14:textId="77777777" w:rsidTr="001E2DCE">
        <w:tc>
          <w:tcPr>
            <w:tcW w:w="1656" w:type="dxa"/>
            <w:shd w:val="clear" w:color="auto" w:fill="auto"/>
            <w:hideMark/>
          </w:tcPr>
          <w:p w14:paraId="2B686CC9"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Zorunlu evlilik</w:t>
            </w:r>
          </w:p>
        </w:tc>
        <w:tc>
          <w:tcPr>
            <w:tcW w:w="816" w:type="dxa"/>
            <w:shd w:val="clear" w:color="auto" w:fill="auto"/>
            <w:vAlign w:val="bottom"/>
            <w:hideMark/>
          </w:tcPr>
          <w:p w14:paraId="6022177C"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16EBE04B"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72085477"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11</w:t>
            </w:r>
          </w:p>
        </w:tc>
        <w:tc>
          <w:tcPr>
            <w:tcW w:w="817" w:type="dxa"/>
            <w:shd w:val="clear" w:color="auto" w:fill="auto"/>
            <w:vAlign w:val="bottom"/>
            <w:hideMark/>
          </w:tcPr>
          <w:p w14:paraId="449D546A"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4</w:t>
            </w:r>
          </w:p>
        </w:tc>
        <w:tc>
          <w:tcPr>
            <w:tcW w:w="816" w:type="dxa"/>
            <w:shd w:val="clear" w:color="auto" w:fill="auto"/>
            <w:vAlign w:val="bottom"/>
            <w:hideMark/>
          </w:tcPr>
          <w:p w14:paraId="62BC31A9"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54</w:t>
            </w:r>
          </w:p>
        </w:tc>
        <w:tc>
          <w:tcPr>
            <w:tcW w:w="816" w:type="dxa"/>
            <w:shd w:val="clear" w:color="auto" w:fill="auto"/>
            <w:vAlign w:val="bottom"/>
            <w:hideMark/>
          </w:tcPr>
          <w:p w14:paraId="68CA0159"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69</w:t>
            </w:r>
          </w:p>
        </w:tc>
        <w:tc>
          <w:tcPr>
            <w:tcW w:w="817" w:type="dxa"/>
            <w:shd w:val="clear" w:color="auto" w:fill="auto"/>
            <w:vAlign w:val="bottom"/>
            <w:hideMark/>
          </w:tcPr>
          <w:p w14:paraId="28A2B52F" w14:textId="2B71CE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5,2</w:t>
            </w:r>
          </w:p>
        </w:tc>
      </w:tr>
      <w:tr w:rsidR="001E2DCE" w:rsidRPr="00417AC1" w14:paraId="0530C2BB" w14:textId="77777777" w:rsidTr="001E2DCE">
        <w:tc>
          <w:tcPr>
            <w:tcW w:w="1656" w:type="dxa"/>
            <w:shd w:val="clear" w:color="auto" w:fill="auto"/>
            <w:hideMark/>
          </w:tcPr>
          <w:p w14:paraId="7663C208"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Çocuk Askerler</w:t>
            </w:r>
          </w:p>
        </w:tc>
        <w:tc>
          <w:tcPr>
            <w:tcW w:w="816" w:type="dxa"/>
            <w:shd w:val="clear" w:color="auto" w:fill="auto"/>
            <w:vAlign w:val="bottom"/>
            <w:hideMark/>
          </w:tcPr>
          <w:p w14:paraId="6C17A9BC"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62D782D0"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00C24699"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7" w:type="dxa"/>
            <w:shd w:val="clear" w:color="auto" w:fill="auto"/>
            <w:vAlign w:val="bottom"/>
            <w:hideMark/>
          </w:tcPr>
          <w:p w14:paraId="381B17AD"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02681541"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14</w:t>
            </w:r>
          </w:p>
        </w:tc>
        <w:tc>
          <w:tcPr>
            <w:tcW w:w="816" w:type="dxa"/>
            <w:shd w:val="clear" w:color="auto" w:fill="auto"/>
            <w:vAlign w:val="bottom"/>
            <w:hideMark/>
          </w:tcPr>
          <w:p w14:paraId="6E040F8A"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14</w:t>
            </w:r>
          </w:p>
        </w:tc>
        <w:tc>
          <w:tcPr>
            <w:tcW w:w="817" w:type="dxa"/>
            <w:shd w:val="clear" w:color="auto" w:fill="auto"/>
            <w:vAlign w:val="bottom"/>
            <w:hideMark/>
          </w:tcPr>
          <w:p w14:paraId="2CD5126E" w14:textId="546C6E8F"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1,0</w:t>
            </w:r>
          </w:p>
        </w:tc>
      </w:tr>
      <w:tr w:rsidR="001E2DCE" w:rsidRPr="00417AC1" w14:paraId="6D93B513" w14:textId="77777777" w:rsidTr="001E2DCE">
        <w:tc>
          <w:tcPr>
            <w:tcW w:w="1656" w:type="dxa"/>
            <w:shd w:val="clear" w:color="auto" w:fill="auto"/>
            <w:hideMark/>
          </w:tcPr>
          <w:p w14:paraId="3AAB3F53"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Çocuk Satışı</w:t>
            </w:r>
          </w:p>
        </w:tc>
        <w:tc>
          <w:tcPr>
            <w:tcW w:w="816" w:type="dxa"/>
            <w:shd w:val="clear" w:color="auto" w:fill="auto"/>
            <w:vAlign w:val="bottom"/>
            <w:hideMark/>
          </w:tcPr>
          <w:p w14:paraId="56A92041"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314733EF"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13A014E5"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w:t>
            </w:r>
          </w:p>
        </w:tc>
        <w:tc>
          <w:tcPr>
            <w:tcW w:w="817" w:type="dxa"/>
            <w:shd w:val="clear" w:color="auto" w:fill="auto"/>
            <w:vAlign w:val="bottom"/>
            <w:hideMark/>
          </w:tcPr>
          <w:p w14:paraId="7F4E4A16"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w:t>
            </w:r>
          </w:p>
        </w:tc>
        <w:tc>
          <w:tcPr>
            <w:tcW w:w="816" w:type="dxa"/>
            <w:shd w:val="clear" w:color="auto" w:fill="auto"/>
            <w:vAlign w:val="bottom"/>
            <w:hideMark/>
          </w:tcPr>
          <w:p w14:paraId="797D3755"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w:t>
            </w:r>
          </w:p>
        </w:tc>
        <w:tc>
          <w:tcPr>
            <w:tcW w:w="816" w:type="dxa"/>
            <w:shd w:val="clear" w:color="auto" w:fill="auto"/>
            <w:vAlign w:val="bottom"/>
            <w:hideMark/>
          </w:tcPr>
          <w:p w14:paraId="53C0B622"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3</w:t>
            </w:r>
          </w:p>
        </w:tc>
        <w:tc>
          <w:tcPr>
            <w:tcW w:w="817" w:type="dxa"/>
            <w:shd w:val="clear" w:color="auto" w:fill="auto"/>
            <w:vAlign w:val="bottom"/>
            <w:hideMark/>
          </w:tcPr>
          <w:p w14:paraId="231812BE" w14:textId="75C07D35"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0,2</w:t>
            </w:r>
          </w:p>
        </w:tc>
      </w:tr>
      <w:tr w:rsidR="001E2DCE" w:rsidRPr="00417AC1" w14:paraId="2B205AF5" w14:textId="77777777" w:rsidTr="001E2DCE">
        <w:tc>
          <w:tcPr>
            <w:tcW w:w="1656" w:type="dxa"/>
            <w:shd w:val="clear" w:color="auto" w:fill="auto"/>
            <w:hideMark/>
          </w:tcPr>
          <w:p w14:paraId="569680A1" w14:textId="77777777" w:rsidR="00856523" w:rsidRPr="00417AC1" w:rsidRDefault="00856523" w:rsidP="006F1F13">
            <w:pPr>
              <w:suppressAutoHyphens w:val="0"/>
              <w:spacing w:before="40" w:after="40" w:line="220" w:lineRule="exact"/>
              <w:ind w:right="113"/>
              <w:rPr>
                <w:sz w:val="18"/>
                <w:lang w:val="tr-TR"/>
              </w:rPr>
            </w:pPr>
            <w:r w:rsidRPr="00417AC1">
              <w:rPr>
                <w:sz w:val="18"/>
                <w:lang w:val="tr-TR"/>
              </w:rPr>
              <w:t>Organ ve Doku Ticareti</w:t>
            </w:r>
          </w:p>
        </w:tc>
        <w:tc>
          <w:tcPr>
            <w:tcW w:w="816" w:type="dxa"/>
            <w:shd w:val="clear" w:color="auto" w:fill="auto"/>
            <w:vAlign w:val="bottom"/>
            <w:hideMark/>
          </w:tcPr>
          <w:p w14:paraId="66D17B86"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0D7CB81F"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04B03B15"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7" w:type="dxa"/>
            <w:shd w:val="clear" w:color="auto" w:fill="auto"/>
            <w:vAlign w:val="bottom"/>
            <w:hideMark/>
          </w:tcPr>
          <w:p w14:paraId="77D7427B"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w:t>
            </w:r>
          </w:p>
        </w:tc>
        <w:tc>
          <w:tcPr>
            <w:tcW w:w="816" w:type="dxa"/>
            <w:shd w:val="clear" w:color="auto" w:fill="auto"/>
            <w:vAlign w:val="bottom"/>
            <w:hideMark/>
          </w:tcPr>
          <w:p w14:paraId="181E6F2F"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w:t>
            </w:r>
          </w:p>
        </w:tc>
        <w:tc>
          <w:tcPr>
            <w:tcW w:w="816" w:type="dxa"/>
            <w:shd w:val="clear" w:color="auto" w:fill="auto"/>
            <w:vAlign w:val="bottom"/>
            <w:hideMark/>
          </w:tcPr>
          <w:p w14:paraId="629C1359" w14:textId="77777777"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1</w:t>
            </w:r>
          </w:p>
        </w:tc>
        <w:tc>
          <w:tcPr>
            <w:tcW w:w="817" w:type="dxa"/>
            <w:shd w:val="clear" w:color="auto" w:fill="auto"/>
            <w:vAlign w:val="bottom"/>
            <w:hideMark/>
          </w:tcPr>
          <w:p w14:paraId="189F1CCB" w14:textId="5EC32514" w:rsidR="00856523" w:rsidRPr="00417AC1" w:rsidRDefault="00856523" w:rsidP="006F1F13">
            <w:pPr>
              <w:suppressAutoHyphens w:val="0"/>
              <w:spacing w:before="40" w:after="40" w:line="220" w:lineRule="exact"/>
              <w:ind w:right="113"/>
              <w:jc w:val="right"/>
              <w:rPr>
                <w:sz w:val="18"/>
                <w:lang w:val="tr-TR"/>
              </w:rPr>
            </w:pPr>
            <w:r w:rsidRPr="00417AC1">
              <w:rPr>
                <w:sz w:val="18"/>
                <w:lang w:val="tr-TR"/>
              </w:rPr>
              <w:t>0,1</w:t>
            </w:r>
          </w:p>
        </w:tc>
      </w:tr>
    </w:tbl>
    <w:p w14:paraId="134E4039" w14:textId="5120EDEC" w:rsidR="00856523" w:rsidRPr="00417AC1" w:rsidRDefault="00856523" w:rsidP="00856523">
      <w:pPr>
        <w:pStyle w:val="SingleTxtG"/>
        <w:spacing w:before="240"/>
        <w:rPr>
          <w:lang w:val="tr-TR"/>
        </w:rPr>
      </w:pPr>
      <w:r w:rsidRPr="00417AC1">
        <w:rPr>
          <w:lang w:val="tr-TR"/>
        </w:rPr>
        <w:t xml:space="preserve">190. </w:t>
      </w:r>
      <w:r w:rsidRPr="00417AC1">
        <w:rPr>
          <w:lang w:val="tr-TR"/>
        </w:rPr>
        <w:tab/>
        <w:t xml:space="preserve">2017-2021 döneminde </w:t>
      </w:r>
      <w:r w:rsidR="006F4FBB" w:rsidRPr="00417AC1">
        <w:rPr>
          <w:lang w:val="tr-TR"/>
        </w:rPr>
        <w:t>mağdurların yaklaşık %33'ü çocuk, %59'u ise 18-35 yaş aralığındadır. Kurbanların çoğunluğunu cinsel istismar amacıyla ticareti yapılan kadınlar oluşturuyor. Son beş yılda tespit edilen mağdurların yaklaşık yüzde 80'i kadın. 2017-2021 yılları arasında en çok insan ticareti mağduru olan ilk beş ülke arasında Suriye, Özbekistan, Kırgızistan, Afganistan ve Fas kökenli yabancılar yer alıyor. İnsan ticareti mağdurları çoğunlukla İstanbul ve Antalya gibi yabancı nüfusun yoğun olduğu illerde görülüyor. eğlence sektörü.</w:t>
      </w:r>
    </w:p>
    <w:p w14:paraId="3C028EAB" w14:textId="7F90AAEC" w:rsidR="00856523" w:rsidRPr="00417AC1" w:rsidRDefault="00856523" w:rsidP="00856523">
      <w:pPr>
        <w:pStyle w:val="H23G"/>
        <w:rPr>
          <w:lang w:val="tr-TR"/>
        </w:rPr>
      </w:pPr>
      <w:bookmarkStart w:id="18" w:name="_Toc110354339"/>
      <w:r w:rsidRPr="00417AC1">
        <w:rPr>
          <w:lang w:val="tr-TR"/>
        </w:rPr>
        <w:tab/>
      </w:r>
      <w:r w:rsidRPr="00417AC1">
        <w:rPr>
          <w:lang w:val="tr-TR"/>
        </w:rPr>
        <w:tab/>
        <w:t xml:space="preserve">Hareket Özgürlüğü </w:t>
      </w:r>
      <w:r w:rsidR="003D1F7D" w:rsidRPr="00417AC1">
        <w:rPr>
          <w:lang w:val="tr-TR"/>
        </w:rPr>
        <w:t>– Madde 12</w:t>
      </w:r>
      <w:bookmarkEnd w:id="18"/>
    </w:p>
    <w:p w14:paraId="4928064B" w14:textId="77777777" w:rsidR="00856523" w:rsidRPr="00417AC1" w:rsidRDefault="00856523" w:rsidP="00856523">
      <w:pPr>
        <w:pStyle w:val="H4G"/>
        <w:rPr>
          <w:b/>
          <w:lang w:val="tr-TR"/>
        </w:rPr>
      </w:pPr>
      <w:r w:rsidRPr="00417AC1">
        <w:rPr>
          <w:lang w:val="tr-TR"/>
        </w:rPr>
        <w:tab/>
      </w:r>
      <w:r w:rsidRPr="00417AC1">
        <w:rPr>
          <w:lang w:val="tr-TR"/>
        </w:rPr>
        <w:tab/>
        <w:t>Pasaport verilmesine ilişkin kanunlarda değişiklik yapıldı</w:t>
      </w:r>
    </w:p>
    <w:p w14:paraId="1F8652B9" w14:textId="77777777" w:rsidR="00856523" w:rsidRPr="00417AC1" w:rsidRDefault="00856523" w:rsidP="00856523">
      <w:pPr>
        <w:pStyle w:val="SingleTxtG"/>
        <w:rPr>
          <w:lang w:val="tr-TR"/>
        </w:rPr>
      </w:pPr>
      <w:r w:rsidRPr="00417AC1">
        <w:rPr>
          <w:lang w:val="tr-TR"/>
        </w:rPr>
        <w:t xml:space="preserve">191. </w:t>
      </w:r>
      <w:r w:rsidRPr="00417AC1">
        <w:rPr>
          <w:lang w:val="tr-TR"/>
        </w:rPr>
        <w:tab/>
        <w:t xml:space="preserve">10 Kasım 2016 tarihinde yürürlüğe giren 6758 sayılı Kanun Hükmünde Kararname ile 674 sayılı Kanun Hükmünde Kararname ile eğitim, öğretim ve sağlık kurumlarının kurucusu ve yöneticisi veya çalışanı olduğu tespit edilen kişilere pasaport veya seyahat </w:t>
      </w:r>
      <w:r w:rsidRPr="00417AC1">
        <w:rPr>
          <w:lang w:val="tr-TR"/>
        </w:rPr>
        <w:lastRenderedPageBreak/>
        <w:t>belgesi verilmesi kısıtlanmıştır. Terör örgütlerine ait, terör örgütleriyle bağlantılı veya irtibatı olan yurt dışındaki vakıf, dernek veya şirketler.</w:t>
      </w:r>
    </w:p>
    <w:p w14:paraId="7F205720" w14:textId="77777777" w:rsidR="00856523" w:rsidRPr="00417AC1" w:rsidRDefault="00856523" w:rsidP="00856523">
      <w:pPr>
        <w:pStyle w:val="SingleTxtG"/>
        <w:rPr>
          <w:lang w:val="tr-TR"/>
        </w:rPr>
      </w:pPr>
      <w:r w:rsidRPr="00417AC1">
        <w:rPr>
          <w:lang w:val="tr-TR"/>
        </w:rPr>
        <w:t xml:space="preserve">192. </w:t>
      </w:r>
      <w:r w:rsidRPr="00417AC1">
        <w:rPr>
          <w:lang w:val="tr-TR"/>
        </w:rPr>
        <w:tab/>
        <w:t>667 sayılı Kanun Hükmünde Kararname (18 Ekim 2016 tarihinde yürürlüğe giren 6749 sayılı Kanun) ile terörle bağlantılı suçlara ilişkin yürütülen soruşturma ve kovuşturmalarda kolluk kuvvetlerine ve adli makamlara ve ilgili pasaport birimlerine bildirimde bulunma zorunluluğu getirilmiştir. Pasaport Kanunu uyarınca bildirim üzerine idari kısıtlamalar getirilebilir.</w:t>
      </w:r>
    </w:p>
    <w:p w14:paraId="16BB5140" w14:textId="77777777" w:rsidR="00856523" w:rsidRPr="00417AC1" w:rsidRDefault="00856523" w:rsidP="00856523">
      <w:pPr>
        <w:pStyle w:val="SingleTxtG"/>
        <w:rPr>
          <w:lang w:val="tr-TR"/>
        </w:rPr>
      </w:pPr>
      <w:r w:rsidRPr="00417AC1">
        <w:rPr>
          <w:lang w:val="tr-TR"/>
        </w:rPr>
        <w:t xml:space="preserve">193. </w:t>
      </w:r>
      <w:r w:rsidRPr="00417AC1">
        <w:rPr>
          <w:lang w:val="tr-TR"/>
        </w:rPr>
        <w:tab/>
        <w:t>6 Şubat 2018 tarihli ve 7086 sayılı Kanun'un kamu görevinden ihraç edilenlerin pasaportlarının iptaline ilişkin 1/2 maddesinin bir kısmı anayasaya aykırı olduğu gerekçesiyle 24 Haziran 2021 tarihinde AYM tarafından iptal edilmiştir. AYM, bu hükmün kamu görevinden ihraç edilen kişilerin hareket özgürlüğünü OHAL sınırlarını aşacak şekilde sınırladığını, bu kişilerin başvurabileceği etkin bir denetim mekanizmasının bulunmadığını, pasaportun iptalinin yasa dışı olduğunu belirtti. hakim kararının Anayasa'nın 23/3 maddesinde düzenlenen dolaşım özgürlüğü güvenceleriyle bağdaşmadığı belirtildi.</w:t>
      </w:r>
    </w:p>
    <w:p w14:paraId="2B28CA03" w14:textId="01501DAF" w:rsidR="00856523" w:rsidRPr="00417AC1" w:rsidRDefault="00856523" w:rsidP="00856523">
      <w:pPr>
        <w:pStyle w:val="SingleTxtG"/>
        <w:rPr>
          <w:lang w:val="tr-TR"/>
        </w:rPr>
      </w:pPr>
      <w:r w:rsidRPr="00417AC1">
        <w:rPr>
          <w:lang w:val="tr-TR"/>
        </w:rPr>
        <w:t xml:space="preserve">194. </w:t>
      </w:r>
      <w:r w:rsidRPr="00417AC1">
        <w:rPr>
          <w:lang w:val="tr-TR"/>
        </w:rPr>
        <w:tab/>
        <w:t xml:space="preserve">7188 Sayılı Pasaport Kanununa Ek 7. Madde ile başlangıçta; OHAL döneminde yürürlüğe giren yasal düzenlemeler uyarınca pasaportları iptal edilenlerden, haklarında devam eden idari veya adli soruşturma veya kovuşturma bulunmayanlar; hakkında takipsizlik, beraat, ceza verilmesine gerek bulunmadığı, görevden alınma veya davanın durdurulması kararı verilenler; varsa cezası tamamen çekilmiş veya ertelenmiş olan; Aynı nedenlerle hakkında hükmün açıklanmasının geri bırakılması kararı verilenlere, başvuruları üzerine kolluk birimlerince yapılan inceleme doğrultusunda İçişleri Bakanlığınca pasaport verilebilir. AYM'nin </w:t>
      </w:r>
      <w:r w:rsidR="00742BC4" w:rsidRPr="00417AC1">
        <w:rPr>
          <w:lang w:val="tr-TR"/>
        </w:rPr>
        <w:t>3 Haziran 2021 tarihli kararıyla bu hüküm anayasaya aykırı olduğu gerekçesiyle iptal edildi.</w:t>
      </w:r>
    </w:p>
    <w:p w14:paraId="56DA8CB0" w14:textId="77777777" w:rsidR="00856523" w:rsidRPr="00417AC1" w:rsidRDefault="00856523" w:rsidP="00856523">
      <w:pPr>
        <w:pStyle w:val="SingleTxtG"/>
        <w:rPr>
          <w:lang w:val="tr-TR"/>
        </w:rPr>
      </w:pPr>
      <w:r w:rsidRPr="00417AC1">
        <w:rPr>
          <w:lang w:val="tr-TR"/>
        </w:rPr>
        <w:t xml:space="preserve">195. </w:t>
      </w:r>
      <w:r w:rsidRPr="00417AC1">
        <w:rPr>
          <w:lang w:val="tr-TR"/>
        </w:rPr>
        <w:tab/>
        <w:t>Haklarında cezai soruşturma veya kovuşturma yürütülen terör örgütü üyelerine ilişkin adli makamlarca yapılan tebligatlara göre pasaport iptal işlemleri gerçekleştirilir. Görevleri nedeniyle kamu görevinden ihraç edilenlerin aldıkları özel veya hizmet pasaportları, bu hakların kaybolması nedeniyle geçersiz hale gelir.</w:t>
      </w:r>
    </w:p>
    <w:p w14:paraId="19540D3D" w14:textId="58CC4E77" w:rsidR="00856523" w:rsidRPr="00417AC1" w:rsidRDefault="00856523" w:rsidP="00856523">
      <w:pPr>
        <w:pStyle w:val="H23G"/>
        <w:rPr>
          <w:lang w:val="tr-TR"/>
        </w:rPr>
      </w:pPr>
      <w:bookmarkStart w:id="19" w:name="_Toc110354340"/>
      <w:r w:rsidRPr="00417AC1">
        <w:rPr>
          <w:lang w:val="tr-TR"/>
        </w:rPr>
        <w:tab/>
      </w:r>
      <w:r w:rsidRPr="00417AC1">
        <w:rPr>
          <w:lang w:val="tr-TR"/>
        </w:rPr>
        <w:tab/>
        <w:t xml:space="preserve">Göçmenlere, mültecilere ve sığınmacılara yönelik muamele </w:t>
      </w:r>
      <w:r w:rsidR="008931AC" w:rsidRPr="00417AC1">
        <w:rPr>
          <w:lang w:val="tr-TR"/>
        </w:rPr>
        <w:t>– Madde 7, 9, 12, 13 ve 24</w:t>
      </w:r>
      <w:bookmarkEnd w:id="19"/>
    </w:p>
    <w:p w14:paraId="488C93B5" w14:textId="0F886436" w:rsidR="00856523" w:rsidRPr="00417AC1" w:rsidRDefault="00856523" w:rsidP="00856523">
      <w:pPr>
        <w:pStyle w:val="SingleTxtG"/>
        <w:rPr>
          <w:b/>
          <w:lang w:val="tr-TR"/>
        </w:rPr>
      </w:pPr>
      <w:r w:rsidRPr="00417AC1">
        <w:rPr>
          <w:bCs/>
          <w:lang w:val="tr-TR"/>
        </w:rPr>
        <w:t xml:space="preserve">196. </w:t>
      </w:r>
      <w:r w:rsidRPr="00417AC1">
        <w:rPr>
          <w:bCs/>
          <w:lang w:val="tr-TR"/>
        </w:rPr>
        <w:tab/>
      </w:r>
      <w:r w:rsidRPr="00417AC1">
        <w:rPr>
          <w:lang w:val="tr-TR"/>
        </w:rPr>
        <w:t>Türkiye, uluslararası standartlara uygun, etkili bir ulusal sığınma sistemi oluşturmak amacıyla yasal ve kurumsal reformlar yürütmektedir. Bu bağlamda 6458 sayılı Kanun 11 Nisan 2014 tarihinde yürürlüğe girmiştir. Kanun, Türkiye'nin ulusal iltica sisteminin temel direklerini ortaya koymuş ve bu kanundan sorumlu ana kurum olarak Göç İdaresi Genel Müdürlüğü'nü (daha sonra Göç İdaresi Başkanlığı olmuştur) kurmuştur. Türkiye'de yabancılara ilişkin politika oluşturma ve prosedürler. Türkiye ayrıca 22 Ekim 2014 tarihinde, Türkiye'de geçici koruma sağlanan kişilerin haklarını, yükümlülüklerini ve prosedürlerini belirleyen Geçici Koruma Yönetmeliği'ni kabul etti.</w:t>
      </w:r>
    </w:p>
    <w:p w14:paraId="540B6995" w14:textId="77777777" w:rsidR="00856523" w:rsidRPr="00417AC1" w:rsidRDefault="00856523" w:rsidP="00856523">
      <w:pPr>
        <w:pStyle w:val="SingleTxtG"/>
        <w:rPr>
          <w:lang w:val="tr-TR"/>
        </w:rPr>
      </w:pPr>
      <w:r w:rsidRPr="00417AC1">
        <w:rPr>
          <w:lang w:val="tr-TR"/>
        </w:rPr>
        <w:t xml:space="preserve">197. </w:t>
      </w:r>
      <w:r w:rsidRPr="00417AC1">
        <w:rPr>
          <w:lang w:val="tr-TR"/>
        </w:rPr>
        <w:tab/>
        <w:t>1951 Cenevre Sözleşmesi ve 1967 Protokolüne taraf olan Türkiye, geri göndermeme ilkesine bağlıdır. Bu çerçevede geri göndermeme ilkesi 6458 sayılı Kanun'un 4. maddesiyle de güvence altına alınmıştır. Gönüllü geri dönüş prosedürleri ulusal mevzuata, geri kabul anlaşmalarına, gönüllü geri dönüş programlarına ve Ulusal Destekli Gönüllü Geri Dönüş Mekanizmasına uygun olarak uygulanmaktadır.</w:t>
      </w:r>
    </w:p>
    <w:p w14:paraId="54DE695F" w14:textId="77777777" w:rsidR="00856523" w:rsidRPr="00417AC1" w:rsidRDefault="00856523" w:rsidP="00856523">
      <w:pPr>
        <w:pStyle w:val="SingleTxtG"/>
        <w:rPr>
          <w:lang w:val="tr-TR"/>
        </w:rPr>
      </w:pPr>
      <w:r w:rsidRPr="00417AC1">
        <w:rPr>
          <w:lang w:val="tr-TR"/>
        </w:rPr>
        <w:t xml:space="preserve">198. </w:t>
      </w:r>
      <w:r w:rsidRPr="00417AC1">
        <w:rPr>
          <w:lang w:val="tr-TR"/>
        </w:rPr>
        <w:tab/>
        <w:t>6458 sayılı Kanun kapsamında Türkiye'ye giren yabancılar uluslararası korumaya başvurabilmektedir. Buna göre başvuruları kabul edilen veya derdest olan yabancılar sınır dışı edilemez.</w:t>
      </w:r>
    </w:p>
    <w:p w14:paraId="737D3F18" w14:textId="47BA80D5" w:rsidR="00856523" w:rsidRPr="00417AC1" w:rsidRDefault="00856523" w:rsidP="00856523">
      <w:pPr>
        <w:pStyle w:val="H23G"/>
        <w:rPr>
          <w:lang w:val="tr-TR"/>
        </w:rPr>
      </w:pPr>
      <w:bookmarkStart w:id="20" w:name="_Toc110354341"/>
      <w:r w:rsidRPr="00417AC1">
        <w:rPr>
          <w:lang w:val="tr-TR"/>
        </w:rPr>
        <w:tab/>
      </w:r>
      <w:r w:rsidRPr="00417AC1">
        <w:rPr>
          <w:lang w:val="tr-TR"/>
        </w:rPr>
        <w:tab/>
        <w:t xml:space="preserve">Adalete erişim, adil yargılanma hakkı ve avukatların ve yargının bağımsızlığı </w:t>
      </w:r>
      <w:r w:rsidR="008931AC" w:rsidRPr="00417AC1">
        <w:rPr>
          <w:lang w:val="tr-TR"/>
        </w:rPr>
        <w:t>– Madde 2, 7, 9, 10 ve 14</w:t>
      </w:r>
      <w:bookmarkEnd w:id="20"/>
    </w:p>
    <w:p w14:paraId="26EA76E7" w14:textId="77777777" w:rsidR="00856523" w:rsidRPr="00417AC1" w:rsidRDefault="00856523" w:rsidP="00856523">
      <w:pPr>
        <w:pStyle w:val="H4G"/>
        <w:rPr>
          <w:b/>
          <w:lang w:val="tr-TR"/>
        </w:rPr>
      </w:pPr>
      <w:r w:rsidRPr="00417AC1">
        <w:rPr>
          <w:lang w:val="tr-TR"/>
        </w:rPr>
        <w:tab/>
      </w:r>
      <w:r w:rsidRPr="00417AC1">
        <w:rPr>
          <w:lang w:val="tr-TR"/>
        </w:rPr>
        <w:tab/>
        <w:t>HSK'ya ilişkin yasal değişiklikler</w:t>
      </w:r>
    </w:p>
    <w:p w14:paraId="0BE04713" w14:textId="6C499209" w:rsidR="00856523" w:rsidRPr="00417AC1" w:rsidRDefault="00856523" w:rsidP="00856523">
      <w:pPr>
        <w:pStyle w:val="SingleTxtG"/>
        <w:rPr>
          <w:lang w:val="tr-TR"/>
        </w:rPr>
      </w:pPr>
      <w:r w:rsidRPr="00417AC1">
        <w:rPr>
          <w:lang w:val="tr-TR"/>
        </w:rPr>
        <w:t xml:space="preserve">199. </w:t>
      </w:r>
      <w:r w:rsidRPr="00417AC1">
        <w:rPr>
          <w:lang w:val="tr-TR"/>
        </w:rPr>
        <w:tab/>
        <w:t xml:space="preserve">2017 yılında referandumla kabul edilen Anayasa değişikliği ile </w:t>
      </w:r>
      <w:r w:rsidR="00BA1A10" w:rsidRPr="00417AC1">
        <w:rPr>
          <w:lang w:val="tr-TR"/>
        </w:rPr>
        <w:t>SCJP'nin adındaki “Yüce” ibaresi kaldırılmış, üye sayısı 22'den 13'e, daire sayısı da 3'ten 2'ye düşürülmüştür. Konseyin yapısı yeniden düzenlenmiştir. yapısı ve uygulamalarında ortaya çıkan sorunları ortadan kaldırmak amacıyla kurulmuştur. Konseyin yapısı bağımsızlık ve tarafsızlık ilkelerine dayanmaktadır.</w:t>
      </w:r>
    </w:p>
    <w:p w14:paraId="36135E7F" w14:textId="77777777" w:rsidR="00856523" w:rsidRPr="00417AC1" w:rsidRDefault="00856523" w:rsidP="00856523">
      <w:pPr>
        <w:pStyle w:val="SingleTxtG"/>
        <w:rPr>
          <w:lang w:val="tr-TR"/>
        </w:rPr>
      </w:pPr>
      <w:r w:rsidRPr="00417AC1">
        <w:rPr>
          <w:lang w:val="tr-TR"/>
        </w:rPr>
        <w:lastRenderedPageBreak/>
        <w:t xml:space="preserve">200. </w:t>
      </w:r>
      <w:r w:rsidRPr="00417AC1">
        <w:rPr>
          <w:lang w:val="tr-TR"/>
        </w:rPr>
        <w:tab/>
        <w:t>Anayasa'nın 159/3 maddesi uyarınca HSK Başkanı Adalet Bakanıdır. Ancak Bakan, Başkan sıfatıyla disiplin işlemleriyle ilgili daire toplantılarına ve genel kurul toplantılarına katılamaz. Adalet Bakanlığı Bakan Yardımcısı Konseyin doğal üyesidir. Kurulun 3 üyesi adli yargı hakim ve savcıları arasından, 1 üyesi idari yargı hakim ve savcıları arasından Cumhurbaşkanınca seçilir; TBMM tarafından 3 üye Yargıtay üyeleri, 1 üye Danıştay üyeleri, 3 üye ise yükseköğretim kurumlarının hukuk birimlerinde görev yapan öğretim üyeleri ve avukatlar arasından seçilir.</w:t>
      </w:r>
    </w:p>
    <w:p w14:paraId="201D09A0" w14:textId="77777777" w:rsidR="00856523" w:rsidRPr="00417AC1" w:rsidRDefault="00856523" w:rsidP="00856523">
      <w:pPr>
        <w:pStyle w:val="SingleTxtG"/>
        <w:rPr>
          <w:lang w:val="tr-TR"/>
        </w:rPr>
      </w:pPr>
      <w:r w:rsidRPr="00417AC1">
        <w:rPr>
          <w:lang w:val="tr-TR"/>
        </w:rPr>
        <w:t xml:space="preserve">201. </w:t>
      </w:r>
      <w:r w:rsidRPr="00417AC1">
        <w:rPr>
          <w:lang w:val="tr-TR"/>
        </w:rPr>
        <w:tab/>
        <w:t>Değişiklikler üye sayısı, seçim ve çalışma usulleri ile ilgili olup HSK'nın bağımsızlığını, görev ve yetkisini etkilememiştir. HSK bağımsız ve tarafsız yapısı nedeniyle siyasi etkiye tabi değildir.</w:t>
      </w:r>
    </w:p>
    <w:p w14:paraId="150710A6" w14:textId="77777777" w:rsidR="00856523" w:rsidRPr="00417AC1" w:rsidRDefault="00856523" w:rsidP="00856523">
      <w:pPr>
        <w:pStyle w:val="SingleTxtG"/>
        <w:rPr>
          <w:lang w:val="tr-TR"/>
        </w:rPr>
      </w:pPr>
      <w:r w:rsidRPr="00417AC1">
        <w:rPr>
          <w:lang w:val="tr-TR"/>
        </w:rPr>
        <w:t xml:space="preserve">202. </w:t>
      </w:r>
      <w:r w:rsidRPr="00417AC1">
        <w:rPr>
          <w:lang w:val="tr-TR"/>
        </w:rPr>
        <w:tab/>
        <w:t>Hakim ve savcılar, verdikleri kararlardan dolayı değil, haklarında şikâyet olması halinde ve şikâyet konularının doğruluğunun tespiti amacıyla HSK'dan izin alınması halinde disiplin soruşturmasına tabi tutulabilecektir. Yürütülen disiplin soruşturmaları sonucunda mevzuatta öngörülen disiplin cezası ilgili yargı üyesine ancak kasıtlı eylem veya ağır ihmal hallerinde verilmektedir.</w:t>
      </w:r>
    </w:p>
    <w:p w14:paraId="4B167BC2" w14:textId="77777777" w:rsidR="00856523" w:rsidRPr="00417AC1" w:rsidRDefault="00856523" w:rsidP="00856523">
      <w:pPr>
        <w:pStyle w:val="H4G"/>
        <w:rPr>
          <w:lang w:val="tr-TR"/>
        </w:rPr>
      </w:pPr>
      <w:r w:rsidRPr="00417AC1">
        <w:rPr>
          <w:lang w:val="tr-TR"/>
        </w:rPr>
        <w:tab/>
      </w:r>
      <w:r w:rsidRPr="00417AC1">
        <w:rPr>
          <w:lang w:val="tr-TR"/>
        </w:rPr>
        <w:tab/>
        <w:t>Hakim ve savcıların atanması ve 7145 sayılı Kanuna ilişkin</w:t>
      </w:r>
    </w:p>
    <w:p w14:paraId="389697F2" w14:textId="0679FB1A" w:rsidR="00856523" w:rsidRPr="00417AC1" w:rsidRDefault="00856523" w:rsidP="00856523">
      <w:pPr>
        <w:pStyle w:val="SingleTxtG"/>
        <w:rPr>
          <w:lang w:val="tr-TR"/>
        </w:rPr>
      </w:pPr>
      <w:r w:rsidRPr="00417AC1">
        <w:rPr>
          <w:lang w:val="tr-TR"/>
        </w:rPr>
        <w:t xml:space="preserve">203. Hakim ve </w:t>
      </w:r>
      <w:r w:rsidRPr="00417AC1">
        <w:rPr>
          <w:lang w:val="tr-TR"/>
        </w:rPr>
        <w:tab/>
      </w:r>
      <w:r w:rsidR="00742BC4" w:rsidRPr="00417AC1">
        <w:rPr>
          <w:lang w:val="tr-TR"/>
        </w:rPr>
        <w:t xml:space="preserve">savcıların adaylığa kabul, aday gösterilme ve mesleğe kabul </w:t>
      </w:r>
      <w:r w:rsidRPr="00417AC1">
        <w:rPr>
          <w:lang w:val="tr-TR"/>
        </w:rPr>
        <w:t xml:space="preserve">süreci kanunla düzenlenir. </w:t>
      </w:r>
      <w:r w:rsidR="00742BC4" w:rsidRPr="00417AC1">
        <w:rPr>
          <w:lang w:val="tr-TR"/>
        </w:rPr>
        <w:t>Başkanın bu süreçlerde herhangi bir yetkisi yoktur. Adaylık sürecinde Adalet Bakanlığı, kabul sürecinde ise HSK hakim ve savcılara ilişkin görev ve yetkiye sahiptir. Adaylık süreci ve mesleğe kabul aşaması 2802 sayılı Hakimler ve Savcılar Kanununa uygun olarak yürütülür.</w:t>
      </w:r>
    </w:p>
    <w:p w14:paraId="044FE9EC" w14:textId="77777777" w:rsidR="00856523" w:rsidRPr="00417AC1" w:rsidRDefault="00856523" w:rsidP="00856523">
      <w:pPr>
        <w:pStyle w:val="H4G"/>
        <w:rPr>
          <w:b/>
          <w:lang w:val="tr-TR"/>
        </w:rPr>
      </w:pPr>
      <w:r w:rsidRPr="00417AC1">
        <w:rPr>
          <w:lang w:val="tr-TR"/>
        </w:rPr>
        <w:tab/>
      </w:r>
      <w:r w:rsidRPr="00417AC1">
        <w:rPr>
          <w:lang w:val="tr-TR"/>
        </w:rPr>
        <w:tab/>
        <w:t>Avukatlık Kanununda Değişiklikler</w:t>
      </w:r>
    </w:p>
    <w:p w14:paraId="08CDAF65" w14:textId="77777777" w:rsidR="00856523" w:rsidRPr="00417AC1" w:rsidRDefault="00856523" w:rsidP="00856523">
      <w:pPr>
        <w:pStyle w:val="SingleTxtG"/>
        <w:rPr>
          <w:lang w:val="tr-TR"/>
        </w:rPr>
      </w:pPr>
      <w:r w:rsidRPr="00417AC1">
        <w:rPr>
          <w:lang w:val="tr-TR"/>
        </w:rPr>
        <w:t xml:space="preserve">204. </w:t>
      </w:r>
      <w:r w:rsidRPr="00417AC1">
        <w:rPr>
          <w:lang w:val="tr-TR"/>
        </w:rPr>
        <w:tab/>
        <w:t>Türkiye'deki avukat sayısı 31 Aralık 2019 itibarıyla 127.691'e ulaştı. Bu kadar yüksek sayılar, esas olarak mesleki dayanışmayı, işbirliğini, mesleki disiplini ve ahlakı korumayı ve geliştirmeyi amaçlayan barolarda bazı zorlukları da beraberinde getirdi. Mesleğin daha iyi icra edilebilmesi, işin yürütülmesinde olası gecikmelerin ortadan kaldırılması amacıyla, özellikle avukat sayısı çok olan barolar açısından aynı ilde birden fazla baro kurulması Kanunla mümkün kılınmış olup, Baro hizmetlerinin daha sağlıklı yürütülmesini sağlamak.</w:t>
      </w:r>
    </w:p>
    <w:p w14:paraId="55CE730F" w14:textId="77777777" w:rsidR="00856523" w:rsidRPr="00417AC1" w:rsidRDefault="00856523" w:rsidP="00856523">
      <w:pPr>
        <w:pStyle w:val="H4G"/>
        <w:rPr>
          <w:lang w:val="tr-TR"/>
        </w:rPr>
      </w:pPr>
      <w:r w:rsidRPr="00417AC1">
        <w:rPr>
          <w:lang w:val="tr-TR"/>
        </w:rPr>
        <w:tab/>
      </w:r>
      <w:r w:rsidRPr="00417AC1">
        <w:rPr>
          <w:lang w:val="tr-TR"/>
        </w:rPr>
        <w:tab/>
        <w:t>Hakim ve savcılar ihraç edildi</w:t>
      </w:r>
    </w:p>
    <w:p w14:paraId="6C20D738" w14:textId="52046193" w:rsidR="00856523" w:rsidRPr="00417AC1" w:rsidRDefault="00856523" w:rsidP="00856523">
      <w:pPr>
        <w:pStyle w:val="SingleTxtG"/>
        <w:rPr>
          <w:lang w:val="tr-TR"/>
        </w:rPr>
      </w:pPr>
      <w:r w:rsidRPr="00417AC1">
        <w:rPr>
          <w:lang w:val="tr-TR"/>
        </w:rPr>
        <w:t xml:space="preserve">205. </w:t>
      </w:r>
      <w:r w:rsidRPr="00417AC1">
        <w:rPr>
          <w:lang w:val="tr-TR"/>
        </w:rPr>
        <w:tab/>
        <w:t xml:space="preserve">Darbe girişiminin ardından Ankara Cumhuriyet Başsavcılığınca </w:t>
      </w:r>
      <w:r w:rsidR="00742BC4" w:rsidRPr="00417AC1">
        <w:rPr>
          <w:lang w:val="tr-TR"/>
        </w:rPr>
        <w:t>FETÖ bağlantılı ve bağlantılı çok sayıda hakim ve savcı hakkında soruşturma başlatılmış, HSK bu kişilerin meslekten uzaklaştırılmasına karar vermişti. Daha sonra 667 sayılı Kanun Hükmünde Kararname uyarınca itiraz hakkı bulunan meslekten ihraç edildiler.</w:t>
      </w:r>
    </w:p>
    <w:p w14:paraId="42ED7834" w14:textId="77777777" w:rsidR="00856523" w:rsidRPr="00417AC1" w:rsidRDefault="00856523" w:rsidP="00856523">
      <w:pPr>
        <w:pStyle w:val="SingleTxtG"/>
        <w:rPr>
          <w:lang w:val="tr-TR"/>
        </w:rPr>
      </w:pPr>
      <w:r w:rsidRPr="00417AC1">
        <w:rPr>
          <w:lang w:val="tr-TR"/>
        </w:rPr>
        <w:t xml:space="preserve">206. </w:t>
      </w:r>
      <w:r w:rsidRPr="00417AC1">
        <w:rPr>
          <w:lang w:val="tr-TR"/>
        </w:rPr>
        <w:tab/>
        <w:t>HSK nezdinde soruşturma komisyonu oluşturularak görevden uzaklaştırılan ve meslekten ihraç edilen ilgililerin dilekçe ve savunma haklarını kullanabilmeleri sağlandı.</w:t>
      </w:r>
    </w:p>
    <w:p w14:paraId="2B293C48" w14:textId="625636F7" w:rsidR="00856523" w:rsidRPr="00417AC1" w:rsidRDefault="00856523" w:rsidP="00856523">
      <w:pPr>
        <w:pStyle w:val="SingleTxtG"/>
        <w:rPr>
          <w:lang w:val="tr-TR"/>
        </w:rPr>
      </w:pPr>
      <w:r w:rsidRPr="00417AC1">
        <w:rPr>
          <w:lang w:val="tr-TR"/>
        </w:rPr>
        <w:t xml:space="preserve">207. </w:t>
      </w:r>
      <w:r w:rsidRPr="00417AC1">
        <w:rPr>
          <w:lang w:val="tr-TR"/>
        </w:rPr>
        <w:tab/>
        <w:t xml:space="preserve">Erteleme, doğası gereği ivedilikle alınması gereken bir tedbirdir. Nitekim, haklarında FETÖ ile iltisaklı veya iltisaklı olduklarına dair kuvvetli şüphe ve delil bulunan hakim ve savcıların Anayasal düzeni bozmalarının önlenmesi amacıyla bu tedbir acilen alınmıştır. Acil ihtiyati tedbirlerin gerekli olduğu olağanüstü durumlarda, AİHS'nin 6. maddesinde öngörülen tüm güvencelerin uygulanmaması, AİHM'nin </w:t>
      </w:r>
      <w:r w:rsidRPr="00417AC1">
        <w:rPr>
          <w:i/>
          <w:iCs/>
          <w:lang w:val="tr-TR"/>
        </w:rPr>
        <w:t xml:space="preserve">Micallef - Malta </w:t>
      </w:r>
      <w:r w:rsidRPr="00417AC1">
        <w:rPr>
          <w:lang w:val="tr-TR"/>
        </w:rPr>
        <w:t xml:space="preserve">kararında </w:t>
      </w:r>
      <w:r w:rsidRPr="00417AC1">
        <w:rPr>
          <w:i/>
          <w:iCs/>
          <w:lang w:val="tr-TR"/>
        </w:rPr>
        <w:t xml:space="preserve">(no.17056/06) belirtildiği gibi ihlal teşkil etmez </w:t>
      </w:r>
      <w:r w:rsidR="00610A37" w:rsidRPr="00417AC1">
        <w:rPr>
          <w:lang w:val="tr-TR"/>
        </w:rPr>
        <w:t>.</w:t>
      </w:r>
      <w:r w:rsidRPr="00417AC1">
        <w:rPr>
          <w:rStyle w:val="FootnoteReference"/>
          <w:szCs w:val="18"/>
          <w:lang w:val="tr-TR"/>
        </w:rPr>
        <w:footnoteReference w:id="9"/>
      </w:r>
    </w:p>
    <w:p w14:paraId="67FA6461" w14:textId="77777777" w:rsidR="00856523" w:rsidRPr="00417AC1" w:rsidRDefault="00856523" w:rsidP="00856523">
      <w:pPr>
        <w:pStyle w:val="SingleTxtG"/>
        <w:rPr>
          <w:lang w:val="tr-TR"/>
        </w:rPr>
      </w:pPr>
      <w:r w:rsidRPr="00417AC1">
        <w:rPr>
          <w:lang w:val="tr-TR"/>
        </w:rPr>
        <w:t xml:space="preserve">208. </w:t>
      </w:r>
      <w:r w:rsidRPr="00417AC1">
        <w:rPr>
          <w:lang w:val="tr-TR"/>
        </w:rPr>
        <w:tab/>
        <w:t xml:space="preserve">Ancak bu olağanüstü koşullar altında bile söz konusu işlemler AİHS'nin 6. maddesi uyarınca bağımsız ve tarafsız bir otorite olan HSK tarafından yürütülmüştür. İtirazların incelenmesi sırasında başvuru sahiplerine kendilerini yazılı olarak savunma olanağı tanındı. HSK bünyesinde komisyonlar oluşturulmuş, sunulan dilekçeler bu komisyonlar tarafından titizlikle incelenmiş, HSK Genel Kurulu'na sunumlar yapılmış ve her dava için ayrı bir disiplin dosyası oluşturulmuştur. 667 sayılı Kanun Hükmünde Kararname yayımlanmadan önce disiplin süreçleri başlatılmış, bu Kanun Hükmünde Kararnamenin yürürlüğe girmesinden sonra ise hâkim ve savcıların Kanun Hükmünde Kararname uyarınca meslekte kalmalarının uygun görülmediği görülmüştür. İç mevzuatta tarafsızlık ve bağımsızlık </w:t>
      </w:r>
      <w:r w:rsidRPr="00417AC1">
        <w:rPr>
          <w:lang w:val="tr-TR"/>
        </w:rPr>
        <w:lastRenderedPageBreak/>
        <w:t>ilkelerine uymayan bir kişinin hakim veya savcı olarak görev yapamayacağı öngörülmektedir. Dolayısıyla işlemler hukuki belirlilik ilkesine uygundur.</w:t>
      </w:r>
    </w:p>
    <w:p w14:paraId="0BE9CF5C" w14:textId="77777777" w:rsidR="00856523" w:rsidRPr="00417AC1" w:rsidRDefault="00856523" w:rsidP="00856523">
      <w:pPr>
        <w:pStyle w:val="SingleTxtG"/>
        <w:rPr>
          <w:lang w:val="tr-TR"/>
        </w:rPr>
      </w:pPr>
      <w:r w:rsidRPr="00417AC1">
        <w:rPr>
          <w:lang w:val="tr-TR"/>
        </w:rPr>
        <w:t xml:space="preserve">209. </w:t>
      </w:r>
      <w:r w:rsidRPr="00417AC1">
        <w:rPr>
          <w:lang w:val="tr-TR"/>
        </w:rPr>
        <w:tab/>
        <w:t>Öte yandan, ihraç işlemlerine karşı AİHM'ye yapılan geçici tedbir başvuruları kabul edilemez bulunarak reddedildi.</w:t>
      </w:r>
    </w:p>
    <w:p w14:paraId="23C4A20A" w14:textId="77777777" w:rsidR="00856523" w:rsidRPr="00417AC1" w:rsidRDefault="00856523" w:rsidP="00856523">
      <w:pPr>
        <w:pStyle w:val="SingleTxtG"/>
        <w:rPr>
          <w:lang w:val="tr-TR"/>
        </w:rPr>
      </w:pPr>
      <w:r w:rsidRPr="00417AC1">
        <w:rPr>
          <w:lang w:val="tr-TR"/>
        </w:rPr>
        <w:t xml:space="preserve">210. </w:t>
      </w:r>
      <w:r w:rsidRPr="00417AC1">
        <w:rPr>
          <w:lang w:val="tr-TR"/>
        </w:rPr>
        <w:tab/>
        <w:t>HSK, her başvuruyu tek tek değerlendirerek, ihraç gerekçelerini, ihraçlara yol açan fiillerin organize bir şekilde işlendiği gerekçesiyle tüm dosyaları kapsayacak şekilde tek bir kararda açıkladı. Ne AİHM içtihatları ne de idare hukuku, bir örgüt içinde toplu olarak işlenen fiiller için ayrı ayrı karar alınmasını gerektirmez. Önemli olan kararın gerekçesidir.</w:t>
      </w:r>
    </w:p>
    <w:p w14:paraId="49891427" w14:textId="77777777" w:rsidR="00856523" w:rsidRPr="00417AC1" w:rsidRDefault="00856523" w:rsidP="00856523">
      <w:pPr>
        <w:pStyle w:val="SingleTxtG"/>
        <w:rPr>
          <w:lang w:val="tr-TR"/>
        </w:rPr>
      </w:pPr>
      <w:r w:rsidRPr="00417AC1">
        <w:rPr>
          <w:lang w:val="tr-TR"/>
        </w:rPr>
        <w:t xml:space="preserve">211. </w:t>
      </w:r>
      <w:r w:rsidRPr="00417AC1">
        <w:rPr>
          <w:lang w:val="tr-TR"/>
        </w:rPr>
        <w:tab/>
        <w:t xml:space="preserve">Haklarındaki yargılama sırasında ilgililerin önemli bir kısmı FETÖ ile ilişkili olduklarını itiraf etmiş, pişmanlıklarını dile getirmiş ve örgütle artık herhangi bir irtibatlarının kalmadığını iddia etmiştir. </w:t>
      </w:r>
      <w:r w:rsidRPr="00417AC1">
        <w:rPr>
          <w:color w:val="000000"/>
          <w:lang w:val="tr-TR"/>
        </w:rPr>
        <w:t>Bu tür hakim ve savcıların yargıda bulunması, adil yargılanma hakkını ihlal eden ve bu hakkı engellemeye devam edecek olan mahkemelerin bağımsızlığı ve tarafsızlığı açısından asıl riski oluşturuyordu. Dolayısıyla YSK'nın 667 sayılı Kanun Hükmünde Kararname'nin 3/1 maddesine dayanarak verdiği ihraç kararları, yargının bağımsızlığı ve tarafsızlığının korunması ve güçlendirilmesi açısından gerekli bir adımdı.</w:t>
      </w:r>
      <w:r w:rsidRPr="00417AC1">
        <w:rPr>
          <w:lang w:val="tr-TR"/>
        </w:rPr>
        <w:t xml:space="preserve"> </w:t>
      </w:r>
    </w:p>
    <w:p w14:paraId="2AD6F0B0" w14:textId="77777777" w:rsidR="00856523" w:rsidRPr="00417AC1" w:rsidRDefault="00856523" w:rsidP="00856523">
      <w:pPr>
        <w:pStyle w:val="SingleTxtG"/>
        <w:rPr>
          <w:lang w:val="tr-TR"/>
        </w:rPr>
      </w:pPr>
      <w:r w:rsidRPr="00417AC1">
        <w:rPr>
          <w:lang w:val="tr-TR"/>
        </w:rPr>
        <w:t xml:space="preserve">212. </w:t>
      </w:r>
      <w:r w:rsidRPr="00417AC1">
        <w:rPr>
          <w:lang w:val="tr-TR"/>
        </w:rPr>
        <w:tab/>
        <w:t xml:space="preserve">Anayasa ve ilgili yasal düzenlemeler uyarınca, ihraç kararlarına karşı Danıştay'da iptal davası açılabilmesi mümkündür. </w:t>
      </w:r>
      <w:r w:rsidRPr="00417AC1">
        <w:rPr>
          <w:color w:val="000000"/>
          <w:lang w:val="tr-TR"/>
        </w:rPr>
        <w:t>İtiraz üzerine HSK'nın idari incelemesi sonucunda yüzlerce hakim ve savcı görevlerine iade edildi. Ayrıca HSK'nın kesinleşen ihraç kararları da en yüksek idare mahkemesi olan Danıştay'ın denetimine tabidir.</w:t>
      </w:r>
    </w:p>
    <w:p w14:paraId="12DC6595" w14:textId="77777777" w:rsidR="00856523" w:rsidRPr="00417AC1" w:rsidRDefault="00856523" w:rsidP="00856523">
      <w:pPr>
        <w:pStyle w:val="H4G"/>
        <w:rPr>
          <w:lang w:val="tr-TR"/>
        </w:rPr>
      </w:pPr>
      <w:r w:rsidRPr="00417AC1">
        <w:rPr>
          <w:lang w:val="tr-TR"/>
        </w:rPr>
        <w:tab/>
      </w:r>
      <w:r w:rsidRPr="00417AC1">
        <w:rPr>
          <w:lang w:val="tr-TR"/>
        </w:rPr>
        <w:tab/>
        <w:t>Yeni hakim ve savcı alımı</w:t>
      </w:r>
    </w:p>
    <w:p w14:paraId="2C31D035" w14:textId="264BAA24" w:rsidR="00856523" w:rsidRPr="00417AC1" w:rsidRDefault="00856523" w:rsidP="00856523">
      <w:pPr>
        <w:pStyle w:val="SingleTxtG"/>
        <w:rPr>
          <w:lang w:val="tr-TR"/>
        </w:rPr>
      </w:pPr>
      <w:r w:rsidRPr="00417AC1">
        <w:rPr>
          <w:lang w:val="tr-TR"/>
        </w:rPr>
        <w:t xml:space="preserve">213. </w:t>
      </w:r>
      <w:r w:rsidRPr="00417AC1">
        <w:rPr>
          <w:lang w:val="tr-TR"/>
        </w:rPr>
        <w:tab/>
        <w:t xml:space="preserve">Darbe girişimi sonrasında adli yargıda 6785 hakim ve 4684 cumhuriyet savcısı, idari yargıda ise 1240 hakim mesleğe kabul edilmiştir. Bunlardan 350'si yüksek lisans </w:t>
      </w:r>
      <w:r w:rsidR="00742BC4" w:rsidRPr="00417AC1">
        <w:rPr>
          <w:lang w:val="tr-TR"/>
        </w:rPr>
        <w:t>, 6'sı doktora derecesine sahiptir. Adayların eğitimi Türkiye Adalet Akademisi tarafından yürütülmektedir.</w:t>
      </w:r>
    </w:p>
    <w:p w14:paraId="0E0D5B3F" w14:textId="77777777" w:rsidR="00856523" w:rsidRPr="00417AC1" w:rsidRDefault="00856523" w:rsidP="00856523">
      <w:pPr>
        <w:pStyle w:val="SingleTxtG"/>
        <w:rPr>
          <w:lang w:val="tr-TR"/>
        </w:rPr>
      </w:pPr>
      <w:r w:rsidRPr="00417AC1">
        <w:rPr>
          <w:lang w:val="tr-TR"/>
        </w:rPr>
        <w:t xml:space="preserve">214. </w:t>
      </w:r>
      <w:r w:rsidRPr="00417AC1">
        <w:rPr>
          <w:lang w:val="tr-TR"/>
        </w:rPr>
        <w:tab/>
        <w:t>Mesleğe giriş ve sonrasında yükselme 2802 sayılı Hakimler ve Savcılar Kanununda öngörülen usul ve esaslar çerçevesinde gerçekleştirilmiştir. Hakim ve savcıların kabul ve terfilerinde herhangi bir siyasi kriter dikkate alınmıyor.</w:t>
      </w:r>
    </w:p>
    <w:p w14:paraId="31723922" w14:textId="77777777" w:rsidR="00856523" w:rsidRPr="00417AC1" w:rsidRDefault="00856523" w:rsidP="00856523">
      <w:pPr>
        <w:pStyle w:val="H4G"/>
        <w:rPr>
          <w:lang w:val="tr-TR"/>
        </w:rPr>
      </w:pPr>
      <w:r w:rsidRPr="00417AC1">
        <w:rPr>
          <w:lang w:val="tr-TR"/>
        </w:rPr>
        <w:tab/>
      </w:r>
      <w:r w:rsidRPr="00417AC1">
        <w:rPr>
          <w:lang w:val="tr-TR"/>
        </w:rPr>
        <w:tab/>
        <w:t>2014'te başlatılan soruşturmalar</w:t>
      </w:r>
    </w:p>
    <w:p w14:paraId="06069E81" w14:textId="0B5952F3" w:rsidR="00856523" w:rsidRPr="00417AC1" w:rsidRDefault="00856523" w:rsidP="00856523">
      <w:pPr>
        <w:pStyle w:val="SingleTxtG"/>
        <w:rPr>
          <w:lang w:val="tr-TR"/>
        </w:rPr>
      </w:pPr>
      <w:r w:rsidRPr="00417AC1">
        <w:rPr>
          <w:lang w:val="tr-TR"/>
        </w:rPr>
        <w:t xml:space="preserve">215. </w:t>
      </w:r>
      <w:r w:rsidRPr="00417AC1">
        <w:rPr>
          <w:lang w:val="tr-TR"/>
        </w:rPr>
        <w:tab/>
        <w:t>SCJP, 2014 yılında “Ergenekon”, “Balyoz” ve “Oda TV” gibi tartışmalı davalara karışan yargı mensupları hakkında soruşturma ve disiplin işlemleri başlatmıştır. Bu soruşturmalar ve disiplin işlemleri başlatılmadan önce, SCJP, bazı hakim ve savcıların hukuki işlemleri FETÖ lehine kötüye kullandığı, yargı içinde paralel bir yapı oluşturduğu, FETÖ'yü yürüttüğü yönünde kamuoyunun yanı sıra diğer savcılardan da birçok iddia almıştı . FETÖ elebaşının kararları, hiçbir hukuki dayanağı ve delili olmayan taraflı davalar açarak pek çok masum insanı mağdur ediyor. Buna göre, SCJP Teftiş Kurulu çok sayıda hakim ve savcının FETÖ üyesi olduğunu tespit etti.</w:t>
      </w:r>
    </w:p>
    <w:p w14:paraId="46FB6379" w14:textId="77777777" w:rsidR="00856523" w:rsidRPr="00417AC1" w:rsidRDefault="00856523" w:rsidP="00856523">
      <w:pPr>
        <w:pStyle w:val="SingleTxtG"/>
        <w:rPr>
          <w:lang w:val="tr-TR"/>
        </w:rPr>
      </w:pPr>
      <w:r w:rsidRPr="00417AC1">
        <w:rPr>
          <w:lang w:val="tr-TR"/>
        </w:rPr>
        <w:t xml:space="preserve">216. </w:t>
      </w:r>
      <w:r w:rsidRPr="00417AC1">
        <w:rPr>
          <w:lang w:val="tr-TR"/>
        </w:rPr>
        <w:tab/>
        <w:t>Darbe girişiminden önce SCJP tarafından 2.146 hakim ve savcı hakkındaki şikayetlere ilişkin 1.479 dosya açılmıştır. Ayrıca haklarında soruşturma açılmasına izin verilen 989 hakim ve savcı da vardı.</w:t>
      </w:r>
    </w:p>
    <w:p w14:paraId="35240408" w14:textId="77777777" w:rsidR="00856523" w:rsidRPr="00417AC1" w:rsidRDefault="00856523" w:rsidP="00856523">
      <w:pPr>
        <w:pStyle w:val="SingleTxtG"/>
        <w:rPr>
          <w:lang w:val="tr-TR"/>
        </w:rPr>
      </w:pPr>
      <w:r w:rsidRPr="00417AC1">
        <w:rPr>
          <w:lang w:val="tr-TR"/>
        </w:rPr>
        <w:t xml:space="preserve">217. </w:t>
      </w:r>
      <w:r w:rsidRPr="00417AC1">
        <w:rPr>
          <w:lang w:val="tr-TR"/>
        </w:rPr>
        <w:tab/>
        <w:t>Darbe girişimi sonrasında daha önce başlatılan soruşturmalar ve disiplin işlemleri uyarınca 2.735 hakim ve savcı açığa alınmıştır. Dolayısıyla iddiaların aksine, haklarında FETÖ üyeliği veya iltisakı kuvvetli şüphesi bulunan hakim ve savcılar önce SCJP tarafından açığa alınmış, yürütülen soruşturmalar ve disiplin işlemleriyle haklarında yeterli delil toplandıktan sonra görevden uzaklaştırılmışlardır. SCJP tarafından.</w:t>
      </w:r>
    </w:p>
    <w:p w14:paraId="41BB7009" w14:textId="00BE1901" w:rsidR="00856523" w:rsidRPr="00417AC1" w:rsidRDefault="00856523" w:rsidP="00856523">
      <w:pPr>
        <w:pStyle w:val="SingleTxtG"/>
        <w:rPr>
          <w:lang w:val="tr-TR"/>
        </w:rPr>
      </w:pPr>
      <w:r w:rsidRPr="00417AC1">
        <w:rPr>
          <w:lang w:val="tr-TR"/>
        </w:rPr>
        <w:t xml:space="preserve">218. </w:t>
      </w:r>
      <w:r w:rsidRPr="00417AC1">
        <w:rPr>
          <w:lang w:val="tr-TR"/>
        </w:rPr>
        <w:tab/>
        <w:t xml:space="preserve">Yukarıda açıklandığı üzere darbe girişiminin hemen ardından Ankara Cumhuriyet Başsavcılığı, CMK'nın 161/6 maddesi uyarınca </w:t>
      </w:r>
      <w:r w:rsidRPr="00417AC1">
        <w:rPr>
          <w:i/>
          <w:iCs/>
          <w:lang w:val="tr-TR"/>
        </w:rPr>
        <w:t xml:space="preserve">resen soruşturma </w:t>
      </w:r>
      <w:r w:rsidR="00742BC4" w:rsidRPr="00417AC1">
        <w:rPr>
          <w:lang w:val="tr-TR"/>
        </w:rPr>
        <w:t xml:space="preserve">başlatmıştır . </w:t>
      </w:r>
      <w:r w:rsidRPr="00417AC1">
        <w:rPr>
          <w:lang w:val="tr-TR"/>
        </w:rPr>
        <w:t xml:space="preserve">HSK 3. Dairesi'nin 16 Temmuz 2016 tarihli kararıyla Meclis müfettişine soruşturma yapma izni verildi. Müfettişin ön raporunu değerlendiren HSK 2'nci Dairesi, yargının saygınlığına, güvenirliğine ve itibarına zarar vermemek amacıyla, 2802 sayılı Kanun'un 77'nci maddesi uyarınca söz konusu hakim ve savcıların geçici olarak görevden uzaklaştırılmasına karar verdi. aynı tarih. FETÖ üyeliği ve iltisakı tespit edilen hakim ve savcılar, 667 sayılı Kanun </w:t>
      </w:r>
      <w:r w:rsidRPr="00417AC1">
        <w:rPr>
          <w:lang w:val="tr-TR"/>
        </w:rPr>
        <w:lastRenderedPageBreak/>
        <w:t>Hükmünde Kararname'nin yürürlüğe girmesinin ardından YSK Genel Kurulu'nun oybirliğiyle aldığı kararla meslekten ihraç edildi.</w:t>
      </w:r>
    </w:p>
    <w:p w14:paraId="4EC5EDE6" w14:textId="77777777" w:rsidR="00856523" w:rsidRPr="00417AC1" w:rsidRDefault="00856523" w:rsidP="00856523">
      <w:pPr>
        <w:pStyle w:val="H4G"/>
        <w:rPr>
          <w:b/>
          <w:lang w:val="tr-TR"/>
        </w:rPr>
      </w:pPr>
      <w:r w:rsidRPr="00417AC1">
        <w:rPr>
          <w:lang w:val="tr-TR"/>
        </w:rPr>
        <w:tab/>
      </w:r>
      <w:r w:rsidRPr="00417AC1">
        <w:rPr>
          <w:lang w:val="tr-TR"/>
        </w:rPr>
        <w:tab/>
        <w:t>Adil yargılanma hakkına ilişkin sorunlar</w:t>
      </w:r>
    </w:p>
    <w:p w14:paraId="1A446839" w14:textId="77777777" w:rsidR="00856523" w:rsidRPr="00417AC1" w:rsidRDefault="00856523" w:rsidP="00856523">
      <w:pPr>
        <w:pStyle w:val="SingleTxtG"/>
        <w:rPr>
          <w:iCs/>
          <w:lang w:val="tr-TR"/>
        </w:rPr>
      </w:pPr>
      <w:r w:rsidRPr="00417AC1">
        <w:rPr>
          <w:iCs/>
          <w:lang w:val="tr-TR"/>
        </w:rPr>
        <w:t xml:space="preserve">219. </w:t>
      </w:r>
      <w:r w:rsidRPr="00417AC1">
        <w:rPr>
          <w:iCs/>
          <w:lang w:val="tr-TR"/>
        </w:rPr>
        <w:tab/>
        <w:t xml:space="preserve">CMK, cezai işlemlere katılan kişilerin haklarına ilişkin ayrıntılı düzenlemeler içermektedir. Bu doğrultuda </w:t>
      </w:r>
      <w:r w:rsidRPr="00417AC1">
        <w:rPr>
          <w:lang w:val="tr-TR"/>
        </w:rPr>
        <w:t>şüphelilere hakları konusunda gerektiği gibi bilgi verilmektedir. Özel avukat talebinde bulunanlar için talep ettikleri özel avukatlar aranır. Özel avukat talebinde bulunmayan şüphelilere adli yardım sağlanmakta ve barodan avukat atanmaktadır. CMK'nın 154. maddesine göre her şüpheli, avukatıyla her zaman görüşme hakkına sahiptir. Şüpheli ve avukatın soruşturma veya kovuşturma dosyalarına erişme ve bir kopyasını isteme hakları vardır. CMK'ya göre gözaltı veya gözaltı kararlarına istedikleri zaman itiraz edebilirler.</w:t>
      </w:r>
    </w:p>
    <w:p w14:paraId="4D5F1A1D" w14:textId="77777777" w:rsidR="00856523" w:rsidRPr="00417AC1" w:rsidRDefault="00856523" w:rsidP="00856523">
      <w:pPr>
        <w:pStyle w:val="SingleTxtG"/>
        <w:rPr>
          <w:iCs/>
          <w:lang w:val="tr-TR"/>
        </w:rPr>
      </w:pPr>
      <w:r w:rsidRPr="00417AC1">
        <w:rPr>
          <w:iCs/>
          <w:lang w:val="tr-TR"/>
        </w:rPr>
        <w:t xml:space="preserve">220. </w:t>
      </w:r>
      <w:r w:rsidRPr="00417AC1">
        <w:rPr>
          <w:iCs/>
          <w:lang w:val="tr-TR"/>
        </w:rPr>
        <w:tab/>
      </w:r>
      <w:r w:rsidRPr="00417AC1">
        <w:rPr>
          <w:lang w:val="tr-TR"/>
        </w:rPr>
        <w:t>Adalete erişim Türk hukuk sistemi tarafından güvence altına alınan bir haktır. HRAP, adil yargılanma hakkının güçlendirilmesine yönelik ilave güvenceler içermektedir.</w:t>
      </w:r>
    </w:p>
    <w:p w14:paraId="5479A858" w14:textId="593D4E48" w:rsidR="00856523" w:rsidRPr="00417AC1" w:rsidRDefault="00856523" w:rsidP="00856523">
      <w:pPr>
        <w:pStyle w:val="SingleTxtG"/>
        <w:rPr>
          <w:iCs/>
          <w:lang w:val="tr-TR"/>
        </w:rPr>
      </w:pPr>
      <w:r w:rsidRPr="00417AC1">
        <w:rPr>
          <w:iCs/>
          <w:lang w:val="tr-TR"/>
        </w:rPr>
        <w:t xml:space="preserve">221. Ebru Timtik ve Aytaç Ünsal, 20 Mart 2019'da </w:t>
      </w:r>
      <w:r w:rsidRPr="00417AC1">
        <w:rPr>
          <w:iCs/>
          <w:lang w:val="tr-TR"/>
        </w:rPr>
        <w:tab/>
      </w:r>
      <w:r w:rsidR="00BA1A10" w:rsidRPr="00417AC1">
        <w:rPr>
          <w:i/>
          <w:iCs/>
          <w:lang w:val="tr-TR"/>
        </w:rPr>
        <w:t xml:space="preserve">“DHKP/C Silahlı Terör Örgütüne üye olmak” </w:t>
      </w:r>
      <w:r w:rsidRPr="00417AC1">
        <w:rPr>
          <w:lang w:val="tr-TR"/>
        </w:rPr>
        <w:t>suçundan hüküm giydiler. Karara itiraz ettiler ancak bu arada ölüm orucuna dönüşen açlık grevine de başladılar. . Sağlık durumları yakından takip edildi ve gerekli önlemler alındı, ancak yapılacak tıbbi muayene ve tedavileri reddetmeye devam ettiler ve AİHM'nin açlık grevini sona erdirme ve sağlık otoriteleriyle işbirliği yapma davetini görmezden geldiler. Tutukluların kendi istekleriyle başlattıkları ölüm orucunun onlara tahliye hakkı vermediğini belirtmek gerekir. AİHM içtihatlarında da bu şekilde yer almaktadır. Timtik, kendisini tıbbi otoritelerle işbirliği yapmaya ikna etmek için gösterilen tüm çabalara rağmen 27 Ağustos 2020'de ölüm orucu sonucu hayatını kaybetti. AİHM'nin, Ünsal'ın tahliyesine yönelik ihtiyati tedbir talebini reddettiği ve Timtik'in ölüm nedeniyle yaptığı başvuruyu dikkate almadığı da belirtilmelidir.</w:t>
      </w:r>
    </w:p>
    <w:p w14:paraId="5A3C21B1" w14:textId="77777777" w:rsidR="00856523" w:rsidRPr="00417AC1" w:rsidRDefault="00856523" w:rsidP="00856523">
      <w:pPr>
        <w:pStyle w:val="H4G"/>
        <w:rPr>
          <w:b/>
          <w:lang w:val="tr-TR"/>
        </w:rPr>
      </w:pPr>
      <w:r w:rsidRPr="00417AC1">
        <w:rPr>
          <w:lang w:val="tr-TR"/>
        </w:rPr>
        <w:tab/>
      </w:r>
      <w:r w:rsidRPr="00417AC1">
        <w:rPr>
          <w:lang w:val="tr-TR"/>
        </w:rPr>
        <w:tab/>
        <w:t>SoEC</w:t>
      </w:r>
    </w:p>
    <w:p w14:paraId="4FE56874" w14:textId="77777777" w:rsidR="00856523" w:rsidRPr="00417AC1" w:rsidRDefault="00856523" w:rsidP="00856523">
      <w:pPr>
        <w:pStyle w:val="SingleTxtG"/>
        <w:rPr>
          <w:lang w:val="tr-TR"/>
        </w:rPr>
      </w:pPr>
      <w:r w:rsidRPr="00417AC1">
        <w:rPr>
          <w:lang w:val="tr-TR"/>
        </w:rPr>
        <w:t xml:space="preserve">222. </w:t>
      </w:r>
      <w:r w:rsidRPr="00417AC1">
        <w:rPr>
          <w:lang w:val="tr-TR"/>
        </w:rPr>
        <w:tab/>
        <w:t>OHAL kapsamında doğrudan Kanun Hükmünde Kararnamelerle gerçekleştirilen idari işlemlere ilişkin başvuruları değerlendirmek ve sonuçlandırmak üzere kurulan OHAL kararlarına ilişkin bilgiye 64'üncü fıkrada yer verilmiştir.</w:t>
      </w:r>
    </w:p>
    <w:p w14:paraId="2EE50C39" w14:textId="77777777" w:rsidR="00856523" w:rsidRPr="00417AC1" w:rsidRDefault="00856523" w:rsidP="00856523">
      <w:pPr>
        <w:pStyle w:val="SingleTxtG"/>
        <w:rPr>
          <w:lang w:val="tr-TR"/>
        </w:rPr>
      </w:pPr>
      <w:r w:rsidRPr="00417AC1">
        <w:rPr>
          <w:lang w:val="tr-TR"/>
        </w:rPr>
        <w:t xml:space="preserve">223. </w:t>
      </w:r>
      <w:r w:rsidRPr="00417AC1">
        <w:rPr>
          <w:lang w:val="tr-TR"/>
        </w:rPr>
        <w:tab/>
        <w:t xml:space="preserve">Kararları yargı denetimine açık olan OHAL, AİHM tarafından tüketilmesi gereken bir iç hukuk yolu olarak </w:t>
      </w:r>
      <w:r w:rsidRPr="00417AC1">
        <w:rPr>
          <w:bCs/>
          <w:lang w:val="tr-TR"/>
        </w:rPr>
        <w:t xml:space="preserve">tanınmıştır . AİHM, 12 Haziran 2017 tarihli (no.70478/16) </w:t>
      </w:r>
      <w:r w:rsidRPr="00417AC1">
        <w:rPr>
          <w:i/>
          <w:iCs/>
          <w:lang w:val="tr-TR"/>
        </w:rPr>
        <w:t xml:space="preserve">Köksal - Türkiye </w:t>
      </w:r>
      <w:r w:rsidRPr="00417AC1">
        <w:rPr>
          <w:lang w:val="tr-TR"/>
        </w:rPr>
        <w:t>kararında , iç hukuk yollarının tüketilmesi için şikayetçinin öncelikle OHAL'e başvurması gerektiğine hükmetti. Bu kararın ardından AİHM'e bu kapsamda getirilen davaların büyük bir kısmı kabul edilemez bulunarak listeden çıkarılmaya başlandı.</w:t>
      </w:r>
    </w:p>
    <w:p w14:paraId="2412B7A2" w14:textId="2576B523" w:rsidR="00856523" w:rsidRPr="00417AC1" w:rsidRDefault="00856523" w:rsidP="00856523">
      <w:pPr>
        <w:pStyle w:val="H23G"/>
        <w:rPr>
          <w:lang w:val="tr-TR"/>
        </w:rPr>
      </w:pPr>
      <w:r w:rsidRPr="00417AC1">
        <w:rPr>
          <w:lang w:val="tr-TR"/>
        </w:rPr>
        <w:tab/>
      </w:r>
      <w:r w:rsidRPr="00417AC1">
        <w:rPr>
          <w:lang w:val="tr-TR"/>
        </w:rPr>
        <w:tab/>
        <w:t xml:space="preserve">Gizlilik Hakkı </w:t>
      </w:r>
      <w:r w:rsidR="00366B82" w:rsidRPr="00417AC1">
        <w:rPr>
          <w:lang w:val="tr-TR"/>
        </w:rPr>
        <w:t>– Madde 17</w:t>
      </w:r>
    </w:p>
    <w:p w14:paraId="7D1B7BEB" w14:textId="77777777" w:rsidR="00856523" w:rsidRPr="00417AC1" w:rsidRDefault="00856523" w:rsidP="00856523">
      <w:pPr>
        <w:pStyle w:val="SingleTxtG"/>
        <w:rPr>
          <w:lang w:val="tr-TR"/>
        </w:rPr>
      </w:pPr>
      <w:r w:rsidRPr="00417AC1">
        <w:rPr>
          <w:lang w:val="tr-TR"/>
        </w:rPr>
        <w:t xml:space="preserve">224. </w:t>
      </w:r>
      <w:r w:rsidRPr="00417AC1">
        <w:rPr>
          <w:lang w:val="tr-TR"/>
        </w:rPr>
        <w:tab/>
        <w:t>6698 sayılı Kişisel Verilerin Korunması Kanunu 24 Mart 2016 tarihinde yürürlüğe girmiştir. Kanun, bireylerin özel hayatın gizliliği haklarının korunması amacıyla kişisel verilerin işlenmesini ve kişisel verileri işleyen gerçek ve tüzel kişilerin yükümlülüklerini düzenlemektedir. Kişisel Verileri Koruma Kurumu, gerçek ve tüzel kişilerin Kanunla belirlenen ilkelere uyumunu izlemek, bu konudaki şikayetler hakkında karar almak, veri sorumlularının sicilini tutmak ve bu konuda düzenleyici işlemler yapmak amacıyla kurulmuştur.</w:t>
      </w:r>
    </w:p>
    <w:p w14:paraId="226DDDCF" w14:textId="723C8806" w:rsidR="00856523" w:rsidRPr="00417AC1" w:rsidRDefault="00856523" w:rsidP="00856523">
      <w:pPr>
        <w:pStyle w:val="SingleTxtG"/>
        <w:rPr>
          <w:lang w:val="tr-TR"/>
        </w:rPr>
      </w:pPr>
      <w:r w:rsidRPr="00417AC1">
        <w:rPr>
          <w:lang w:val="tr-TR"/>
        </w:rPr>
        <w:t xml:space="preserve">225. </w:t>
      </w:r>
      <w:r w:rsidRPr="00417AC1">
        <w:rPr>
          <w:lang w:val="tr-TR"/>
        </w:rPr>
        <w:tab/>
        <w:t xml:space="preserve">Ceza soruşturmaları sırasında veri elde edilmesine ilişkin esaslar CMK'da düzenlenmiştir. 135/1 maddesine göre hâkim veya gecikmesinde sakınca bulunan hallerde Cumhuriyet savcısı, telekomünikasyon yoluyla yapılan yazışmaların tespitine, dinlenmesine, kaydedilmesine veya şüpheli/sanığın sinyallerine ilişkin bilgilerin değerlendirilmesine karar verebilir. suçun işlendiğini gösteren kuvvetli şüphe sebeplerinin bulunması ve başkaca delil elde etme imkanının bulunmaması halinde. Cumhuriyet savcısı kararını derhal hakimin onayına sunar ve hakim 24 saat içinde karar verir. Sürenin dolması veya hakimin aksine karar vermesi halinde tedbir, Cumhuriyet savcısı tarafından derhal kaldırılır. </w:t>
      </w:r>
      <w:r w:rsidR="005041FC" w:rsidRPr="00417AC1">
        <w:rPr>
          <w:lang w:val="tr-TR"/>
        </w:rPr>
        <w:t>Şüpheli/sanığın, tanık olarak ifade vermekten kaçınabilecek kişilerle yazışmaları kayıt altına alınamaz. Kayıt gerçekleştikten sonra bu durumun ortaya çıkması durumunda kayıtlar derhal imha edilecektir. Karar en fazla 2 ay süreyle verilebilir ve bu süre 1 ay daha uzatılabilir.</w:t>
      </w:r>
    </w:p>
    <w:p w14:paraId="6BE3165A" w14:textId="7AC62C6D" w:rsidR="00856523" w:rsidRPr="00417AC1" w:rsidRDefault="00856523" w:rsidP="00856523">
      <w:pPr>
        <w:pStyle w:val="SingleTxtG"/>
        <w:rPr>
          <w:lang w:val="tr-TR"/>
        </w:rPr>
      </w:pPr>
      <w:r w:rsidRPr="00417AC1">
        <w:rPr>
          <w:lang w:val="tr-TR"/>
        </w:rPr>
        <w:lastRenderedPageBreak/>
        <w:t xml:space="preserve">226. </w:t>
      </w:r>
      <w:r w:rsidRPr="00417AC1">
        <w:rPr>
          <w:lang w:val="tr-TR"/>
        </w:rPr>
        <w:tab/>
      </w:r>
      <w:r w:rsidRPr="00417AC1">
        <w:rPr>
          <w:u w:color="000000"/>
          <w:bdr w:val="nil"/>
          <w:lang w:val="tr-TR" w:eastAsia="de-DE"/>
        </w:rPr>
        <w:t>Cumhuriyet savcısı kararını 24 saat içinde hâkimin onayına sunar, hâkim ise en geç 24 saat içinde kararını verir. Sürenin dolması veya hakimin aksi yönde karar vermesi halinde kayıtlar derhal imha edilecektir. Maddenin 8. fıkrasına göre sinyal bilgilerinin dinlenmesi, kaydedilmesi ve değerlendirilmesine ilişkin hükümler ancak belirli suçlar bakımından uygulanabilecektir. Bu maddede belirlenen usul ve esaslar dışında hiç kimse bir başkasının telekomünikasyon yoluyla yaptığı iletişimi dinleyemez ve kaydedemez.</w:t>
      </w:r>
    </w:p>
    <w:p w14:paraId="01DD77D4" w14:textId="77777777" w:rsidR="00856523" w:rsidRPr="00417AC1" w:rsidRDefault="00856523" w:rsidP="00856523">
      <w:pPr>
        <w:pStyle w:val="SingleTxtG"/>
        <w:rPr>
          <w:lang w:val="tr-TR"/>
        </w:rPr>
      </w:pPr>
      <w:r w:rsidRPr="00417AC1">
        <w:rPr>
          <w:lang w:val="tr-TR"/>
        </w:rPr>
        <w:t xml:space="preserve">227. </w:t>
      </w:r>
      <w:r w:rsidRPr="00417AC1">
        <w:rPr>
          <w:lang w:val="tr-TR"/>
        </w:rPr>
        <w:tab/>
      </w:r>
      <w:r w:rsidRPr="00417AC1">
        <w:rPr>
          <w:lang w:val="tr-TR" w:eastAsia="tr-TR"/>
        </w:rPr>
        <w:t>Öte yandan, haberleşme özgürlüğü ve özel hayatın gizliliğini ihlal teşkil eden telefon konuşmalarının dinlenmesi ve kaydedilmesi, kanunda öngörülen şartların gerçekleşmesi halinde TCK'nın 132, 133, 134, 135 ve 136. maddelerinde düzenlenen suçları oluşturmaktadır. tanışmak.</w:t>
      </w:r>
    </w:p>
    <w:p w14:paraId="284AC0AE" w14:textId="30FCB890" w:rsidR="00856523" w:rsidRPr="00417AC1" w:rsidRDefault="00856523" w:rsidP="00856523">
      <w:pPr>
        <w:pStyle w:val="H23G"/>
        <w:rPr>
          <w:lang w:val="tr-TR"/>
        </w:rPr>
      </w:pPr>
      <w:bookmarkStart w:id="21" w:name="_Toc110354342"/>
      <w:r w:rsidRPr="00417AC1">
        <w:rPr>
          <w:lang w:val="tr-TR"/>
        </w:rPr>
        <w:tab/>
      </w:r>
      <w:r w:rsidRPr="00417AC1">
        <w:rPr>
          <w:lang w:val="tr-TR"/>
        </w:rPr>
        <w:tab/>
        <w:t xml:space="preserve">Din ve inanç özgürlüğü </w:t>
      </w:r>
      <w:r w:rsidR="004263DB" w:rsidRPr="00417AC1">
        <w:rPr>
          <w:lang w:val="tr-TR"/>
        </w:rPr>
        <w:t>– Madde 2, 18, 19, 25 ve 26</w:t>
      </w:r>
      <w:bookmarkEnd w:id="21"/>
    </w:p>
    <w:p w14:paraId="56CEA3AF" w14:textId="77777777" w:rsidR="00856523" w:rsidRPr="00417AC1" w:rsidRDefault="00856523" w:rsidP="00856523">
      <w:pPr>
        <w:pStyle w:val="SingleTxtG"/>
        <w:rPr>
          <w:lang w:val="tr-TR"/>
        </w:rPr>
      </w:pPr>
      <w:r w:rsidRPr="00417AC1">
        <w:rPr>
          <w:lang w:val="tr-TR"/>
        </w:rPr>
        <w:t xml:space="preserve">228. </w:t>
      </w:r>
      <w:r w:rsidRPr="00417AC1">
        <w:rPr>
          <w:lang w:val="tr-TR"/>
        </w:rPr>
        <w:tab/>
        <w:t>Askerlik hizmeti kapsamında vicdani ret konusunda herhangi bir düzenleme bulunmadığı gibi, TCK'nın 318. maddesinin kaldırılmasına yönelik bir çalışma da bulunmamaktadır.</w:t>
      </w:r>
    </w:p>
    <w:p w14:paraId="506A6490" w14:textId="558921F8" w:rsidR="00856523" w:rsidRPr="00417AC1" w:rsidRDefault="00856523" w:rsidP="00856523">
      <w:pPr>
        <w:pStyle w:val="SingleTxtG"/>
        <w:rPr>
          <w:lang w:val="tr-TR"/>
        </w:rPr>
      </w:pPr>
      <w:r w:rsidRPr="00417AC1">
        <w:rPr>
          <w:lang w:val="tr-TR"/>
        </w:rPr>
        <w:t xml:space="preserve">229. </w:t>
      </w:r>
      <w:r w:rsidRPr="00417AC1">
        <w:rPr>
          <w:lang w:val="tr-TR"/>
        </w:rPr>
        <w:tab/>
        <w:t>Türkiye Anayasası, din ve mezhep dahil hiçbir ayrım gözetmeksizin kanun önünde eşitliğin yanı sıra din ve vicdan özgürlüğünü ve dini değerlere saygıyı güvence altına alır. İlgili mevzuat aynı zamanda tüm vatandaşların din veya inançlarını serbestçe ifade edebilmelerini ve uygulayabilmelerini sağlamak amacıyla din ve vicdan özgürlüğünün korunmasına yönelik kapsamlı bir çerçeve de sunmaktadır.</w:t>
      </w:r>
      <w:r w:rsidR="005041FC" w:rsidRPr="00417AC1">
        <w:rPr>
          <w:lang w:val="tr-TR"/>
        </w:rPr>
        <w:t xml:space="preserve"> </w:t>
      </w:r>
    </w:p>
    <w:p w14:paraId="1CA0C90C" w14:textId="177E8071" w:rsidR="00856523" w:rsidRPr="00417AC1" w:rsidRDefault="00856523" w:rsidP="00856523">
      <w:pPr>
        <w:pStyle w:val="SingleTxtG"/>
        <w:rPr>
          <w:lang w:val="tr-TR"/>
        </w:rPr>
      </w:pPr>
      <w:r w:rsidRPr="00417AC1">
        <w:rPr>
          <w:lang w:val="tr-TR"/>
        </w:rPr>
        <w:t xml:space="preserve">230. </w:t>
      </w:r>
      <w:r w:rsidRPr="00417AC1">
        <w:rPr>
          <w:lang w:val="tr-TR"/>
        </w:rPr>
        <w:tab/>
        <w:t xml:space="preserve">Gayrimüslim Türk vatandaşlarının hakları </w:t>
      </w:r>
      <w:r w:rsidR="00CA1820" w:rsidRPr="00417AC1">
        <w:rPr>
          <w:lang w:val="tr-TR"/>
        </w:rPr>
        <w:t>1923 Lozan Barış Antlaşması'nın 37-45. maddelerinde düzenlenmiştir. Gayrimüslim vatandaşların kendilerine ait okulları, ibadethaneleri, vakıfları, hastaneleri ve medya kuruluşları bulunmaktadır. Hiçbir engele maruz kalmadan dinlerini yaşıyorlar ve dini törenlerini gerçekleştiriyorlar.</w:t>
      </w:r>
    </w:p>
    <w:p w14:paraId="5F4D97F1" w14:textId="77777777" w:rsidR="00856523" w:rsidRPr="00417AC1" w:rsidRDefault="00856523" w:rsidP="00856523">
      <w:pPr>
        <w:pStyle w:val="SingleTxtG"/>
        <w:rPr>
          <w:lang w:val="tr-TR"/>
        </w:rPr>
      </w:pPr>
      <w:r w:rsidRPr="00417AC1">
        <w:rPr>
          <w:lang w:val="tr-TR"/>
        </w:rPr>
        <w:t xml:space="preserve">231. </w:t>
      </w:r>
      <w:r w:rsidRPr="00417AC1">
        <w:rPr>
          <w:lang w:val="tr-TR"/>
        </w:rPr>
        <w:tab/>
        <w:t>Son yıllarda Edirne'deki Büyük Sinagog (Avrupa'nın üçüncü büyük sinagogu), İstanbul'daki 120 yıllık Sveti Stefan Bulgar Kilisesi (Demir Kilise) başta olmak üzere birçok ibadethane restore edilerek yeniden ibadete açıldı. 2019 yılında İstanbul'da Süryani Ortodoks Kilisesi'nin temel atma töreni gerçekleştirildi.</w:t>
      </w:r>
    </w:p>
    <w:p w14:paraId="3ECAD670" w14:textId="77777777" w:rsidR="00856523" w:rsidRPr="00417AC1" w:rsidRDefault="00856523" w:rsidP="00856523">
      <w:pPr>
        <w:pStyle w:val="SingleTxtG"/>
        <w:rPr>
          <w:lang w:val="tr-TR"/>
        </w:rPr>
      </w:pPr>
      <w:bookmarkStart w:id="22" w:name="_Hlk110050475"/>
      <w:r w:rsidRPr="00417AC1">
        <w:rPr>
          <w:lang w:val="tr-TR"/>
        </w:rPr>
        <w:t xml:space="preserve">232. </w:t>
      </w:r>
      <w:r w:rsidRPr="00417AC1">
        <w:rPr>
          <w:lang w:val="tr-TR"/>
        </w:rPr>
        <w:tab/>
        <w:t>Cemaat vakıflarına ilişkin 2003 ve 2008 yıllarında kabul edilen yasal değişikliklerle, özellikle bu vakıfların mülkiyet haklarında önemli iyileştirmeler sağlanmıştır. Buna göre, taşınmazların tesciline veya mümkün olmadığı takdirde rayiç değerlerinin vakıflara ödenmesine izin verildi.</w:t>
      </w:r>
      <w:bookmarkEnd w:id="22"/>
    </w:p>
    <w:p w14:paraId="06915105" w14:textId="77777777" w:rsidR="00856523" w:rsidRPr="00417AC1" w:rsidRDefault="00856523" w:rsidP="00856523">
      <w:pPr>
        <w:pStyle w:val="SingleTxtG"/>
        <w:rPr>
          <w:lang w:val="tr-TR"/>
        </w:rPr>
      </w:pPr>
      <w:r w:rsidRPr="00417AC1">
        <w:rPr>
          <w:lang w:val="tr-TR"/>
        </w:rPr>
        <w:t xml:space="preserve">233. </w:t>
      </w:r>
      <w:r w:rsidRPr="00417AC1">
        <w:rPr>
          <w:lang w:val="tr-TR"/>
        </w:rPr>
        <w:tab/>
        <w:t>İHEP, din ve vicdan özgürlüğünün korunması, gayrimüslim cemaatlerin sorunlarının çözülmesi, cemaat temsilcilerinin ve vakıfların faaliyetlerinin güvence altına alınmasına yönelik hedef ve faaliyetleri içermektedir.</w:t>
      </w:r>
    </w:p>
    <w:p w14:paraId="0FDDE77D" w14:textId="58AB2A07" w:rsidR="00856523" w:rsidRPr="00417AC1" w:rsidRDefault="00856523" w:rsidP="00856523">
      <w:pPr>
        <w:pStyle w:val="SingleTxtG"/>
        <w:rPr>
          <w:lang w:val="tr-TR"/>
        </w:rPr>
      </w:pPr>
      <w:r w:rsidRPr="00417AC1">
        <w:rPr>
          <w:lang w:val="tr-TR"/>
        </w:rPr>
        <w:t xml:space="preserve">234. Protestan mezhebine mensup üç kişiye uygulanan idari tedbirlerin yanı sıra ibadet yerleri ve mülkiyet sorunları </w:t>
      </w:r>
      <w:r w:rsidRPr="00417AC1">
        <w:rPr>
          <w:lang w:val="tr-TR"/>
        </w:rPr>
        <w:tab/>
      </w:r>
      <w:r w:rsidR="00742BC4" w:rsidRPr="00417AC1">
        <w:rPr>
          <w:lang w:val="tr-TR"/>
        </w:rPr>
        <w:t xml:space="preserve">, Hükümet'in BM Özel Prosedürlerinden gelen ortak yazıya (AL TUR 14/2020) verdiği yanıtta </w:t>
      </w:r>
      <w:r w:rsidRPr="00417AC1">
        <w:rPr>
          <w:rStyle w:val="FootnoteReference"/>
          <w:szCs w:val="18"/>
          <w:lang w:val="tr-TR"/>
        </w:rPr>
        <w:footnoteReference w:id="10"/>
      </w:r>
      <w:r w:rsidRPr="00417AC1">
        <w:rPr>
          <w:lang w:val="tr-TR"/>
        </w:rPr>
        <w:t>zaten ele alınmıştır .</w:t>
      </w:r>
    </w:p>
    <w:p w14:paraId="4F066281" w14:textId="61154F1C" w:rsidR="00856523" w:rsidRPr="00417AC1" w:rsidRDefault="00856523" w:rsidP="00856523">
      <w:pPr>
        <w:pStyle w:val="H23G"/>
        <w:rPr>
          <w:lang w:val="tr-TR"/>
        </w:rPr>
      </w:pPr>
      <w:bookmarkStart w:id="23" w:name="_Toc110354343"/>
      <w:r w:rsidRPr="00417AC1">
        <w:rPr>
          <w:lang w:val="tr-TR"/>
        </w:rPr>
        <w:tab/>
      </w:r>
      <w:r w:rsidRPr="00417AC1">
        <w:rPr>
          <w:lang w:val="tr-TR"/>
        </w:rPr>
        <w:tab/>
        <w:t xml:space="preserve">İnsan Hakları Savunucuları </w:t>
      </w:r>
      <w:r w:rsidR="000C2225" w:rsidRPr="00417AC1">
        <w:rPr>
          <w:lang w:val="tr-TR"/>
        </w:rPr>
        <w:t>– Madde 6, 17, 19, 20, 21, 22 ve 26</w:t>
      </w:r>
      <w:bookmarkEnd w:id="23"/>
    </w:p>
    <w:p w14:paraId="42FDBC44" w14:textId="77777777" w:rsidR="00856523" w:rsidRPr="00417AC1" w:rsidRDefault="00856523" w:rsidP="00856523">
      <w:pPr>
        <w:pStyle w:val="SingleTxtG"/>
        <w:rPr>
          <w:lang w:val="tr-TR"/>
        </w:rPr>
      </w:pPr>
      <w:r w:rsidRPr="00417AC1">
        <w:rPr>
          <w:lang w:val="tr-TR"/>
        </w:rPr>
        <w:t xml:space="preserve">235. </w:t>
      </w:r>
      <w:r w:rsidRPr="00417AC1">
        <w:rPr>
          <w:lang w:val="tr-TR"/>
        </w:rPr>
        <w:tab/>
        <w:t>Hukukun üstünlüğü ilkesiyle yönetilen bir demokraside hiç kimsenin suç işleme ayrıcalığı yoktur. Bu bağlamda, insan hakları savunucusu olarak tanımlanan kişiler, bireysel olarak veya bir örgüt bünyesinde işledikleri suç niteliğindeki fiiller nedeniyle de soruşturma veya kovuşturmaya tabi tutulabilmektedir. Kişilerin sırf insan hakları savunuculuğu faaliyetinde bulundukları için soruşturma veya kovuşturmaya maruz bırakılması Türkiye'de söz konusu olan bir durum değil.</w:t>
      </w:r>
    </w:p>
    <w:p w14:paraId="1B2C4888" w14:textId="52EB5B2D" w:rsidR="00856523" w:rsidRPr="00417AC1" w:rsidRDefault="00856523" w:rsidP="00856523">
      <w:pPr>
        <w:pStyle w:val="SingleTxtG"/>
        <w:rPr>
          <w:lang w:val="tr-TR"/>
        </w:rPr>
      </w:pPr>
      <w:r w:rsidRPr="00417AC1">
        <w:rPr>
          <w:lang w:val="tr-TR"/>
        </w:rPr>
        <w:t xml:space="preserve">236. </w:t>
      </w:r>
      <w:r w:rsidRPr="00417AC1">
        <w:rPr>
          <w:lang w:val="tr-TR"/>
        </w:rPr>
        <w:tab/>
        <w:t xml:space="preserve">Paragrafta bahsedilenler hakkında ayrıntılı bilgi, Hükümet'in </w:t>
      </w:r>
      <w:r w:rsidR="00742BC4" w:rsidRPr="00417AC1">
        <w:rPr>
          <w:lang w:val="tr-TR"/>
        </w:rPr>
        <w:t>BM Özel Prosedürlerinden gelen ilgili bildirimlere verdiği yanıtlarda zaten verilmiştir. İlgililere ilişkin yargılama işlemleri bağımsız ve tarafsız yargı tarafından yürütülür. Duruşma sırasında kişiler, MSHS'nin 14. maddesi ile CMK ve AİHM'de güvence altına alınan kanun yollarına başvurma hakkı da dahil olmak üzere tüm hukuki haklarını kullanabilecek.</w:t>
      </w:r>
    </w:p>
    <w:p w14:paraId="0CE75C5B" w14:textId="77777777" w:rsidR="00856523" w:rsidRPr="00417AC1" w:rsidRDefault="00856523" w:rsidP="00856523">
      <w:pPr>
        <w:pStyle w:val="SingleTxtG"/>
        <w:rPr>
          <w:lang w:val="tr-TR"/>
        </w:rPr>
      </w:pPr>
      <w:r w:rsidRPr="00417AC1">
        <w:rPr>
          <w:lang w:val="tr-TR"/>
        </w:rPr>
        <w:lastRenderedPageBreak/>
        <w:t xml:space="preserve">237. </w:t>
      </w:r>
      <w:r w:rsidRPr="00417AC1">
        <w:rPr>
          <w:lang w:val="tr-TR"/>
        </w:rPr>
        <w:tab/>
        <w:t>AİHM tarafından hükmedilen adil tazminatlar, AİHM Kurallarına göre kararın kesinleştiği tarihten itibaren 3 ay içinde ödenir.</w:t>
      </w:r>
    </w:p>
    <w:p w14:paraId="22CEC575" w14:textId="7767CC88" w:rsidR="00856523" w:rsidRPr="00417AC1" w:rsidRDefault="00856523" w:rsidP="00856523">
      <w:pPr>
        <w:pStyle w:val="SingleTxtG"/>
        <w:rPr>
          <w:lang w:val="tr-TR"/>
        </w:rPr>
      </w:pPr>
      <w:r w:rsidRPr="00417AC1">
        <w:rPr>
          <w:lang w:val="tr-TR"/>
        </w:rPr>
        <w:t xml:space="preserve">238. </w:t>
      </w:r>
      <w:r w:rsidRPr="00417AC1">
        <w:rPr>
          <w:lang w:val="tr-TR"/>
        </w:rPr>
        <w:tab/>
        <w:t xml:space="preserve">Ayrıca AİHM kararları, iç hukukta ceza (CMK 311 ila 323. maddeler) ve hukuk (CMK 374 ila 381. maddeler) yargılamalarında yeniden yargılama usulünün gerekçesi olarak kabul edilmiştir. CMK'nın 311. maddesi </w:t>
      </w:r>
      <w:r w:rsidR="00742BC4" w:rsidRPr="00417AC1">
        <w:rPr>
          <w:lang w:val="tr-TR"/>
        </w:rPr>
        <w:t xml:space="preserve">, AİHM'nin nihai kararıyla, cezanın AİHS'yi veya Protokollerini ihlal ettiğinin tespit edilmesi </w:t>
      </w:r>
      <w:r w:rsidRPr="00417AC1">
        <w:rPr>
          <w:lang w:val="tr-TR"/>
        </w:rPr>
        <w:t>halinde, AİHM'nin nihai karar tarihini takip eden 1 yıl içinde yeniden yargılama talebinde bulunulabileceğini öngörmektedir .</w:t>
      </w:r>
    </w:p>
    <w:p w14:paraId="7179EE65" w14:textId="6A08D9C3" w:rsidR="00856523" w:rsidRPr="00417AC1" w:rsidRDefault="00856523" w:rsidP="00856523">
      <w:pPr>
        <w:pStyle w:val="SingleTxtG"/>
        <w:rPr>
          <w:lang w:val="tr-TR"/>
        </w:rPr>
      </w:pPr>
      <w:r w:rsidRPr="00417AC1">
        <w:rPr>
          <w:lang w:val="tr-TR"/>
        </w:rPr>
        <w:t xml:space="preserve">239. </w:t>
      </w:r>
      <w:r w:rsidRPr="00417AC1">
        <w:rPr>
          <w:lang w:val="tr-TR"/>
        </w:rPr>
        <w:tab/>
        <w:t xml:space="preserve">Anayasanın 9. maddesinde; </w:t>
      </w:r>
      <w:r w:rsidR="00BA1A10" w:rsidRPr="00417AC1">
        <w:rPr>
          <w:lang w:val="tr-TR"/>
        </w:rPr>
        <w:t xml:space="preserve">“ </w:t>
      </w:r>
      <w:r w:rsidRPr="00417AC1">
        <w:rPr>
          <w:i/>
          <w:iCs/>
          <w:lang w:val="tr-TR"/>
        </w:rPr>
        <w:t xml:space="preserve">Yargı yetkisi, Türk milleti adına bağımsız ve tarafsız mahkemeler tarafından kullanılır </w:t>
      </w:r>
      <w:r w:rsidR="00BA1A10" w:rsidRPr="00417AC1">
        <w:rPr>
          <w:lang w:val="tr-TR"/>
        </w:rPr>
        <w:t xml:space="preserve">”. Anayasanın 138. maddesinde; “ </w:t>
      </w:r>
      <w:r w:rsidRPr="00417AC1">
        <w:rPr>
          <w:i/>
          <w:iCs/>
          <w:lang w:val="tr-TR"/>
        </w:rPr>
        <w:t xml:space="preserve">Yargıçlar görevlerini yerine getirirken bağımsızdırlar; Anayasaya, kanunlara ve hukuka uygun kişisel kanaatlerine göre hüküm verirler. Hiçbir organ, makam, makam veya kişi, yargı yetkisinin kullanılmasıyla ilgili olarak mahkemelere veya hakimlere emir veya talimat veremez, genelge gönderemez, tavsiye ve öneride bulunamaz. </w:t>
      </w:r>
      <w:r w:rsidR="00BA1A10" w:rsidRPr="00417AC1">
        <w:rPr>
          <w:lang w:val="tr-TR"/>
        </w:rPr>
        <w:t>Bu bakımdan AİHM kararlarının uygulanması bağımsız ve tarafsız yargı tarafından değerlendirilmektedir.</w:t>
      </w:r>
    </w:p>
    <w:p w14:paraId="6DBB912C" w14:textId="2E0796B6" w:rsidR="00856523" w:rsidRPr="00417AC1" w:rsidRDefault="00856523" w:rsidP="00856523">
      <w:pPr>
        <w:pStyle w:val="H23G"/>
        <w:rPr>
          <w:lang w:val="tr-TR"/>
        </w:rPr>
      </w:pPr>
      <w:bookmarkStart w:id="24" w:name="_Toc110354344"/>
      <w:r w:rsidRPr="00417AC1">
        <w:rPr>
          <w:lang w:val="tr-TR"/>
        </w:rPr>
        <w:tab/>
      </w:r>
      <w:r w:rsidRPr="00417AC1">
        <w:rPr>
          <w:lang w:val="tr-TR"/>
        </w:rPr>
        <w:tab/>
        <w:t xml:space="preserve">İfade Özgürlüğü, Barışçıl Toplantı ve Örgütlenme </w:t>
      </w:r>
      <w:r w:rsidR="00374BC2" w:rsidRPr="00417AC1">
        <w:rPr>
          <w:lang w:val="tr-TR"/>
        </w:rPr>
        <w:t>- Madde 19, 21 ve 22</w:t>
      </w:r>
      <w:bookmarkEnd w:id="24"/>
    </w:p>
    <w:p w14:paraId="4FBD482F" w14:textId="7DEE5C36" w:rsidR="00856523" w:rsidRPr="00417AC1" w:rsidRDefault="00856523" w:rsidP="00856523">
      <w:pPr>
        <w:pStyle w:val="SingleTxtG"/>
        <w:rPr>
          <w:lang w:val="tr-TR"/>
        </w:rPr>
      </w:pPr>
      <w:r w:rsidRPr="00417AC1">
        <w:rPr>
          <w:lang w:val="tr-TR"/>
        </w:rPr>
        <w:t xml:space="preserve">240. </w:t>
      </w:r>
      <w:r w:rsidRPr="00417AC1">
        <w:rPr>
          <w:lang w:val="tr-TR"/>
        </w:rPr>
        <w:tab/>
        <w:t xml:space="preserve">İfade özgürlüğü Anayasa (Madde 26) ve ilgili diğer mevzuatla korunmaktadır. Bu hak mutlak değildir ve ICCPR, AİHS ve AİHM </w:t>
      </w:r>
      <w:r w:rsidR="00742BC4" w:rsidRPr="00417AC1">
        <w:rPr>
          <w:lang w:val="tr-TR"/>
        </w:rPr>
        <w:t>içtihadında belirlenen sınırlamalara tabidir. Ulusal mahkemeler, uluslararası sözleşmeler ve Anayasa'da belirtilen sınırlamaları dikkate alarak hüküm verirler.</w:t>
      </w:r>
    </w:p>
    <w:p w14:paraId="2B870F03" w14:textId="77777777" w:rsidR="00856523" w:rsidRPr="00417AC1" w:rsidRDefault="00856523" w:rsidP="00856523">
      <w:pPr>
        <w:pStyle w:val="SingleTxtG"/>
        <w:rPr>
          <w:lang w:val="tr-TR"/>
        </w:rPr>
      </w:pPr>
      <w:r w:rsidRPr="00417AC1">
        <w:rPr>
          <w:lang w:val="tr-TR"/>
        </w:rPr>
        <w:t xml:space="preserve">241. </w:t>
      </w:r>
      <w:r w:rsidRPr="00417AC1">
        <w:rPr>
          <w:lang w:val="tr-TR"/>
        </w:rPr>
        <w:tab/>
        <w:t>AİHM standartlarına uyum sağlamak ve ifade özgürlüğünü güçlendirmek amacıyla, 78. paragrafta belirtildiği üzere ATL'nin 6. ve 7. maddelerinde önemli değişiklikler yapılmıştır.</w:t>
      </w:r>
    </w:p>
    <w:p w14:paraId="7757BB0E" w14:textId="77777777" w:rsidR="00856523" w:rsidRPr="00417AC1" w:rsidRDefault="00856523" w:rsidP="00856523">
      <w:pPr>
        <w:pStyle w:val="SingleTxtG"/>
        <w:rPr>
          <w:lang w:val="tr-TR"/>
        </w:rPr>
      </w:pPr>
      <w:r w:rsidRPr="00417AC1">
        <w:rPr>
          <w:lang w:val="tr-TR"/>
        </w:rPr>
        <w:t xml:space="preserve">242. </w:t>
      </w:r>
      <w:r w:rsidRPr="00417AC1">
        <w:rPr>
          <w:lang w:val="tr-TR"/>
        </w:rPr>
        <w:tab/>
        <w:t>17 Ekim 2019 tarih ve 7188 sayılı Kanunla CMK'nın 286. maddesine yapılan ekleme, ifade özgürlüğüyle doğrudan ilişkili olduğu değerlendirilen bazı suçlara ilişkin verilen kararlara karşı kanun yoluna imkan tanıyarak hak ihlallerinin önlenmesini amaçlamakta olup, ki bu temyiz edilemez. Buna göre Cumhurbaşkanına hakaret, hakaret, halk arasında korku ve panik yaratma tehdidi, suça tahrik, suçu ve suçluyu övme, halkı kin ve düşmanlığa tahrik etme, aşağılama, kanunlara uymamaya tahrik etme, kamuyu aşağılama gibi suçlar yer alıyor. Yönetmelikte devlet egemenliğinin simgeleri, Türk milletini, Türkiye Cumhuriyeti'ni ve devletin kurum ve kuruluşlarını aşağılayıcı, silahlı örgütlü ve halkı askerlikten uzaklaştırıcı unsurlara yer verilmiştir.</w:t>
      </w:r>
    </w:p>
    <w:p w14:paraId="7BB00789" w14:textId="77777777" w:rsidR="00856523" w:rsidRPr="00417AC1" w:rsidRDefault="00856523" w:rsidP="00856523">
      <w:pPr>
        <w:pStyle w:val="H4G"/>
        <w:rPr>
          <w:lang w:val="tr-TR"/>
        </w:rPr>
      </w:pPr>
      <w:r w:rsidRPr="00417AC1">
        <w:rPr>
          <w:lang w:val="tr-TR"/>
        </w:rPr>
        <w:tab/>
      </w:r>
      <w:r w:rsidRPr="00417AC1">
        <w:rPr>
          <w:lang w:val="tr-TR"/>
        </w:rPr>
        <w:tab/>
        <w:t>5651 Sayılı Kanun</w:t>
      </w:r>
    </w:p>
    <w:p w14:paraId="2B1E11ED" w14:textId="71021E0D" w:rsidR="00856523" w:rsidRPr="00417AC1" w:rsidRDefault="00856523" w:rsidP="00856523">
      <w:pPr>
        <w:pStyle w:val="SingleTxtG"/>
        <w:rPr>
          <w:lang w:val="tr-TR"/>
        </w:rPr>
      </w:pPr>
      <w:r w:rsidRPr="00417AC1">
        <w:rPr>
          <w:lang w:val="tr-TR"/>
        </w:rPr>
        <w:t xml:space="preserve">243. 23 Mayıs 2007 tarihinde yürürlüğe giren 5651 sayılı </w:t>
      </w:r>
      <w:r w:rsidRPr="00417AC1">
        <w:rPr>
          <w:lang w:val="tr-TR"/>
        </w:rPr>
        <w:tab/>
      </w:r>
      <w:r w:rsidR="00BA1A10" w:rsidRPr="00417AC1">
        <w:rPr>
          <w:i/>
          <w:lang w:val="tr-TR"/>
        </w:rPr>
        <w:t xml:space="preserve">“İnternet Ortamında Yapılan Yayınların Düzenlenmesi ve Bu Yayınlar Yoluyla İşlenen Suçlarla Mücadele Edilmesi Hakkında </w:t>
      </w:r>
      <w:r w:rsidRPr="00417AC1">
        <w:rPr>
          <w:lang w:val="tr-TR"/>
        </w:rPr>
        <w:t>Kanun ” , TCK'da sayılan tahrik suçlarından bir kısmıyla mücadele etmek amacıyla yürürlüğe girmiştir. intihar, çocukların cinsel istismarı, uyuşturucu veya uyarıcı madde kullanılmasını kolaylaştırma, sağlığa zararlı madde temini, müstehcenlik, fuhuş, kumar için yer veya tesis düzenlemek ile 5816 sayılı Atatürk'e Karşı İşlenen Suçlar Hakkında Kanun'da sayılan suçlar.</w:t>
      </w:r>
    </w:p>
    <w:p w14:paraId="3BA26E04" w14:textId="77777777" w:rsidR="00856523" w:rsidRPr="00417AC1" w:rsidRDefault="00856523" w:rsidP="00856523">
      <w:pPr>
        <w:pStyle w:val="SingleTxtG"/>
        <w:rPr>
          <w:lang w:val="tr-TR"/>
        </w:rPr>
      </w:pPr>
      <w:r w:rsidRPr="00417AC1">
        <w:rPr>
          <w:lang w:val="tr-TR"/>
        </w:rPr>
        <w:t xml:space="preserve">244. </w:t>
      </w:r>
      <w:r w:rsidRPr="00417AC1">
        <w:rPr>
          <w:lang w:val="tr-TR"/>
        </w:rPr>
        <w:tab/>
        <w:t>2014 yılında kişilik hakları ve özel hayatın gizliliği ihlaline ilişkin maddelerde değişiklik yapılmıştır. 2015 yılında yapılan değişikliklerle Anayasa'nın haberleşme hürriyetine ilişkin 22 ve 26'ncı maddeleri, MSHS'nin 19'uncu maddesi ve Madde 19'da istisna gerekçeleri açıkça tanımlanmıştır. AİHS'nin 10. İstisna gerekçeleri arasında milli güvenliğin, kamu düzeninin, can ve mal güvenliğinin korunması, kamu sağlığının korunması ve telafisi mümkün olmayan hallerde suçun önlenmesi de yer almaktadır. Böylece milli güvenlik ve kamu düzeninin korunması gerekçelerinden bir veya birkaçına dayanarak internette kısa sürede meydana gelebilecek ihlallere karşı koruyucu tedbirlerin alınabilmesinin sağlanması amaçlandı.</w:t>
      </w:r>
    </w:p>
    <w:p w14:paraId="61635CC7" w14:textId="77777777" w:rsidR="00856523" w:rsidRPr="00417AC1" w:rsidRDefault="00856523" w:rsidP="00856523">
      <w:pPr>
        <w:pStyle w:val="SingleTxtG"/>
        <w:rPr>
          <w:lang w:val="tr-TR"/>
        </w:rPr>
      </w:pPr>
      <w:r w:rsidRPr="00417AC1">
        <w:rPr>
          <w:lang w:val="tr-TR"/>
        </w:rPr>
        <w:t xml:space="preserve">245. </w:t>
      </w:r>
      <w:r w:rsidRPr="00417AC1">
        <w:rPr>
          <w:lang w:val="tr-TR"/>
        </w:rPr>
        <w:tab/>
        <w:t xml:space="preserve">Ayrıca BTK, Cumhurbaşkanlığı veya ilgili Bakanlıkların resmi talebi üzerine internet sayfalarına ilişkin içerik kaldırma/erişimin engellenmesine ilişkin idari kararlar alır. BTK Başkanı, kararı 24 saat içinde ceza hakiminin onayına sunar ve hakim, ibrazından itibaren 48 saat içinde karar verir; aksi takdirde idari karar otomatik olarak iptal edilir. Tedbirlerden etkilenen herhangi bir kişi veya kuruluş, mahkemenin veya makamın kararlarına itiraz </w:t>
      </w:r>
      <w:r w:rsidRPr="00417AC1">
        <w:rPr>
          <w:lang w:val="tr-TR"/>
        </w:rPr>
        <w:lastRenderedPageBreak/>
        <w:t>edebilir. Yukarıda da belirtildiği gibi, internet sayfalarına ilişkin idari kararlar ancak kanunun öngördüğü istisnai durumlarda uygulanmakta ve hâkimlerin onayına sunulmakta olup, her durumda yargısal denetime tabi tutulmaktadır.</w:t>
      </w:r>
    </w:p>
    <w:p w14:paraId="3BEB2984" w14:textId="77777777" w:rsidR="00856523" w:rsidRPr="00417AC1" w:rsidRDefault="00856523" w:rsidP="00856523">
      <w:pPr>
        <w:pStyle w:val="H4G"/>
        <w:rPr>
          <w:lang w:val="tr-TR"/>
        </w:rPr>
      </w:pPr>
      <w:r w:rsidRPr="00417AC1">
        <w:rPr>
          <w:lang w:val="tr-TR"/>
        </w:rPr>
        <w:tab/>
      </w:r>
      <w:r w:rsidRPr="00417AC1">
        <w:rPr>
          <w:lang w:val="tr-TR"/>
        </w:rPr>
        <w:tab/>
        <w:t>Çevrimiçi Söylemler</w:t>
      </w:r>
    </w:p>
    <w:p w14:paraId="47A48405" w14:textId="77777777" w:rsidR="00856523" w:rsidRPr="00417AC1" w:rsidRDefault="00856523" w:rsidP="00856523">
      <w:pPr>
        <w:pStyle w:val="SingleTxtG"/>
        <w:rPr>
          <w:lang w:val="tr-TR"/>
        </w:rPr>
      </w:pPr>
      <w:r w:rsidRPr="00417AC1">
        <w:rPr>
          <w:lang w:val="tr-TR"/>
        </w:rPr>
        <w:t xml:space="preserve">246. </w:t>
      </w:r>
      <w:r w:rsidRPr="00417AC1">
        <w:rPr>
          <w:lang w:val="tr-TR"/>
        </w:rPr>
        <w:tab/>
        <w:t>5651 sayılı Kanun, internetteki yasa dışı, sistematik kısıtlama olarak tanımlanamayan içerikle mücadele etmeyi amaçlamaktadır. Bu amaçla öncelikle sağlayıcılar fark edilir ve daha sonra içerikler yayından kaldırılır. İlgili içerik ve/veya yer sağlayıcının söz konusu yasa dışı içeriğe ilişkin sorumluluklarını yerine getirmemesi halinde ihlalin gerçekleştiği URL adresine idari tedbir uygulanır. Teknik yetersizlikler nedeniyle tedbirlerin uygulanamadığı durumlarda son çare olarak sitenin tamamına erişimin engellenmesi tedbirine başvurulur. Bu prosedür Anayasa ve ICCPR ile uyumludur.</w:t>
      </w:r>
    </w:p>
    <w:p w14:paraId="0D699035" w14:textId="77777777" w:rsidR="00856523" w:rsidRPr="00417AC1" w:rsidRDefault="00856523" w:rsidP="00856523">
      <w:pPr>
        <w:pStyle w:val="SingleTxtG"/>
        <w:rPr>
          <w:lang w:val="tr-TR"/>
        </w:rPr>
      </w:pPr>
      <w:r w:rsidRPr="00417AC1">
        <w:rPr>
          <w:lang w:val="tr-TR"/>
        </w:rPr>
        <w:t xml:space="preserve">247. </w:t>
      </w:r>
      <w:r w:rsidRPr="00417AC1">
        <w:rPr>
          <w:lang w:val="tr-TR"/>
        </w:rPr>
        <w:tab/>
        <w:t>Sosyal medya şirketleri, sahte hesaplar, hesapların ele geçirilmesi, kişilik haklarının ve/veya özel hayatın ihlali ve uygunsuz içeriklere ilişkin şikayetlerin çözümü için etkili mekanizmalar geliştirmekle yükümlüdür. Kendi politikalarını açıkça ihlal eden içeriklere ilişkin kullanıcı şikayetleri konusunda gerekli tedbirleri almaktan kaçınmaları, kullanıcıları ilgili kamu kurumlarına ve adli makamlara başvurmaya zorlamaktadır. Kullanıcı şikayetlerinin etkin bir şekilde çözümlenemediği durumlarda mahkemelerin ve ilgili kurumların devreye girmesi gerektiği ilgili firma temsilcilerine sürekli olarak bildirilmektedir. Kullanıcı şikayetleri firmalar tarafından zamanında çözüme kavuşturulmadığında, basit kullanıcı şikayetleri mahkemelere veya ilgili makamlara taşınmakta ve yanlış bir şekilde Devlet talebi olarak yansıtılmaktadır.</w:t>
      </w:r>
    </w:p>
    <w:p w14:paraId="25CDF34F" w14:textId="77777777" w:rsidR="00856523" w:rsidRPr="00417AC1" w:rsidRDefault="00856523" w:rsidP="00856523">
      <w:pPr>
        <w:pStyle w:val="H4G"/>
        <w:rPr>
          <w:lang w:val="tr-TR"/>
        </w:rPr>
      </w:pPr>
      <w:r w:rsidRPr="00417AC1">
        <w:rPr>
          <w:lang w:val="tr-TR"/>
        </w:rPr>
        <w:tab/>
      </w:r>
      <w:r w:rsidRPr="00417AC1">
        <w:rPr>
          <w:lang w:val="tr-TR"/>
        </w:rPr>
        <w:tab/>
        <w:t>Darbe Girişimi Sonrası Kapatılan Yayın Organlarına ve Mallarına El Konulmasına İlişkin Prosedür</w:t>
      </w:r>
    </w:p>
    <w:p w14:paraId="68FBDE0F" w14:textId="77777777" w:rsidR="00856523" w:rsidRPr="00417AC1" w:rsidRDefault="00856523" w:rsidP="00856523">
      <w:pPr>
        <w:pStyle w:val="SingleTxtG"/>
        <w:rPr>
          <w:lang w:val="tr-TR"/>
        </w:rPr>
      </w:pPr>
      <w:r w:rsidRPr="00417AC1">
        <w:rPr>
          <w:lang w:val="tr-TR"/>
        </w:rPr>
        <w:t xml:space="preserve">248. </w:t>
      </w:r>
      <w:r w:rsidRPr="00417AC1">
        <w:rPr>
          <w:lang w:val="tr-TR"/>
        </w:rPr>
        <w:tab/>
        <w:t>Basın özgürlüğü Anayasa ve diğer ilgili mevzuatla güvence altına alınmış olup, uluslararası standartlara sahip, aktif ve çoğulcu bir medya topluluğu mevcuttur.</w:t>
      </w:r>
    </w:p>
    <w:p w14:paraId="2182E6C7" w14:textId="77777777" w:rsidR="00856523" w:rsidRPr="00417AC1" w:rsidRDefault="00856523" w:rsidP="00856523">
      <w:pPr>
        <w:pStyle w:val="SingleTxtG"/>
        <w:rPr>
          <w:lang w:val="tr-TR"/>
        </w:rPr>
      </w:pPr>
      <w:r w:rsidRPr="00417AC1">
        <w:rPr>
          <w:lang w:val="tr-TR"/>
        </w:rPr>
        <w:t xml:space="preserve">249. </w:t>
      </w:r>
      <w:r w:rsidRPr="00417AC1">
        <w:rPr>
          <w:lang w:val="tr-TR"/>
        </w:rPr>
        <w:tab/>
        <w:t>15 Temmuz 2016 darbe girişimi sonrasında OHAL döneminde kabul edilen 668, 675, 677, 683, 693, 697 ve 701 sayılı Kanun Hükmünde Kararnameler ve 668 sayılı Kanun Hükmünde Kararname ile kurulan OHAL kararları ile; 62 özel medya hizmet kuruluşu kapatılırken, 10 kurumun da kapatma kararı kaldırıldı veya listeden çıkarıldı.</w:t>
      </w:r>
    </w:p>
    <w:p w14:paraId="35DC2767" w14:textId="77777777" w:rsidR="00856523" w:rsidRPr="00417AC1" w:rsidRDefault="00856523" w:rsidP="00856523">
      <w:pPr>
        <w:pStyle w:val="SingleTxtG"/>
        <w:rPr>
          <w:lang w:val="tr-TR"/>
        </w:rPr>
      </w:pPr>
      <w:r w:rsidRPr="00417AC1">
        <w:rPr>
          <w:lang w:val="tr-TR"/>
        </w:rPr>
        <w:t xml:space="preserve">250. </w:t>
      </w:r>
      <w:r w:rsidRPr="00417AC1">
        <w:rPr>
          <w:lang w:val="tr-TR"/>
        </w:rPr>
        <w:tab/>
        <w:t>TMSF, terör örgütlerine mensubiyeti, iltisakı veya iltisakı nedeniyle şirketlere kayyımlık yoluyla kapatılan medya kurum ve kuruluşlarının veya mal varlıklarının iktisap edilen taşınır varlıkları ile yayın haklarının satışı ve tasfiyesi ile görevlidir.</w:t>
      </w:r>
    </w:p>
    <w:p w14:paraId="59E05C5B" w14:textId="77777777" w:rsidR="00856523" w:rsidRPr="00417AC1" w:rsidRDefault="00856523" w:rsidP="00856523">
      <w:pPr>
        <w:pStyle w:val="SingleTxtG"/>
        <w:rPr>
          <w:lang w:val="tr-TR"/>
        </w:rPr>
      </w:pPr>
      <w:r w:rsidRPr="00417AC1">
        <w:rPr>
          <w:lang w:val="tr-TR"/>
        </w:rPr>
        <w:t xml:space="preserve">251. </w:t>
      </w:r>
      <w:r w:rsidRPr="00417AC1">
        <w:rPr>
          <w:lang w:val="tr-TR"/>
        </w:rPr>
        <w:tab/>
        <w:t>TMSF tarafından yapılan ve 687 sayılı Kanun Hükmünde Kararname kapsamında satılacağı bildirilen yayın lisans, hak ve izinlerinin devri ve tescili RTÜK Üst Kurulu tarafından değerlendirilerek sonuçlandırılır.</w:t>
      </w:r>
    </w:p>
    <w:p w14:paraId="0F43E2E8" w14:textId="77777777" w:rsidR="00856523" w:rsidRPr="00417AC1" w:rsidRDefault="00856523" w:rsidP="00856523">
      <w:pPr>
        <w:pStyle w:val="SingleTxtG"/>
        <w:rPr>
          <w:lang w:val="tr-TR"/>
        </w:rPr>
      </w:pPr>
      <w:r w:rsidRPr="00417AC1">
        <w:rPr>
          <w:lang w:val="tr-TR"/>
        </w:rPr>
        <w:t xml:space="preserve">252. </w:t>
      </w:r>
      <w:r w:rsidRPr="00417AC1">
        <w:rPr>
          <w:lang w:val="tr-TR"/>
        </w:rPr>
        <w:tab/>
        <w:t>Kuruluşların yeniden açılması, varlıklarının restorasyonu ve tazminata erişim sağlanması amacıyla SEC'e yapılan ve kabul edilen başvurulara ilişkin işlemler RTÜK tarafından yürütülür.</w:t>
      </w:r>
    </w:p>
    <w:p w14:paraId="3A649B93" w14:textId="77777777" w:rsidR="00856523" w:rsidRPr="00417AC1" w:rsidRDefault="00856523" w:rsidP="00856523">
      <w:pPr>
        <w:pStyle w:val="H4G"/>
        <w:rPr>
          <w:lang w:val="tr-TR"/>
        </w:rPr>
      </w:pPr>
      <w:r w:rsidRPr="00417AC1">
        <w:rPr>
          <w:lang w:val="tr-TR"/>
        </w:rPr>
        <w:tab/>
      </w:r>
      <w:r w:rsidRPr="00417AC1">
        <w:rPr>
          <w:lang w:val="tr-TR"/>
        </w:rPr>
        <w:tab/>
        <w:t>Özel Uydu Sağlayıcılardan Kaldırılan Kanallara İlişkin İddialar</w:t>
      </w:r>
    </w:p>
    <w:p w14:paraId="40B12035" w14:textId="77777777" w:rsidR="00856523" w:rsidRPr="00417AC1" w:rsidRDefault="00856523" w:rsidP="00856523">
      <w:pPr>
        <w:pStyle w:val="SingleTxtG"/>
        <w:rPr>
          <w:lang w:val="tr-TR"/>
        </w:rPr>
      </w:pPr>
      <w:r w:rsidRPr="00417AC1">
        <w:rPr>
          <w:lang w:val="tr-TR"/>
        </w:rPr>
        <w:t xml:space="preserve">253. </w:t>
      </w:r>
      <w:r w:rsidRPr="00417AC1">
        <w:rPr>
          <w:lang w:val="tr-TR"/>
        </w:rPr>
        <w:tab/>
        <w:t>Medya hizmet sağlayıcılar ile kablolu ve/veya uydu TV/radyo yayını yapan platform işletmecileri arasında kablolu ve/veya uydu TV/radyo yayın hizmeti anlaşmaları yapılır. Düzenleyici ve denetleyici kurum olan RTSC'nin herhangi bir yasal yetkisi bulunmamaktadır.</w:t>
      </w:r>
    </w:p>
    <w:p w14:paraId="662D67DE" w14:textId="0E9D2048" w:rsidR="00856523" w:rsidRPr="00417AC1" w:rsidRDefault="00856523" w:rsidP="00856523">
      <w:pPr>
        <w:pStyle w:val="SingleTxtG"/>
        <w:rPr>
          <w:lang w:val="tr-TR"/>
        </w:rPr>
      </w:pPr>
      <w:r w:rsidRPr="00417AC1">
        <w:rPr>
          <w:lang w:val="tr-TR"/>
        </w:rPr>
        <w:t xml:space="preserve">254. </w:t>
      </w:r>
      <w:r w:rsidRPr="00417AC1">
        <w:rPr>
          <w:lang w:val="tr-TR"/>
        </w:rPr>
        <w:tab/>
        <w:t xml:space="preserve">Basın kartları, Basın Kartı Yönetmeliği'ne uygun olarak, basın mensupları arasında ayrım yapılmaksızın verilmektedir. Basın kartı iptal işlemleri Basın Kartı Yönetmeliği çerçevesinde yürütülmekte olup; İşten ayrılma, kurumun kapatılması, kartın süresinin dolması, kart bilgilerinde değişiklik yapılması, yıpranmış kart başvurusu, unvan değişikliği, emeklilik veya vefat gibi teknik veya zorunlu sebeplerle. İptal, başvuru sahibinin tekrar basın kartı alamayacağı anlamına gelmemektedir. Tam tersine eksikliklerin giderilmesi veya kişinin durumunun basın kartı taşımaya uygun hale gelmesi durumunda </w:t>
      </w:r>
      <w:r w:rsidR="00742BC4" w:rsidRPr="00417AC1">
        <w:rPr>
          <w:lang w:val="tr-TR"/>
        </w:rPr>
        <w:t>başvuruları olumlu değerlendirilerek yeniden basın kartı düzenlenmektedir. Basın kartı sahibi gazeteciler basın toplantılarına, TBMM toplantılarına ve benzeri faaliyetlere katılarak gazetecilik faaliyetlerini yürütebilirler.</w:t>
      </w:r>
    </w:p>
    <w:p w14:paraId="76F6AEF3" w14:textId="77777777" w:rsidR="00856523" w:rsidRPr="00417AC1" w:rsidRDefault="00856523" w:rsidP="00856523">
      <w:pPr>
        <w:pStyle w:val="H4G"/>
        <w:rPr>
          <w:b/>
          <w:lang w:val="tr-TR"/>
        </w:rPr>
      </w:pPr>
      <w:r w:rsidRPr="00417AC1">
        <w:rPr>
          <w:lang w:val="tr-TR"/>
        </w:rPr>
        <w:lastRenderedPageBreak/>
        <w:tab/>
      </w:r>
      <w:r w:rsidRPr="00417AC1">
        <w:rPr>
          <w:lang w:val="tr-TR"/>
        </w:rPr>
        <w:tab/>
        <w:t>Toplantı ve Gösteriler</w:t>
      </w:r>
    </w:p>
    <w:p w14:paraId="70A2916B" w14:textId="77777777" w:rsidR="00856523" w:rsidRPr="00417AC1" w:rsidRDefault="00856523" w:rsidP="00856523">
      <w:pPr>
        <w:pStyle w:val="SingleTxtG"/>
        <w:rPr>
          <w:lang w:val="tr-TR"/>
        </w:rPr>
      </w:pPr>
      <w:r w:rsidRPr="00417AC1">
        <w:rPr>
          <w:lang w:val="tr-TR"/>
        </w:rPr>
        <w:t xml:space="preserve">255. </w:t>
      </w:r>
      <w:r w:rsidRPr="00417AC1">
        <w:rPr>
          <w:lang w:val="tr-TR"/>
        </w:rPr>
        <w:tab/>
        <w:t>Barışçıl toplanma özgürlüğü, Anayasa (34. Madde) ve ilgili ulusal mevzuatla güvence altına alınan demokratik bir haktır. Herkes, önceden izin alınmaksızın, silahsız ve barışçıl toplantı ve gösteri yürüyüşü düzenleme hakkına sahiptir. Barışçıl toplantı ve gösteri yürüyüşleri, hukuka uygun olması halinde herhangi bir müdahaleye maruz kalmadan gerçekleştirilmiştir.</w:t>
      </w:r>
    </w:p>
    <w:p w14:paraId="27B19A80" w14:textId="77777777" w:rsidR="00856523" w:rsidRPr="00417AC1" w:rsidRDefault="00856523" w:rsidP="00856523">
      <w:pPr>
        <w:pStyle w:val="SingleTxtG"/>
        <w:rPr>
          <w:lang w:val="tr-TR"/>
        </w:rPr>
      </w:pPr>
      <w:r w:rsidRPr="00417AC1">
        <w:rPr>
          <w:lang w:val="tr-TR"/>
        </w:rPr>
        <w:t xml:space="preserve">256. 2911 </w:t>
      </w:r>
      <w:r w:rsidRPr="00417AC1">
        <w:rPr>
          <w:lang w:val="tr-TR"/>
        </w:rPr>
        <w:tab/>
        <w:t>sayılı Toplantı ve Gösteri Yürüyüşleri Kanunu, bu hakkın kullanılmasında uygulanacak şekil, şart ve usuller ile doğal ve kanuni yollarla yapılacak toplantı ve gösteri yürüyüşlerinin yeri, zamanı, usul ve şartlarını düzenler. organizasyon komitesinin kişileri, görev ve sorumlulukları, yetkili makamlarca yasaklama ve erteleme halleri, güvenlik güçlerinin görev ve yetkileri, yasaklar ve cezai hükümler.</w:t>
      </w:r>
    </w:p>
    <w:p w14:paraId="6380F83D" w14:textId="77777777" w:rsidR="00856523" w:rsidRPr="00417AC1" w:rsidRDefault="00856523" w:rsidP="00856523">
      <w:pPr>
        <w:pStyle w:val="SingleTxtG"/>
        <w:rPr>
          <w:lang w:val="tr-TR"/>
        </w:rPr>
      </w:pPr>
      <w:r w:rsidRPr="00417AC1">
        <w:rPr>
          <w:lang w:val="tr-TR"/>
        </w:rPr>
        <w:t xml:space="preserve">257. </w:t>
      </w:r>
      <w:r w:rsidRPr="00417AC1">
        <w:rPr>
          <w:lang w:val="tr-TR"/>
        </w:rPr>
        <w:tab/>
        <w:t>İlgili ulusal ve uluslararası mevzuat kapsamında her kişi veya grup, ayrımcılığa uğramadan, güvenli ve özgür bir ortamda barışçıl toplantı ve gösteri yürüyüşü yapma haklarından yararlanabilir. Kanunlarda belirtilen sınırlamalar (milli güvenlik, kamu düzeni, suç işlenmesinin önlenmesi, genel sağlık ve genel ahlâkın veya başkalarının hak ve özgürlüklerinin korunması) dışında sınırlama getirilemez.</w:t>
      </w:r>
    </w:p>
    <w:p w14:paraId="65C030E5" w14:textId="77777777" w:rsidR="00856523" w:rsidRPr="00417AC1" w:rsidRDefault="00856523" w:rsidP="00856523">
      <w:pPr>
        <w:pStyle w:val="SingleTxtG"/>
        <w:rPr>
          <w:lang w:val="tr-TR"/>
        </w:rPr>
      </w:pPr>
      <w:bookmarkStart w:id="25" w:name="_Hlk107845615"/>
      <w:r w:rsidRPr="00417AC1">
        <w:rPr>
          <w:lang w:val="tr-TR"/>
        </w:rPr>
        <w:t xml:space="preserve">258. </w:t>
      </w:r>
      <w:r w:rsidRPr="00417AC1">
        <w:rPr>
          <w:lang w:val="tr-TR"/>
        </w:rPr>
        <w:tab/>
        <w:t>Sorun çıkması durumunda öncelikle göstericilerle müzakere ve etkili iletişim yoluyla çözüme kavuşturulur. Güvenlik güçleri son çare olarak yasal sınırlar içerisinde müdahale ediyor.</w:t>
      </w:r>
    </w:p>
    <w:p w14:paraId="1920C13F" w14:textId="2CCB867F" w:rsidR="00856523" w:rsidRPr="00417AC1" w:rsidRDefault="00856523" w:rsidP="00856523">
      <w:pPr>
        <w:pStyle w:val="SingleTxtG"/>
        <w:rPr>
          <w:lang w:val="tr-TR"/>
        </w:rPr>
      </w:pPr>
      <w:bookmarkStart w:id="26" w:name="_Hlk107928568"/>
      <w:bookmarkEnd w:id="25"/>
      <w:r w:rsidRPr="00417AC1">
        <w:rPr>
          <w:lang w:val="tr-TR"/>
        </w:rPr>
        <w:t xml:space="preserve">259. </w:t>
      </w:r>
      <w:r w:rsidRPr="00417AC1">
        <w:rPr>
          <w:lang w:val="tr-TR"/>
        </w:rPr>
        <w:tab/>
        <w:t xml:space="preserve">Tüm modern polis teşkilatlarında olduğu gibi yasa dışı veya yasa dışı hale gelen her türlü protesto ve faaliyette göz yaşartıcı gaz, fırlatıcı, şok tabancası ve bunlara ait mühimmatlar orantılılık ilkesi çerçevesinde ve yalnızca son çare olarak kullanılmaktadır. Polis memurlarına </w:t>
      </w:r>
      <w:r w:rsidR="00BA1A10" w:rsidRPr="00417AC1">
        <w:rPr>
          <w:i/>
          <w:iCs/>
          <w:lang w:val="tr-TR"/>
        </w:rPr>
        <w:t xml:space="preserve">“Göz yaşartıcı Gaz, Gaz Atar ve Sersemletici Silahların Kullanımı ile Bunlara İlişkin Teçhizat ve Mühimmatın Kullanımı Eğitimi” verildi </w:t>
      </w:r>
      <w:bookmarkEnd w:id="26"/>
      <w:r w:rsidRPr="00417AC1">
        <w:rPr>
          <w:lang w:val="tr-TR"/>
        </w:rPr>
        <w:t>.</w:t>
      </w:r>
    </w:p>
    <w:p w14:paraId="18A251A0" w14:textId="7DA3828C" w:rsidR="00856523" w:rsidRPr="00417AC1" w:rsidRDefault="00856523" w:rsidP="00856523">
      <w:pPr>
        <w:pStyle w:val="SingleTxtG"/>
        <w:rPr>
          <w:lang w:val="tr-TR"/>
        </w:rPr>
      </w:pPr>
      <w:r w:rsidRPr="00417AC1">
        <w:rPr>
          <w:lang w:val="tr-TR"/>
        </w:rPr>
        <w:t xml:space="preserve">260. </w:t>
      </w:r>
      <w:r w:rsidRPr="00417AC1">
        <w:rPr>
          <w:lang w:val="tr-TR"/>
        </w:rPr>
        <w:tab/>
        <w:t>Son 5 yılda Türkiye'deki kitlesel protestoların/eylemlerin %99'undan fazlası hiçbir müdahale olmaksızın barışçıl bir ortamda gerçekleştirildi. Gösterim ve müdahale oranlarına ilişkin rakamlar aşağıdaki tabloda yer almaktadır.</w:t>
      </w:r>
      <w:r w:rsidR="005041FC" w:rsidRPr="00417AC1">
        <w:rPr>
          <w:lang w:val="tr-TR"/>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94"/>
        <w:gridCol w:w="2210"/>
        <w:gridCol w:w="2886"/>
        <w:gridCol w:w="1580"/>
      </w:tblGrid>
      <w:tr w:rsidR="00856523" w:rsidRPr="00417AC1" w14:paraId="3C777ACD" w14:textId="77777777" w:rsidTr="00BA03C2">
        <w:trPr>
          <w:tblHeader/>
        </w:trPr>
        <w:tc>
          <w:tcPr>
            <w:tcW w:w="783" w:type="dxa"/>
            <w:tcBorders>
              <w:top w:val="single" w:sz="4" w:space="0" w:color="auto"/>
              <w:bottom w:val="single" w:sz="12" w:space="0" w:color="auto"/>
            </w:tcBorders>
            <w:shd w:val="clear" w:color="auto" w:fill="auto"/>
            <w:vAlign w:val="bottom"/>
          </w:tcPr>
          <w:p w14:paraId="26222265" w14:textId="16E05EE5" w:rsidR="00856523" w:rsidRPr="00417AC1" w:rsidRDefault="00BA03C2" w:rsidP="00BA03C2">
            <w:pPr>
              <w:suppressAutoHyphens w:val="0"/>
              <w:spacing w:before="80" w:after="80" w:line="200" w:lineRule="exact"/>
              <w:ind w:right="113"/>
              <w:rPr>
                <w:rFonts w:eastAsia="Calibri"/>
                <w:i/>
                <w:sz w:val="16"/>
                <w:lang w:val="tr-TR"/>
              </w:rPr>
            </w:pPr>
            <w:r w:rsidRPr="00417AC1">
              <w:rPr>
                <w:rFonts w:eastAsia="Calibri"/>
                <w:i/>
                <w:sz w:val="16"/>
                <w:lang w:val="tr-TR"/>
              </w:rPr>
              <w:t>Yıl</w:t>
            </w:r>
          </w:p>
        </w:tc>
        <w:tc>
          <w:tcPr>
            <w:tcW w:w="2495" w:type="dxa"/>
            <w:tcBorders>
              <w:top w:val="single" w:sz="4" w:space="0" w:color="auto"/>
              <w:bottom w:val="single" w:sz="12" w:space="0" w:color="auto"/>
            </w:tcBorders>
            <w:shd w:val="clear" w:color="auto" w:fill="auto"/>
            <w:vAlign w:val="bottom"/>
          </w:tcPr>
          <w:p w14:paraId="068E4A2C" w14:textId="77777777" w:rsidR="00856523" w:rsidRPr="00417AC1" w:rsidRDefault="00856523" w:rsidP="00BA03C2">
            <w:pPr>
              <w:suppressAutoHyphens w:val="0"/>
              <w:spacing w:before="80" w:after="80" w:line="200" w:lineRule="exact"/>
              <w:ind w:right="113"/>
              <w:jc w:val="right"/>
              <w:rPr>
                <w:rFonts w:eastAsia="Calibri"/>
                <w:i/>
                <w:sz w:val="16"/>
                <w:lang w:val="tr-TR"/>
              </w:rPr>
            </w:pPr>
            <w:r w:rsidRPr="00417AC1">
              <w:rPr>
                <w:rFonts w:eastAsia="Calibri"/>
                <w:i/>
                <w:sz w:val="16"/>
                <w:lang w:val="tr-TR"/>
              </w:rPr>
              <w:t>Protestolar/aktiviteler</w:t>
            </w:r>
          </w:p>
        </w:tc>
        <w:tc>
          <w:tcPr>
            <w:tcW w:w="3259" w:type="dxa"/>
            <w:tcBorders>
              <w:top w:val="single" w:sz="4" w:space="0" w:color="auto"/>
              <w:bottom w:val="single" w:sz="12" w:space="0" w:color="auto"/>
            </w:tcBorders>
            <w:shd w:val="clear" w:color="auto" w:fill="auto"/>
            <w:vAlign w:val="bottom"/>
          </w:tcPr>
          <w:p w14:paraId="1BC0266B" w14:textId="77777777" w:rsidR="00856523" w:rsidRPr="00417AC1" w:rsidRDefault="00856523" w:rsidP="00BA03C2">
            <w:pPr>
              <w:suppressAutoHyphens w:val="0"/>
              <w:spacing w:before="80" w:after="80" w:line="200" w:lineRule="exact"/>
              <w:ind w:right="113"/>
              <w:jc w:val="right"/>
              <w:rPr>
                <w:rFonts w:eastAsia="Calibri"/>
                <w:i/>
                <w:sz w:val="16"/>
                <w:lang w:val="tr-TR"/>
              </w:rPr>
            </w:pPr>
            <w:r w:rsidRPr="00417AC1">
              <w:rPr>
                <w:rFonts w:eastAsia="Calibri"/>
                <w:i/>
                <w:sz w:val="16"/>
                <w:lang w:val="tr-TR"/>
              </w:rPr>
              <w:t>Protestocular/katılımcılar</w:t>
            </w:r>
          </w:p>
        </w:tc>
        <w:tc>
          <w:tcPr>
            <w:tcW w:w="1783" w:type="dxa"/>
            <w:tcBorders>
              <w:top w:val="single" w:sz="4" w:space="0" w:color="auto"/>
              <w:bottom w:val="single" w:sz="12" w:space="0" w:color="auto"/>
            </w:tcBorders>
            <w:shd w:val="clear" w:color="auto" w:fill="auto"/>
            <w:vAlign w:val="bottom"/>
          </w:tcPr>
          <w:p w14:paraId="358EA5B2" w14:textId="77777777" w:rsidR="00856523" w:rsidRPr="00417AC1" w:rsidRDefault="00856523" w:rsidP="00BA03C2">
            <w:pPr>
              <w:suppressAutoHyphens w:val="0"/>
              <w:spacing w:before="80" w:after="80" w:line="200" w:lineRule="exact"/>
              <w:ind w:right="113"/>
              <w:jc w:val="right"/>
              <w:rPr>
                <w:rFonts w:eastAsia="Calibri"/>
                <w:i/>
                <w:sz w:val="16"/>
                <w:lang w:val="tr-TR"/>
              </w:rPr>
            </w:pPr>
            <w:r w:rsidRPr="00417AC1">
              <w:rPr>
                <w:rFonts w:eastAsia="Calibri"/>
                <w:i/>
                <w:sz w:val="16"/>
                <w:lang w:val="tr-TR"/>
              </w:rPr>
              <w:t>Müdahale oranı</w:t>
            </w:r>
          </w:p>
        </w:tc>
      </w:tr>
      <w:tr w:rsidR="00856523" w:rsidRPr="00417AC1" w14:paraId="7FF9D363" w14:textId="77777777" w:rsidTr="00BA03C2">
        <w:tc>
          <w:tcPr>
            <w:tcW w:w="783" w:type="dxa"/>
            <w:tcBorders>
              <w:top w:val="single" w:sz="12" w:space="0" w:color="auto"/>
            </w:tcBorders>
            <w:shd w:val="clear" w:color="auto" w:fill="auto"/>
          </w:tcPr>
          <w:p w14:paraId="4EAEDBD8"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2016</w:t>
            </w:r>
          </w:p>
        </w:tc>
        <w:tc>
          <w:tcPr>
            <w:tcW w:w="2495" w:type="dxa"/>
            <w:tcBorders>
              <w:top w:val="single" w:sz="12" w:space="0" w:color="auto"/>
            </w:tcBorders>
            <w:shd w:val="clear" w:color="auto" w:fill="auto"/>
            <w:vAlign w:val="bottom"/>
          </w:tcPr>
          <w:p w14:paraId="2534D15A"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40.016</w:t>
            </w:r>
          </w:p>
        </w:tc>
        <w:tc>
          <w:tcPr>
            <w:tcW w:w="3259" w:type="dxa"/>
            <w:tcBorders>
              <w:top w:val="single" w:sz="12" w:space="0" w:color="auto"/>
            </w:tcBorders>
            <w:shd w:val="clear" w:color="auto" w:fill="auto"/>
            <w:vAlign w:val="bottom"/>
          </w:tcPr>
          <w:p w14:paraId="7650220A"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43.900.170</w:t>
            </w:r>
          </w:p>
        </w:tc>
        <w:tc>
          <w:tcPr>
            <w:tcW w:w="1783" w:type="dxa"/>
            <w:tcBorders>
              <w:top w:val="single" w:sz="12" w:space="0" w:color="auto"/>
            </w:tcBorders>
            <w:shd w:val="clear" w:color="auto" w:fill="auto"/>
            <w:vAlign w:val="bottom"/>
          </w:tcPr>
          <w:p w14:paraId="7B36CA3F"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%2</w:t>
            </w:r>
          </w:p>
        </w:tc>
      </w:tr>
      <w:tr w:rsidR="00856523" w:rsidRPr="00417AC1" w14:paraId="4AD7383C" w14:textId="77777777" w:rsidTr="00BA03C2">
        <w:tc>
          <w:tcPr>
            <w:tcW w:w="783" w:type="dxa"/>
            <w:shd w:val="clear" w:color="auto" w:fill="auto"/>
          </w:tcPr>
          <w:p w14:paraId="2E2F6A96"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2017</w:t>
            </w:r>
          </w:p>
        </w:tc>
        <w:tc>
          <w:tcPr>
            <w:tcW w:w="2495" w:type="dxa"/>
            <w:shd w:val="clear" w:color="auto" w:fill="auto"/>
            <w:vAlign w:val="bottom"/>
          </w:tcPr>
          <w:p w14:paraId="6C18CC70"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38.976</w:t>
            </w:r>
          </w:p>
        </w:tc>
        <w:tc>
          <w:tcPr>
            <w:tcW w:w="3259" w:type="dxa"/>
            <w:shd w:val="clear" w:color="auto" w:fill="auto"/>
            <w:vAlign w:val="bottom"/>
          </w:tcPr>
          <w:p w14:paraId="0E67DDA0"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25.277.339</w:t>
            </w:r>
          </w:p>
        </w:tc>
        <w:tc>
          <w:tcPr>
            <w:tcW w:w="1783" w:type="dxa"/>
            <w:shd w:val="clear" w:color="auto" w:fill="auto"/>
            <w:vAlign w:val="bottom"/>
          </w:tcPr>
          <w:p w14:paraId="41ADFD32" w14:textId="24A2CDA8"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%0,8</w:t>
            </w:r>
          </w:p>
        </w:tc>
      </w:tr>
      <w:tr w:rsidR="00856523" w:rsidRPr="00417AC1" w14:paraId="13514AE1" w14:textId="77777777" w:rsidTr="00BA03C2">
        <w:tc>
          <w:tcPr>
            <w:tcW w:w="783" w:type="dxa"/>
            <w:shd w:val="clear" w:color="auto" w:fill="auto"/>
          </w:tcPr>
          <w:p w14:paraId="3D95442B"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2018</w:t>
            </w:r>
          </w:p>
        </w:tc>
        <w:tc>
          <w:tcPr>
            <w:tcW w:w="2495" w:type="dxa"/>
            <w:shd w:val="clear" w:color="auto" w:fill="auto"/>
            <w:vAlign w:val="bottom"/>
          </w:tcPr>
          <w:p w14:paraId="2264EE74"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46.389</w:t>
            </w:r>
          </w:p>
        </w:tc>
        <w:tc>
          <w:tcPr>
            <w:tcW w:w="3259" w:type="dxa"/>
            <w:shd w:val="clear" w:color="auto" w:fill="auto"/>
            <w:vAlign w:val="bottom"/>
          </w:tcPr>
          <w:p w14:paraId="151CA0E6"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31.036.329</w:t>
            </w:r>
          </w:p>
        </w:tc>
        <w:tc>
          <w:tcPr>
            <w:tcW w:w="1783" w:type="dxa"/>
            <w:shd w:val="clear" w:color="auto" w:fill="auto"/>
            <w:vAlign w:val="bottom"/>
          </w:tcPr>
          <w:p w14:paraId="06555958" w14:textId="00F52EE4"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%0,8</w:t>
            </w:r>
          </w:p>
        </w:tc>
      </w:tr>
      <w:tr w:rsidR="00856523" w:rsidRPr="00417AC1" w14:paraId="46C13987" w14:textId="77777777" w:rsidTr="00BA03C2">
        <w:tc>
          <w:tcPr>
            <w:tcW w:w="783" w:type="dxa"/>
            <w:shd w:val="clear" w:color="auto" w:fill="auto"/>
          </w:tcPr>
          <w:p w14:paraId="30B25F46"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2019</w:t>
            </w:r>
          </w:p>
        </w:tc>
        <w:tc>
          <w:tcPr>
            <w:tcW w:w="2495" w:type="dxa"/>
            <w:shd w:val="clear" w:color="auto" w:fill="auto"/>
            <w:vAlign w:val="bottom"/>
          </w:tcPr>
          <w:p w14:paraId="45FDC97C"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53.118</w:t>
            </w:r>
          </w:p>
        </w:tc>
        <w:tc>
          <w:tcPr>
            <w:tcW w:w="3259" w:type="dxa"/>
            <w:shd w:val="clear" w:color="auto" w:fill="auto"/>
            <w:vAlign w:val="bottom"/>
          </w:tcPr>
          <w:p w14:paraId="342777B5"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32.553.402</w:t>
            </w:r>
          </w:p>
        </w:tc>
        <w:tc>
          <w:tcPr>
            <w:tcW w:w="1783" w:type="dxa"/>
            <w:shd w:val="clear" w:color="auto" w:fill="auto"/>
            <w:vAlign w:val="bottom"/>
          </w:tcPr>
          <w:p w14:paraId="6928368A" w14:textId="06AC98F3"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%0,7</w:t>
            </w:r>
          </w:p>
        </w:tc>
      </w:tr>
      <w:tr w:rsidR="00856523" w:rsidRPr="00417AC1" w14:paraId="6B1C0309" w14:textId="77777777" w:rsidTr="00BA03C2">
        <w:tc>
          <w:tcPr>
            <w:tcW w:w="783" w:type="dxa"/>
            <w:shd w:val="clear" w:color="auto" w:fill="auto"/>
          </w:tcPr>
          <w:p w14:paraId="7DC8D15F"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2020</w:t>
            </w:r>
          </w:p>
        </w:tc>
        <w:tc>
          <w:tcPr>
            <w:tcW w:w="2495" w:type="dxa"/>
            <w:shd w:val="clear" w:color="auto" w:fill="auto"/>
            <w:vAlign w:val="bottom"/>
          </w:tcPr>
          <w:p w14:paraId="1C1527D8"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33.609</w:t>
            </w:r>
          </w:p>
        </w:tc>
        <w:tc>
          <w:tcPr>
            <w:tcW w:w="3259" w:type="dxa"/>
            <w:shd w:val="clear" w:color="auto" w:fill="auto"/>
            <w:vAlign w:val="bottom"/>
          </w:tcPr>
          <w:p w14:paraId="72A64688"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5.452.212</w:t>
            </w:r>
          </w:p>
        </w:tc>
        <w:tc>
          <w:tcPr>
            <w:tcW w:w="1783" w:type="dxa"/>
            <w:shd w:val="clear" w:color="auto" w:fill="auto"/>
            <w:vAlign w:val="bottom"/>
          </w:tcPr>
          <w:p w14:paraId="6FECD108" w14:textId="5A8E81D1"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%0,8</w:t>
            </w:r>
          </w:p>
        </w:tc>
      </w:tr>
      <w:tr w:rsidR="00856523" w:rsidRPr="00417AC1" w14:paraId="6BF1FECC" w14:textId="77777777" w:rsidTr="00BA03C2">
        <w:tc>
          <w:tcPr>
            <w:tcW w:w="783" w:type="dxa"/>
            <w:shd w:val="clear" w:color="auto" w:fill="auto"/>
          </w:tcPr>
          <w:p w14:paraId="2CAD5619" w14:textId="77777777" w:rsidR="00856523" w:rsidRPr="00417AC1" w:rsidRDefault="00856523" w:rsidP="00BA03C2">
            <w:pPr>
              <w:suppressAutoHyphens w:val="0"/>
              <w:spacing w:before="40" w:after="40" w:line="220" w:lineRule="exact"/>
              <w:ind w:right="113"/>
              <w:rPr>
                <w:rFonts w:eastAsia="Calibri"/>
                <w:bCs/>
                <w:sz w:val="18"/>
                <w:lang w:val="tr-TR"/>
              </w:rPr>
            </w:pPr>
            <w:r w:rsidRPr="00417AC1">
              <w:rPr>
                <w:rFonts w:eastAsia="Calibri"/>
                <w:bCs/>
                <w:sz w:val="18"/>
                <w:lang w:val="tr-TR"/>
              </w:rPr>
              <w:t>2021</w:t>
            </w:r>
          </w:p>
        </w:tc>
        <w:tc>
          <w:tcPr>
            <w:tcW w:w="2495" w:type="dxa"/>
            <w:shd w:val="clear" w:color="auto" w:fill="auto"/>
            <w:vAlign w:val="bottom"/>
          </w:tcPr>
          <w:p w14:paraId="10CCD13B"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46.555</w:t>
            </w:r>
          </w:p>
        </w:tc>
        <w:tc>
          <w:tcPr>
            <w:tcW w:w="3259" w:type="dxa"/>
            <w:shd w:val="clear" w:color="auto" w:fill="auto"/>
            <w:vAlign w:val="bottom"/>
          </w:tcPr>
          <w:p w14:paraId="1C83773D" w14:textId="77777777"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10.016.895</w:t>
            </w:r>
          </w:p>
        </w:tc>
        <w:tc>
          <w:tcPr>
            <w:tcW w:w="1783" w:type="dxa"/>
            <w:shd w:val="clear" w:color="auto" w:fill="auto"/>
            <w:vAlign w:val="bottom"/>
          </w:tcPr>
          <w:p w14:paraId="7A82187A" w14:textId="164ADDCB" w:rsidR="00856523" w:rsidRPr="00417AC1" w:rsidRDefault="00856523" w:rsidP="00BA03C2">
            <w:pPr>
              <w:suppressAutoHyphens w:val="0"/>
              <w:spacing w:before="40" w:after="40" w:line="220" w:lineRule="exact"/>
              <w:ind w:right="113"/>
              <w:jc w:val="right"/>
              <w:rPr>
                <w:rFonts w:eastAsia="Calibri"/>
                <w:bCs/>
                <w:sz w:val="18"/>
                <w:lang w:val="tr-TR"/>
              </w:rPr>
            </w:pPr>
            <w:r w:rsidRPr="00417AC1">
              <w:rPr>
                <w:rFonts w:eastAsia="Calibri"/>
                <w:bCs/>
                <w:sz w:val="18"/>
                <w:lang w:val="tr-TR"/>
              </w:rPr>
              <w:t>%0,6</w:t>
            </w:r>
          </w:p>
        </w:tc>
      </w:tr>
    </w:tbl>
    <w:p w14:paraId="3DC8C954" w14:textId="77777777" w:rsidR="00856523" w:rsidRPr="00417AC1" w:rsidRDefault="00856523" w:rsidP="00856523">
      <w:pPr>
        <w:pStyle w:val="SingleTxtG"/>
        <w:spacing w:before="240"/>
        <w:rPr>
          <w:lang w:val="tr-TR"/>
        </w:rPr>
      </w:pPr>
      <w:bookmarkStart w:id="27" w:name="_Hlk108009117"/>
      <w:r w:rsidRPr="00417AC1">
        <w:rPr>
          <w:lang w:val="tr-TR"/>
        </w:rPr>
        <w:t xml:space="preserve">261. </w:t>
      </w:r>
      <w:r w:rsidRPr="00417AC1">
        <w:rPr>
          <w:lang w:val="tr-TR"/>
        </w:rPr>
        <w:tab/>
        <w:t>OHAL süresince vatandaşların toplantı ve gösteri yürüyüşü haklarını kullanabilmeleri için azami hassasiyet gösterilerek her türlü güvenlik tedbiri alınmıştır. Yasal çerçevede kitlesel protestolara/etkinliklere izin verildi ve herhangi bir kısıtlama getirilmedi. OHAL'in kaldırıldığı 19 Temmuz 2018 tarihine kadar Türkiye genelinde 70.500.919 kişinin katıldığı 79.812 eylem/etkinlik düzenlendi. 819 yasa dışı protesto/faaliyete güvenlik güçleri müdahale etti ve 4.442 kişi hakkında yasal işlem başlatıldı. Buna göre müdahale edilen eylem/etkinliklerin müdahale edilmeyen eylem/etkinliklere oranı %1'dir.</w:t>
      </w:r>
    </w:p>
    <w:p w14:paraId="5AE060AC" w14:textId="77777777" w:rsidR="00856523" w:rsidRPr="00417AC1" w:rsidRDefault="00856523" w:rsidP="00856523">
      <w:pPr>
        <w:pStyle w:val="SingleTxtG"/>
        <w:rPr>
          <w:lang w:val="tr-TR"/>
        </w:rPr>
      </w:pPr>
      <w:bookmarkStart w:id="28" w:name="_Hlk108009498"/>
      <w:bookmarkEnd w:id="27"/>
      <w:r w:rsidRPr="00417AC1">
        <w:rPr>
          <w:lang w:val="tr-TR"/>
        </w:rPr>
        <w:t xml:space="preserve">262. </w:t>
      </w:r>
      <w:r w:rsidRPr="00417AC1">
        <w:rPr>
          <w:lang w:val="tr-TR"/>
        </w:rPr>
        <w:tab/>
        <w:t>OHAL öncesine göre OHAL döneminde toplam eylem/etkinlik sayısında yüzde 9,58 oranında azalma olurken, eylemci/katılımcı sayısında yüzde 45,32 artış yaşandı. OHAL'de yasa dışı protesto/faaliyet girişimi sayısında %72,60, müdahale edilen protesto/faaliyet sayısında %70,62 ve tutuklanan kişi sayısında %59,68 oranında azalma görüldü. Bu rakamlar, OHAL döneminde toplantı ve gösteri yürüyüşü yapma hakkının hiçbir kısıtlamaya tabi olmaksızın kullanıldığını kanıtlıyor.</w:t>
      </w:r>
    </w:p>
    <w:bookmarkEnd w:id="28"/>
    <w:p w14:paraId="6CE9996C" w14:textId="7FF1EFF3" w:rsidR="00856523" w:rsidRPr="00417AC1" w:rsidRDefault="00856523" w:rsidP="00856523">
      <w:pPr>
        <w:pStyle w:val="H4G"/>
        <w:rPr>
          <w:b/>
          <w:lang w:val="tr-TR"/>
        </w:rPr>
      </w:pPr>
      <w:r w:rsidRPr="00417AC1">
        <w:rPr>
          <w:lang w:val="tr-TR"/>
        </w:rPr>
        <w:tab/>
      </w:r>
      <w:r w:rsidRPr="00417AC1">
        <w:rPr>
          <w:lang w:val="tr-TR"/>
        </w:rPr>
        <w:tab/>
      </w:r>
      <w:r w:rsidR="00BA1A10" w:rsidRPr="00417AC1">
        <w:rPr>
          <w:lang w:val="tr-TR"/>
        </w:rPr>
        <w:t>LGBTİ grupların düzenlediği “Onur Yürüyüşü”</w:t>
      </w:r>
    </w:p>
    <w:p w14:paraId="58AFB680" w14:textId="77777777" w:rsidR="00856523" w:rsidRPr="00417AC1" w:rsidRDefault="00856523" w:rsidP="00856523">
      <w:pPr>
        <w:pStyle w:val="SingleTxtG"/>
        <w:rPr>
          <w:lang w:val="tr-TR"/>
        </w:rPr>
      </w:pPr>
      <w:r w:rsidRPr="00417AC1">
        <w:rPr>
          <w:lang w:val="tr-TR"/>
        </w:rPr>
        <w:t xml:space="preserve">263. </w:t>
      </w:r>
      <w:r w:rsidRPr="00417AC1">
        <w:rPr>
          <w:lang w:val="tr-TR"/>
        </w:rPr>
        <w:tab/>
        <w:t xml:space="preserve">Toplantı ve gösteri yürüyüşleri öncesinde, sırasında ve sonrasında, göstericilerin/katılımcıların kimliklerine bakılmaksızın güvenlik tedbirleri titizlikle </w:t>
      </w:r>
      <w:r w:rsidRPr="00417AC1">
        <w:rPr>
          <w:lang w:val="tr-TR"/>
        </w:rPr>
        <w:lastRenderedPageBreak/>
        <w:t>uygulanmaktadır. LGBTİ grup üyeleri mevzuat hükümlerine uymak kaydıyla herhangi bir kısıtlama olmaksızın toplantı ve gösteri yürüyüşü yapma hakkından yararlanmaktadır.</w:t>
      </w:r>
    </w:p>
    <w:p w14:paraId="67F9267D" w14:textId="426ACBDC" w:rsidR="00856523" w:rsidRPr="00417AC1" w:rsidRDefault="00856523" w:rsidP="00856523">
      <w:pPr>
        <w:pStyle w:val="SingleTxtG"/>
        <w:rPr>
          <w:lang w:val="tr-TR"/>
        </w:rPr>
      </w:pPr>
      <w:bookmarkStart w:id="29" w:name="_Hlk108015390"/>
      <w:r w:rsidRPr="00417AC1">
        <w:rPr>
          <w:lang w:val="tr-TR"/>
        </w:rPr>
        <w:t xml:space="preserve">264. </w:t>
      </w:r>
      <w:r w:rsidRPr="00417AC1">
        <w:rPr>
          <w:lang w:val="tr-TR"/>
        </w:rPr>
        <w:tab/>
      </w:r>
      <w:r w:rsidR="00BA1A10" w:rsidRPr="00417AC1">
        <w:rPr>
          <w:lang w:val="tr-TR"/>
        </w:rPr>
        <w:t xml:space="preserve">İstanbul ili Beyoğlu ilçesi İstiklal Caddesi'nde </w:t>
      </w:r>
      <w:r w:rsidRPr="00417AC1">
        <w:rPr>
          <w:lang w:val="tr-TR"/>
        </w:rPr>
        <w:t xml:space="preserve">her yıl haziran ayının son haftasında “Onur Yürüyüşü” adı altında yapılması planlanan yürüyüşle ilgili olarak ; </w:t>
      </w:r>
      <w:r w:rsidR="00BA1A10" w:rsidRPr="00417AC1">
        <w:rPr>
          <w:lang w:val="tr-TR"/>
        </w:rPr>
        <w:t>Her an yüzbinlerce yayanın ve günlük ortalama iki milyondan fazla yaya trafiğinin olduğu, İstanbul'un en merkezi ve işlek caddesi ve en çok ziyaret edilen turistik mekanı olan İstiklal Caddesi, her dönemde çok sayıda vatandaş ve turist tarafından ziyaret edilmektedir. günün saatleri. Bu koşullar dikkate alınarak, bu tür toplantı ve gösteri yürüyüşlerinin günlük yaşamın olağan akışını son derece ve dayanılmaz derecede zorlaştıracağı, gösterinin gerçekleştirilmesini engelleyebileceği dikkate alınarak İstiklal Caddesi toplantı ve gösteri yürüyüşleri için yer ve güzergah olarak belirlenmemiştir. Rutin faaliyetlerin çok sayıda ticari kaygısı üzerinde olumsuz etkisi vardır.</w:t>
      </w:r>
      <w:bookmarkEnd w:id="29"/>
    </w:p>
    <w:p w14:paraId="5C466904" w14:textId="77777777" w:rsidR="00856523" w:rsidRPr="00417AC1" w:rsidRDefault="00856523" w:rsidP="00856523">
      <w:pPr>
        <w:pStyle w:val="SingleTxtG"/>
        <w:rPr>
          <w:lang w:val="tr-TR"/>
        </w:rPr>
      </w:pPr>
      <w:bookmarkStart w:id="30" w:name="_Hlk108084382"/>
      <w:r w:rsidRPr="00417AC1">
        <w:rPr>
          <w:lang w:val="tr-TR"/>
        </w:rPr>
        <w:t xml:space="preserve">265. </w:t>
      </w:r>
      <w:r w:rsidRPr="00417AC1">
        <w:rPr>
          <w:lang w:val="tr-TR"/>
        </w:rPr>
        <w:tab/>
        <w:t>LGBTİ ve diğer bazı grupların anayasal hakları olan toplantı ve gösteri yürüyüşü düzenleme hakkını kullanmalarının engellendiği iddiaları doğru değildir. 2015-2022 yılları arasındaki yıllara bakıldığında LGBTİ grup üyelerinin düzenlediği 170 protesto/eylemlere 22.984 kişinin katıldığı görülüyor. Bu kişilerden sadece 303'ü hakkında yasa dışı eylem/etkinlik yaptıkları gerekçesiyle yasal işlem başlatıldı.</w:t>
      </w:r>
    </w:p>
    <w:p w14:paraId="1437B5F7" w14:textId="6A748EA0" w:rsidR="00856523" w:rsidRPr="00417AC1" w:rsidRDefault="00856523" w:rsidP="00856523">
      <w:pPr>
        <w:pStyle w:val="H4G"/>
        <w:rPr>
          <w:b/>
          <w:lang w:val="tr-TR"/>
        </w:rPr>
      </w:pPr>
      <w:bookmarkStart w:id="31" w:name="_Hlk108087237"/>
      <w:bookmarkEnd w:id="30"/>
      <w:r w:rsidRPr="00417AC1">
        <w:rPr>
          <w:lang w:val="tr-TR"/>
        </w:rPr>
        <w:tab/>
      </w:r>
      <w:r w:rsidRPr="00417AC1">
        <w:rPr>
          <w:lang w:val="tr-TR"/>
        </w:rPr>
        <w:tab/>
      </w:r>
      <w:r w:rsidR="00BA1A10" w:rsidRPr="00417AC1">
        <w:rPr>
          <w:lang w:val="tr-TR"/>
        </w:rPr>
        <w:t>“Cumartesi Anneleri”</w:t>
      </w:r>
    </w:p>
    <w:p w14:paraId="384C93B5" w14:textId="16731E79" w:rsidR="00856523" w:rsidRPr="00417AC1" w:rsidRDefault="00856523" w:rsidP="00856523">
      <w:pPr>
        <w:pStyle w:val="SingleTxtG"/>
        <w:rPr>
          <w:lang w:val="tr-TR"/>
        </w:rPr>
      </w:pPr>
      <w:bookmarkStart w:id="32" w:name="_Hlk108088442"/>
      <w:bookmarkEnd w:id="31"/>
      <w:r w:rsidRPr="00417AC1">
        <w:rPr>
          <w:lang w:val="tr-TR"/>
        </w:rPr>
        <w:t xml:space="preserve">266. </w:t>
      </w:r>
      <w:r w:rsidRPr="00417AC1">
        <w:rPr>
          <w:lang w:val="tr-TR"/>
        </w:rPr>
        <w:tab/>
        <w:t xml:space="preserve">Adı geçen grubun 25 Ağustos 2018'de Galatasaray Meydanı'nda düzenlemeye çalıştığı protesto, Hükümet'in </w:t>
      </w:r>
      <w:r w:rsidR="00742BC4" w:rsidRPr="00417AC1">
        <w:rPr>
          <w:lang w:val="tr-TR"/>
        </w:rPr>
        <w:t>BM Özel Prosedürlerinden gelen ortak yazıya (AL TUR 7/2021) verdiği yanıtta zaten ele alınmıştır.</w:t>
      </w:r>
    </w:p>
    <w:p w14:paraId="6CCB4B76" w14:textId="77777777" w:rsidR="00856523" w:rsidRPr="00417AC1" w:rsidRDefault="00856523" w:rsidP="00856523">
      <w:pPr>
        <w:pStyle w:val="SingleTxtG"/>
        <w:rPr>
          <w:lang w:val="tr-TR"/>
        </w:rPr>
      </w:pPr>
      <w:bookmarkStart w:id="33" w:name="_Hlk108096017"/>
      <w:bookmarkEnd w:id="32"/>
      <w:r w:rsidRPr="00417AC1">
        <w:rPr>
          <w:lang w:val="tr-TR"/>
        </w:rPr>
        <w:t xml:space="preserve">267. </w:t>
      </w:r>
      <w:r w:rsidRPr="00417AC1">
        <w:rPr>
          <w:lang w:val="tr-TR"/>
        </w:rPr>
        <w:tab/>
        <w:t xml:space="preserve">Söz konusu grup herhangi bir yasaklama yapılmamış ve herhangi bir müdahale ve kısıtlama olmaksızın, İnsan Hakları Derneği binası önünde ortalama 80 katılımcıyla, Kovid-19 salgını öncesinde de düzenli protesto eylemlerine devam etmiştir. Söz konusu bina içerisinde yapılan basın açıklamaları , COVİD-19 nedeniyle 21 Mart 2020 tarihinden (782. hafta) itibaren sosyal medyada yayınlanmakta olup, bu düzenli protesto 30 Mayıs 2022 tarihi itibarıyla 896. </w:t>
      </w:r>
      <w:r w:rsidRPr="00417AC1">
        <w:rPr>
          <w:vertAlign w:val="superscript"/>
          <w:lang w:val="tr-TR"/>
        </w:rPr>
        <w:t xml:space="preserve">haftasında </w:t>
      </w:r>
      <w:r w:rsidRPr="00417AC1">
        <w:rPr>
          <w:lang w:val="tr-TR"/>
        </w:rPr>
        <w:t xml:space="preserve">da devam </w:t>
      </w:r>
      <w:r w:rsidRPr="00417AC1">
        <w:rPr>
          <w:vertAlign w:val="superscript"/>
          <w:lang w:val="tr-TR"/>
        </w:rPr>
        <w:t>etmektedir .</w:t>
      </w:r>
    </w:p>
    <w:bookmarkEnd w:id="33"/>
    <w:p w14:paraId="4E1ADD5C" w14:textId="6A82E783" w:rsidR="00856523" w:rsidRPr="00417AC1" w:rsidRDefault="00856523" w:rsidP="00856523">
      <w:pPr>
        <w:pStyle w:val="H4G"/>
        <w:rPr>
          <w:b/>
          <w:lang w:val="tr-TR"/>
        </w:rPr>
      </w:pPr>
      <w:r w:rsidRPr="00417AC1">
        <w:rPr>
          <w:lang w:val="tr-TR"/>
        </w:rPr>
        <w:tab/>
      </w:r>
      <w:r w:rsidRPr="00417AC1">
        <w:rPr>
          <w:lang w:val="tr-TR"/>
        </w:rPr>
        <w:tab/>
      </w:r>
      <w:r w:rsidR="00742BC4" w:rsidRPr="00417AC1">
        <w:rPr>
          <w:lang w:val="tr-TR"/>
        </w:rPr>
        <w:t xml:space="preserve">Kadınlar Günü'nü </w:t>
      </w:r>
      <w:r w:rsidRPr="00417AC1">
        <w:rPr>
          <w:lang w:val="tr-TR"/>
        </w:rPr>
        <w:t>kutlamak için etkinlikler</w:t>
      </w:r>
    </w:p>
    <w:p w14:paraId="77AAF70C" w14:textId="6B1326DE" w:rsidR="00856523" w:rsidRPr="00417AC1" w:rsidRDefault="00856523" w:rsidP="00856523">
      <w:pPr>
        <w:pStyle w:val="SingleTxtG"/>
        <w:rPr>
          <w:lang w:val="tr-TR"/>
        </w:rPr>
      </w:pPr>
      <w:bookmarkStart w:id="34" w:name="_Hlk108101828"/>
      <w:r w:rsidRPr="00417AC1">
        <w:rPr>
          <w:lang w:val="tr-TR"/>
        </w:rPr>
        <w:t xml:space="preserve">268. </w:t>
      </w:r>
      <w:r w:rsidRPr="00417AC1">
        <w:rPr>
          <w:lang w:val="tr-TR"/>
        </w:rPr>
        <w:tab/>
        <w:t xml:space="preserve">8 Mart Dünya Kadınlar Günü'nü kutlama etkinlikleri </w:t>
      </w:r>
      <w:r w:rsidR="00742BC4" w:rsidRPr="00417AC1">
        <w:rPr>
          <w:lang w:val="tr-TR"/>
        </w:rPr>
        <w:t xml:space="preserve">demokratik ve özgür bir ortamda, anayasal güvenceyle desteklenerek gerçekleştirilmekte, hukuka aykırı eylemde bulunanlar hakkında yasal işlem başlatılmaktadır </w:t>
      </w:r>
      <w:r w:rsidRPr="00417AC1">
        <w:rPr>
          <w:rFonts w:eastAsia="Times New Roman"/>
          <w:bCs/>
          <w:lang w:val="tr-TR" w:eastAsia="tr-TR"/>
        </w:rPr>
        <w:t>.</w:t>
      </w:r>
    </w:p>
    <w:p w14:paraId="74D48563" w14:textId="77777777" w:rsidR="00856523" w:rsidRPr="00417AC1" w:rsidRDefault="00856523" w:rsidP="00856523">
      <w:pPr>
        <w:pStyle w:val="SingleTxtG"/>
        <w:rPr>
          <w:lang w:val="tr-TR"/>
        </w:rPr>
      </w:pPr>
      <w:bookmarkStart w:id="35" w:name="_Hlk108103016"/>
      <w:bookmarkEnd w:id="34"/>
      <w:r w:rsidRPr="00417AC1">
        <w:rPr>
          <w:lang w:val="tr-TR"/>
        </w:rPr>
        <w:t xml:space="preserve">269. </w:t>
      </w:r>
      <w:r w:rsidRPr="00417AC1">
        <w:rPr>
          <w:lang w:val="tr-TR"/>
        </w:rPr>
        <w:tab/>
        <w:t xml:space="preserve">Son 5 yılda gerçekleştirilen faaliyetler incelendiğinde, toplam 1894 faaliyete 329.767 kişinin katıldığı, 7 hukuka aykırı eylemde 96 kişi hakkında yasal işlem başlatıldığı görülmektedir. 2022 yılında gerçekleştirilen 614 etkinliğe 61.197 kişi katılmış, 8 yasa dışı eylemde 97 kişi hakkında yasal işlem başlatılmıştır </w:t>
      </w:r>
      <w:r w:rsidRPr="00417AC1">
        <w:rPr>
          <w:rFonts w:eastAsia="Times New Roman"/>
          <w:bCs/>
          <w:lang w:val="tr-TR" w:eastAsia="tr-TR"/>
        </w:rPr>
        <w:t>.</w:t>
      </w:r>
      <w:bookmarkEnd w:id="35"/>
    </w:p>
    <w:p w14:paraId="180E14E3" w14:textId="77777777" w:rsidR="00856523" w:rsidRPr="00417AC1" w:rsidRDefault="00856523" w:rsidP="00856523">
      <w:pPr>
        <w:pStyle w:val="H4G"/>
        <w:rPr>
          <w:b/>
          <w:lang w:val="tr-TR"/>
        </w:rPr>
      </w:pPr>
      <w:r w:rsidRPr="00417AC1">
        <w:rPr>
          <w:lang w:val="tr-TR"/>
        </w:rPr>
        <w:tab/>
      </w:r>
      <w:r w:rsidRPr="00417AC1">
        <w:rPr>
          <w:lang w:val="tr-TR"/>
        </w:rPr>
        <w:tab/>
        <w:t>OHAL döneminde kapatılan kurumlar ve OHAL'in faaliyetleri</w:t>
      </w:r>
    </w:p>
    <w:p w14:paraId="6F440DEC" w14:textId="77777777" w:rsidR="00856523" w:rsidRPr="00417AC1" w:rsidRDefault="00856523" w:rsidP="00856523">
      <w:pPr>
        <w:pStyle w:val="SingleTxtG"/>
        <w:rPr>
          <w:lang w:val="tr-TR"/>
        </w:rPr>
      </w:pPr>
      <w:bookmarkStart w:id="36" w:name="_Hlk108105640"/>
      <w:r w:rsidRPr="00417AC1">
        <w:rPr>
          <w:lang w:val="tr-TR"/>
        </w:rPr>
        <w:t xml:space="preserve">270. </w:t>
      </w:r>
      <w:r w:rsidRPr="00417AC1">
        <w:rPr>
          <w:lang w:val="tr-TR"/>
        </w:rPr>
        <w:tab/>
        <w:t>OHAL kapsamında çıkarılan kanun hükmünde kararnamelerle alınan tedbirleri ve bu tedbirlere karşı yapılan başvuruları incelemek üzere kurulan OHAL'in incelemeleri ve kararlarına ilişkin bilgiler yukarıdaki 64 ve 223'üncü fıkralarda yer almaktadır.</w:t>
      </w:r>
      <w:bookmarkEnd w:id="36"/>
      <w:r w:rsidRPr="00417AC1">
        <w:rPr>
          <w:lang w:val="tr-TR"/>
        </w:rPr>
        <w:t xml:space="preserve"> </w:t>
      </w:r>
    </w:p>
    <w:p w14:paraId="20D6FF30" w14:textId="77777777" w:rsidR="00856523" w:rsidRPr="00417AC1" w:rsidRDefault="00856523" w:rsidP="00856523">
      <w:pPr>
        <w:pStyle w:val="SingleTxtG"/>
        <w:rPr>
          <w:lang w:val="tr-TR"/>
        </w:rPr>
      </w:pPr>
      <w:r w:rsidRPr="00417AC1">
        <w:rPr>
          <w:lang w:val="tr-TR"/>
        </w:rPr>
        <w:t xml:space="preserve">271. </w:t>
      </w:r>
      <w:r w:rsidRPr="00417AC1">
        <w:rPr>
          <w:lang w:val="tr-TR"/>
        </w:rPr>
        <w:tab/>
        <w:t>Diğer konulara ilişkin daha fazla bilgi yukarıdaki 119 ve devamı, 222 ve 223. paragraflarda verilmektedir.</w:t>
      </w:r>
    </w:p>
    <w:p w14:paraId="73089001" w14:textId="77777777" w:rsidR="00856523" w:rsidRPr="00417AC1" w:rsidRDefault="00856523" w:rsidP="00856523">
      <w:pPr>
        <w:pStyle w:val="H4G"/>
        <w:rPr>
          <w:b/>
          <w:lang w:val="tr-TR"/>
        </w:rPr>
      </w:pPr>
      <w:r w:rsidRPr="00417AC1">
        <w:rPr>
          <w:lang w:val="tr-TR"/>
        </w:rPr>
        <w:tab/>
      </w:r>
      <w:r w:rsidRPr="00417AC1">
        <w:rPr>
          <w:lang w:val="tr-TR"/>
        </w:rPr>
        <w:tab/>
        <w:t>7262 Sayılı Kanunun Örgütlenme Özgürlüğüne İlişkin Hükümleri</w:t>
      </w:r>
    </w:p>
    <w:p w14:paraId="2A895FB7" w14:textId="5488F66C" w:rsidR="00856523" w:rsidRPr="00417AC1" w:rsidRDefault="00856523" w:rsidP="00856523">
      <w:pPr>
        <w:pStyle w:val="SingleTxtG"/>
        <w:rPr>
          <w:lang w:val="tr-TR"/>
        </w:rPr>
      </w:pPr>
      <w:r w:rsidRPr="00417AC1">
        <w:rPr>
          <w:lang w:val="tr-TR"/>
        </w:rPr>
        <w:t xml:space="preserve">272. 7262 sayılı Kanuna ilişkin bilgi </w:t>
      </w:r>
      <w:r w:rsidRPr="00417AC1">
        <w:rPr>
          <w:lang w:val="tr-TR"/>
        </w:rPr>
        <w:tab/>
      </w:r>
      <w:r w:rsidR="00742BC4" w:rsidRPr="00417AC1">
        <w:rPr>
          <w:lang w:val="tr-TR"/>
        </w:rPr>
        <w:t xml:space="preserve">, Hükümet'in BM Özel Prosedürlerinden gelen ortak tebliğe (OL TUR 3/2021) verdiği yanıtta </w:t>
      </w:r>
      <w:r w:rsidRPr="00417AC1">
        <w:rPr>
          <w:rStyle w:val="FootnoteReference"/>
          <w:szCs w:val="18"/>
          <w:lang w:val="tr-TR"/>
        </w:rPr>
        <w:footnoteReference w:id="11"/>
      </w:r>
      <w:r w:rsidRPr="00417AC1">
        <w:rPr>
          <w:lang w:val="tr-TR"/>
        </w:rPr>
        <w:t>ve 80 ve 81. paragraflarda zaten verilmiştir .</w:t>
      </w:r>
    </w:p>
    <w:p w14:paraId="7329B1F0" w14:textId="77777777" w:rsidR="00856523" w:rsidRPr="00417AC1" w:rsidRDefault="00856523" w:rsidP="00856523">
      <w:pPr>
        <w:pStyle w:val="H23G"/>
        <w:rPr>
          <w:lang w:val="tr-TR"/>
        </w:rPr>
      </w:pPr>
      <w:bookmarkStart w:id="37" w:name="_Toc110354345"/>
      <w:r w:rsidRPr="00417AC1">
        <w:rPr>
          <w:lang w:val="tr-TR"/>
        </w:rPr>
        <w:tab/>
      </w:r>
      <w:r w:rsidRPr="00417AC1">
        <w:rPr>
          <w:lang w:val="tr-TR"/>
        </w:rPr>
        <w:tab/>
        <w:t>Kamu hizmetine girme hakkı – Madde 2, 3, 19, 21, 25 ve 26</w:t>
      </w:r>
      <w:bookmarkEnd w:id="37"/>
    </w:p>
    <w:p w14:paraId="219C48D0" w14:textId="4ED64A82" w:rsidR="00856523" w:rsidRPr="00417AC1" w:rsidRDefault="00856523" w:rsidP="00856523">
      <w:pPr>
        <w:pStyle w:val="SingleTxtG"/>
        <w:rPr>
          <w:lang w:val="tr-TR"/>
        </w:rPr>
      </w:pPr>
      <w:r w:rsidRPr="00417AC1">
        <w:rPr>
          <w:lang w:val="tr-TR"/>
        </w:rPr>
        <w:t xml:space="preserve">273. </w:t>
      </w:r>
      <w:r w:rsidRPr="00417AC1">
        <w:rPr>
          <w:lang w:val="tr-TR"/>
        </w:rPr>
        <w:tab/>
        <w:t xml:space="preserve">Anayasa'nın 83/2 ve TBMM İçtüzüğü'nün 131-134. maddeleri uyarınca </w:t>
      </w:r>
      <w:r w:rsidR="00742BC4" w:rsidRPr="00417AC1">
        <w:rPr>
          <w:lang w:val="tr-TR"/>
        </w:rPr>
        <w:t xml:space="preserve">, bir milletvekilinin yasama dokunulmazlığı, isnat edilen suça dayalı olarak, münhasıran mevcut </w:t>
      </w:r>
      <w:r w:rsidR="00742BC4" w:rsidRPr="00417AC1">
        <w:rPr>
          <w:lang w:val="tr-TR"/>
        </w:rPr>
        <w:lastRenderedPageBreak/>
        <w:t>dava veya soruşturma dosyası için kaldırılabilir. TBMM kararıyla ya da yasama süreciyle anayasa değişikliğiyle. Yasama dokunulmazlığını kaldırma yetkisi yalnızca TBMM'dedir.</w:t>
      </w:r>
    </w:p>
    <w:p w14:paraId="03A21A86" w14:textId="77777777" w:rsidR="00856523" w:rsidRPr="00417AC1" w:rsidRDefault="00856523" w:rsidP="00856523">
      <w:pPr>
        <w:pStyle w:val="SingleTxtG"/>
        <w:rPr>
          <w:lang w:val="tr-TR"/>
        </w:rPr>
      </w:pPr>
      <w:r w:rsidRPr="00417AC1">
        <w:rPr>
          <w:lang w:val="tr-TR"/>
        </w:rPr>
        <w:t xml:space="preserve">274. </w:t>
      </w:r>
      <w:r w:rsidRPr="00417AC1">
        <w:rPr>
          <w:lang w:val="tr-TR"/>
        </w:rPr>
        <w:tab/>
        <w:t>Buna göre Anayasa'ya eklenen geçici 20/1 maddesinde belirtilen tarih itibarıyla yasama dokunulmazlığına ilişkin dava dosyaları ilgili makamlarda bekleyen milletvekillerinin yasama dokunulmazlıklarının nitelikli çoğunluk sağlanarak kaldırılmasına karar verilmiştir. 20 Mayıs 2016 tarih ve 6718 sayılı Kanun, ICCPR'nin 2, 3, 19, 21, 25 ve 26. maddelerini ihlal etmemektedir. Belirli veya farklı bir amaca hizmet etmez.</w:t>
      </w:r>
    </w:p>
    <w:p w14:paraId="7CE03AAD" w14:textId="77777777" w:rsidR="00856523" w:rsidRPr="00417AC1" w:rsidRDefault="00856523" w:rsidP="00856523">
      <w:pPr>
        <w:pStyle w:val="SingleTxtG"/>
        <w:rPr>
          <w:lang w:val="tr-TR"/>
        </w:rPr>
      </w:pPr>
      <w:r w:rsidRPr="00417AC1">
        <w:rPr>
          <w:lang w:val="tr-TR"/>
        </w:rPr>
        <w:t xml:space="preserve">275. </w:t>
      </w:r>
      <w:r w:rsidRPr="00417AC1">
        <w:rPr>
          <w:lang w:val="tr-TR"/>
        </w:rPr>
        <w:tab/>
        <w:t xml:space="preserve">Anayasa'nın 84/2 maddesi uyarınca 11 Mart 2021 tarihinde Cumhurbaşkanlığına sunulan Kocaeli Milletvekili Ömer Faruk Gergerlioğlu hakkındaki nihai mahkeme kararı hakkında Genel Kurul'un 60. oturumunda bilgi </w:t>
      </w:r>
      <w:r w:rsidRPr="00417AC1">
        <w:rPr>
          <w:vertAlign w:val="superscript"/>
          <w:lang w:val="tr-TR"/>
        </w:rPr>
        <w:t xml:space="preserve">verildi </w:t>
      </w:r>
      <w:r w:rsidRPr="00417AC1">
        <w:rPr>
          <w:lang w:val="tr-TR"/>
        </w:rPr>
        <w:t>. Bu süreç sonucunda söz konusu milletvekili aynı fıkra uyarınca üyeliğini kaybetmiştir. Ancak AYM'nin bireysel başvurusu üzerine ihlal tespit kararı vermesi üzerine 16 Temmuz 2021'de üyeliğine yeniden kavuştu.</w:t>
      </w:r>
    </w:p>
    <w:p w14:paraId="4138014C" w14:textId="77777777" w:rsidR="00856523" w:rsidRPr="00417AC1" w:rsidRDefault="00856523" w:rsidP="00856523">
      <w:pPr>
        <w:pStyle w:val="H4G"/>
        <w:rPr>
          <w:b/>
          <w:lang w:val="tr-TR"/>
        </w:rPr>
      </w:pPr>
      <w:r w:rsidRPr="00417AC1">
        <w:rPr>
          <w:lang w:val="tr-TR"/>
        </w:rPr>
        <w:tab/>
      </w:r>
      <w:r w:rsidRPr="00417AC1">
        <w:rPr>
          <w:lang w:val="tr-TR"/>
        </w:rPr>
        <w:tab/>
        <w:t>Seçimlere ilişkin yasal değişiklikler</w:t>
      </w:r>
    </w:p>
    <w:p w14:paraId="1C96A398" w14:textId="77777777" w:rsidR="00856523" w:rsidRPr="00417AC1" w:rsidRDefault="00856523" w:rsidP="00856523">
      <w:pPr>
        <w:pStyle w:val="SingleTxtG"/>
        <w:rPr>
          <w:lang w:val="tr-TR"/>
        </w:rPr>
      </w:pPr>
      <w:r w:rsidRPr="00417AC1">
        <w:rPr>
          <w:lang w:val="tr-TR"/>
        </w:rPr>
        <w:t xml:space="preserve">276. </w:t>
      </w:r>
      <w:r w:rsidRPr="00417AC1">
        <w:rPr>
          <w:lang w:val="tr-TR"/>
        </w:rPr>
        <w:tab/>
        <w:t>2017 yılında yapılan Anayasa değişiklikleriyle milletvekili sayısı 600'e çıkarılmış, milletvekili seçilme yaşı 18'e indirilmiş, TBMM ve Cumhurbaşkanlığı seçimlerinin beş yılda bir aynı tarihlerde yapılması planlanmıştır. gün. Demokratik katılımın ve siyasi partilerin etkisinin artırılması amacıyla cumhurbaşkanı adaylarının aday gösterilme koşulları daha uygun hale getirildi. Doğrudan halk tarafından seçilen ve esas itibarıyla siyasi bir kişilik olan Cumhurbaşkanının parti üyeliğinin sona ermesine ilişkin şart kaldırıldı. Seçimlerin yenilenmesinde sistemdeki tıkanıklıkları ortadan kaldırmak amacıyla, tek başına Cumhurbaşkanına veya TBMM'ye üye tam sayısının beşte üç çoğunluğuyla seçimlerin yenilenmesine karar verme yetkisi verildi. Denetim ve denge mekanizmasının oluşturulması amacıyla, seçimlerin yenilenmesi halinde Cumhurbaşkanlığı ve milletvekili seçimlerinin birlikte yapılması öngörülmüştü. Ayrıca bir kişinin en fazla iki dönem için Cumhurbaşkanı seçilebileceği düzenlenmiş; ancak Cumhurbaşkanının ikinci döneminde TBMM'nin seçimlerin yenilenmesine karar vermesi halinde bir kez daha aday olabilir.</w:t>
      </w:r>
    </w:p>
    <w:p w14:paraId="5A0EAFAC" w14:textId="77777777" w:rsidR="00856523" w:rsidRPr="00417AC1" w:rsidRDefault="00856523" w:rsidP="00856523">
      <w:pPr>
        <w:pStyle w:val="SingleTxtG"/>
        <w:rPr>
          <w:lang w:val="tr-TR"/>
        </w:rPr>
      </w:pPr>
      <w:r w:rsidRPr="00417AC1">
        <w:rPr>
          <w:lang w:val="tr-TR"/>
        </w:rPr>
        <w:t xml:space="preserve">277. </w:t>
      </w:r>
      <w:r w:rsidRPr="00417AC1">
        <w:rPr>
          <w:lang w:val="tr-TR"/>
        </w:rPr>
        <w:tab/>
        <w:t>2839 sayılı Kanun, uygun siyasi partilerin ittifak kurarak seçimlere katılmasına imkan tanıyacak şekilde değiştirildi. Buna bağlı olarak, 2820 sayılı Siyasi Partiler Kanunu'nda, siyasi partilerin seçimlerde diğer siyasi partilere destek verme yasağının kaldırılması amacıyla değişiklik yapıldı.</w:t>
      </w:r>
    </w:p>
    <w:p w14:paraId="00762ED5" w14:textId="77777777" w:rsidR="00856523" w:rsidRPr="00417AC1" w:rsidRDefault="00856523" w:rsidP="00856523">
      <w:pPr>
        <w:pStyle w:val="SingleTxtG"/>
        <w:rPr>
          <w:lang w:val="tr-TR"/>
        </w:rPr>
      </w:pPr>
      <w:bookmarkStart w:id="38" w:name="_Hlk110051655"/>
      <w:r w:rsidRPr="00417AC1">
        <w:rPr>
          <w:lang w:val="tr-TR"/>
        </w:rPr>
        <w:t xml:space="preserve">278. </w:t>
      </w:r>
      <w:r w:rsidRPr="00417AC1">
        <w:rPr>
          <w:lang w:val="tr-TR"/>
        </w:rPr>
        <w:tab/>
        <w:t>13 Mart 2018 tarih ve 7102 sayılı Kanun ile oy verme işleminin sağlıklı bir şekilde gerçekleştirilmesini sağlamak amacıyla, yatağa bağlı seçmenlerin oy haklarını ikametgahlarında kullanabilmeleri gibi yeni düzenlemeler getirilmiş ve oy verme işleminin düzenli olarak yapılmasına ilişkin esaslar düzenlenmiştir. oy verme bölgesi.</w:t>
      </w:r>
      <w:bookmarkEnd w:id="38"/>
      <w:r w:rsidRPr="00417AC1">
        <w:rPr>
          <w:lang w:val="tr-TR"/>
        </w:rPr>
        <w:t xml:space="preserve"> </w:t>
      </w:r>
    </w:p>
    <w:p w14:paraId="50EF5095" w14:textId="77777777" w:rsidR="00856523" w:rsidRPr="00417AC1" w:rsidRDefault="00856523" w:rsidP="00856523">
      <w:pPr>
        <w:pStyle w:val="SingleTxtG"/>
        <w:rPr>
          <w:lang w:val="tr-TR"/>
        </w:rPr>
      </w:pPr>
      <w:r w:rsidRPr="00417AC1">
        <w:rPr>
          <w:lang w:val="tr-TR"/>
        </w:rPr>
        <w:t xml:space="preserve">279. </w:t>
      </w:r>
      <w:r w:rsidRPr="00417AC1">
        <w:rPr>
          <w:lang w:val="tr-TR"/>
        </w:rPr>
        <w:tab/>
        <w:t>Yurt dışında yaşayan seçmenlerin oy verme süresi uzatıldı. 298 sayılı Kanun, siyasi partilerin ve adayların Türkçe dışında diğer dil ve lehçelerde her türlü propaganda yapmasına olanak tanıyacak şekilde değiştirildi.</w:t>
      </w:r>
    </w:p>
    <w:p w14:paraId="07F34E9B" w14:textId="77777777" w:rsidR="00856523" w:rsidRPr="00417AC1" w:rsidRDefault="00856523" w:rsidP="00856523">
      <w:pPr>
        <w:pStyle w:val="SingleTxtG"/>
        <w:rPr>
          <w:lang w:val="tr-TR"/>
        </w:rPr>
      </w:pPr>
      <w:r w:rsidRPr="00417AC1">
        <w:rPr>
          <w:lang w:val="tr-TR"/>
        </w:rPr>
        <w:t xml:space="preserve">280. </w:t>
      </w:r>
      <w:r w:rsidRPr="00417AC1">
        <w:rPr>
          <w:lang w:val="tr-TR"/>
        </w:rPr>
        <w:tab/>
        <w:t>6 Nisan 2022 tarihinde yürürlüğe giren 7393 sayılı Kanun, toplumun daha geniş bir kesiminin ve daha fazla siyasi partinin seçime girmesi amacıyla genel seçimlerde uygulanan %10 barajını %7'ye düşürmek amacıyla seçim mevzuatında değişiklik yapmıştır. Mecliste temsil edilir.</w:t>
      </w:r>
    </w:p>
    <w:p w14:paraId="1C1B5386" w14:textId="77777777" w:rsidR="00856523" w:rsidRPr="00417AC1" w:rsidRDefault="00856523" w:rsidP="00856523">
      <w:pPr>
        <w:pStyle w:val="H4G"/>
        <w:rPr>
          <w:b/>
          <w:lang w:val="tr-TR"/>
        </w:rPr>
      </w:pPr>
      <w:r w:rsidRPr="00417AC1">
        <w:rPr>
          <w:lang w:val="tr-TR"/>
        </w:rPr>
        <w:tab/>
      </w:r>
      <w:r w:rsidRPr="00417AC1">
        <w:rPr>
          <w:lang w:val="tr-TR"/>
        </w:rPr>
        <w:tab/>
        <w:t>SEC tarafından takip edilen kararlar ve şikayet prosedürü</w:t>
      </w:r>
    </w:p>
    <w:p w14:paraId="5F5FEC88" w14:textId="77777777" w:rsidR="00856523" w:rsidRPr="00417AC1" w:rsidRDefault="00856523" w:rsidP="00856523">
      <w:pPr>
        <w:pStyle w:val="SingleTxtG"/>
        <w:rPr>
          <w:lang w:val="tr-TR"/>
        </w:rPr>
      </w:pPr>
      <w:r w:rsidRPr="00417AC1">
        <w:rPr>
          <w:lang w:val="tr-TR"/>
        </w:rPr>
        <w:t xml:space="preserve">281. </w:t>
      </w:r>
      <w:r w:rsidRPr="00417AC1">
        <w:rPr>
          <w:lang w:val="tr-TR"/>
        </w:rPr>
        <w:tab/>
        <w:t>Seçim mevzuatı, seçim takvimi sırasında, oylama gününde ve oylama gününden sonra yapılan tüm itirazların ve yapılan şikayetlerin ele alınmasına yönelik hükümler içermektedir. 298 sayılı Kanun'un 110 ila 132. maddeleri seçim işlemlerine itirazlara ilişkin hükümler içermektedir.</w:t>
      </w:r>
    </w:p>
    <w:p w14:paraId="7E0207BA" w14:textId="77777777" w:rsidR="00856523" w:rsidRPr="00417AC1" w:rsidRDefault="00856523" w:rsidP="00856523">
      <w:pPr>
        <w:pStyle w:val="SingleTxtG"/>
        <w:rPr>
          <w:lang w:val="tr-TR"/>
        </w:rPr>
      </w:pPr>
      <w:r w:rsidRPr="00417AC1">
        <w:rPr>
          <w:lang w:val="tr-TR"/>
        </w:rPr>
        <w:t xml:space="preserve">282. </w:t>
      </w:r>
      <w:r w:rsidRPr="00417AC1">
        <w:rPr>
          <w:lang w:val="tr-TR"/>
        </w:rPr>
        <w:tab/>
        <w:t xml:space="preserve">YSK, Anayasa'nın 79. maddesi uyarınca bazı halleri mutlak hukuka aykırılık olarak görmekte ve yapılan itirazları değerlendirmektedir. Buna göre, 298 sayılı Kanunun 130'uncu maddesinde belirtildiği üzere adaylıkların kesinleşmesi sonrasında, söz konusu adayın Türk vatandaşı olmadığı, kanunda belirtilen yaşını doldurmadığı, okuma yazma bilmediğinin veya Kendisini seçime giremeyecek duruma getiren suçlardan dolayı mahkum edilmesi halinde bu durumlar, kendisinin seçime katılma yeterliliğini, seçim belgesinin geçerliliğini veya seçim </w:t>
      </w:r>
      <w:r w:rsidRPr="00417AC1">
        <w:rPr>
          <w:lang w:val="tr-TR"/>
        </w:rPr>
        <w:lastRenderedPageBreak/>
        <w:t>sonucunu etkileyen olgular olarak kabul edilir. SEC, bu durumlara ilişkin iddia ve itirazları, mutlak hukuka aykırılık gerekçesiyle dilediği zaman inceleyip nihai karara bağlayabilir.</w:t>
      </w:r>
    </w:p>
    <w:p w14:paraId="2EEF611C" w14:textId="77777777" w:rsidR="00856523" w:rsidRPr="00417AC1" w:rsidRDefault="00856523" w:rsidP="00856523">
      <w:pPr>
        <w:pStyle w:val="H4G"/>
        <w:rPr>
          <w:b/>
          <w:lang w:val="tr-TR"/>
        </w:rPr>
      </w:pPr>
      <w:r w:rsidRPr="00417AC1">
        <w:rPr>
          <w:lang w:val="tr-TR"/>
        </w:rPr>
        <w:tab/>
      </w:r>
      <w:r w:rsidRPr="00417AC1">
        <w:rPr>
          <w:lang w:val="tr-TR"/>
        </w:rPr>
        <w:tab/>
        <w:t>OHAL döneminde yapılan seçimler</w:t>
      </w:r>
    </w:p>
    <w:p w14:paraId="306D3070" w14:textId="148D6A7F" w:rsidR="00856523" w:rsidRPr="00417AC1" w:rsidRDefault="00856523" w:rsidP="00856523">
      <w:pPr>
        <w:pStyle w:val="SingleTxtG"/>
        <w:rPr>
          <w:lang w:val="tr-TR"/>
        </w:rPr>
      </w:pPr>
      <w:r w:rsidRPr="00417AC1">
        <w:rPr>
          <w:lang w:val="tr-TR"/>
        </w:rPr>
        <w:t xml:space="preserve">283. </w:t>
      </w:r>
      <w:r w:rsidRPr="00417AC1">
        <w:rPr>
          <w:lang w:val="tr-TR"/>
        </w:rPr>
        <w:tab/>
        <w:t xml:space="preserve">2017 yılı Anayasa değişikliğine ilişkin yapılan referandumla ilgili olarak; TBMM Genel Kurulu tarafından 21 Ocak 2017 tarihinde kabul edilen 6771 sayılı Türkiye Cumhuriyeti Anayasasında Değişiklik Yapılmasına Dair Kanun, 11 Şubat 2017 tarihli Resmi Gazete'de yayımlandı. Referandumda, </w:t>
      </w:r>
      <w:r w:rsidR="00BA1A10" w:rsidRPr="00417AC1">
        <w:rPr>
          <w:i/>
          <w:iCs/>
          <w:lang w:val="tr-TR"/>
        </w:rPr>
        <w:t xml:space="preserve">“Anayasa değişikliği referandumunun, anayasa değişikliğinin Resmi Gazete'de yayımlanmasından altmış gün sonra ilk Pazar günü yapılacağı” belirtiliyor. </w:t>
      </w:r>
      <w:r w:rsidRPr="00417AC1">
        <w:rPr>
          <w:lang w:val="tr-TR"/>
        </w:rPr>
        <w:t>Bu hükümler uyarınca 16 Nisan 2017 Pazar günü referandum yapıldı.</w:t>
      </w:r>
    </w:p>
    <w:p w14:paraId="67E7F42E" w14:textId="77777777" w:rsidR="00856523" w:rsidRPr="00417AC1" w:rsidRDefault="00856523" w:rsidP="00856523">
      <w:pPr>
        <w:pStyle w:val="SingleTxtG"/>
        <w:rPr>
          <w:lang w:val="tr-TR"/>
        </w:rPr>
      </w:pPr>
      <w:r w:rsidRPr="00417AC1">
        <w:rPr>
          <w:lang w:val="tr-TR"/>
        </w:rPr>
        <w:t xml:space="preserve">284. 2018 yılında yapılan </w:t>
      </w:r>
      <w:r w:rsidRPr="00417AC1">
        <w:rPr>
          <w:lang w:val="tr-TR"/>
        </w:rPr>
        <w:tab/>
        <w:t>Cumhurbaşkanlığı ve 27. Dönem Milletvekili Genel Seçimleri ile ilgili olarak; TBMM Genel Kurulunun 20/04/2018 tarihli 89. oturumunda kabul edilen 1183 sayılı Karar ile milletvekili genel seçimlerinin yenilenerek 24 Temmuz 2018 Pazar günü yeni seçim yapılmasına; ve bu Karar Resmi Gazete'de yayımlandı. TBMM'nin bu kararı doğrultusunda 24 Haziran 2018 tarihinde Cumhurbaşkanlığı Seçimi ve 27. Dönem Milletvekili Genel Seçimleri yapılmıştır.</w:t>
      </w:r>
    </w:p>
    <w:p w14:paraId="488F6B17" w14:textId="77777777" w:rsidR="00856523" w:rsidRPr="00417AC1" w:rsidRDefault="00856523" w:rsidP="00856523">
      <w:pPr>
        <w:pStyle w:val="SingleTxtG"/>
        <w:rPr>
          <w:lang w:val="tr-TR"/>
        </w:rPr>
      </w:pPr>
      <w:r w:rsidRPr="00417AC1">
        <w:rPr>
          <w:lang w:val="tr-TR"/>
        </w:rPr>
        <w:t xml:space="preserve">285. </w:t>
      </w:r>
      <w:r w:rsidRPr="00417AC1">
        <w:rPr>
          <w:lang w:val="tr-TR"/>
        </w:rPr>
        <w:tab/>
        <w:t>Anayasa'nın 127/3 maddesinde mahalli idareler seçimlerinin beş yılda bir yapılması öngörülmektedir. Söz konusu seçimler, Anayasa ve 2972 sayılı Kanun uyarınca 31 Mart 2019 Pazar günü (OHAL kaldırıldıktan sonra) yapılmıştır.</w:t>
      </w:r>
    </w:p>
    <w:p w14:paraId="410C3E27" w14:textId="77777777" w:rsidR="00856523" w:rsidRPr="00417AC1" w:rsidRDefault="00856523" w:rsidP="00856523">
      <w:pPr>
        <w:pStyle w:val="H4G"/>
        <w:rPr>
          <w:b/>
          <w:lang w:val="tr-TR"/>
        </w:rPr>
      </w:pPr>
      <w:r w:rsidRPr="00417AC1">
        <w:rPr>
          <w:lang w:val="tr-TR"/>
        </w:rPr>
        <w:tab/>
      </w:r>
      <w:r w:rsidRPr="00417AC1">
        <w:rPr>
          <w:lang w:val="tr-TR"/>
        </w:rPr>
        <w:tab/>
        <w:t>Seçim kampanyaları</w:t>
      </w:r>
    </w:p>
    <w:p w14:paraId="0DB92E1F" w14:textId="77777777" w:rsidR="00856523" w:rsidRPr="00417AC1" w:rsidRDefault="00856523" w:rsidP="00856523">
      <w:pPr>
        <w:pStyle w:val="SingleTxtG"/>
        <w:rPr>
          <w:lang w:val="tr-TR"/>
        </w:rPr>
      </w:pPr>
      <w:r w:rsidRPr="00417AC1">
        <w:rPr>
          <w:lang w:val="tr-TR"/>
        </w:rPr>
        <w:t xml:space="preserve">286. </w:t>
      </w:r>
      <w:r w:rsidRPr="00417AC1">
        <w:rPr>
          <w:lang w:val="tr-TR"/>
        </w:rPr>
        <w:tab/>
        <w:t>Seçimin açılış gününden oy verme gününe kadar geçen süreyi kapsayan seçim döneminde demokratik seçimlerin teşviki amacıyla uyulması gereken usul ve esaslar ilgili kanunlarla düzenlenir. YSK, siyasi partilerin ve bağımsız adayların oy verme günü öncesinde özgürlük, eşitlik ve bağımsızlık temelinde kendilerini tanıtmalarına ve diğer siyasi partiler ve bağımsız adaylarla rekabet edebilmelerine olanak sağlayacak bir ortamın yaratılması amacıyla gerekli tüm tedbirleri almıştır. programlar ve projeler. Seçim takviminde propaganda yasağına ve seçim kampanyaları sırasında seçim kurallarının ihlal edilmesine ilişkin tüm itirazlar il ve ilçe seçim kurulları ile YSK tarafından incelenerek nihai karara bağlandı.</w:t>
      </w:r>
    </w:p>
    <w:p w14:paraId="142B0779" w14:textId="77777777" w:rsidR="00856523" w:rsidRPr="00417AC1" w:rsidRDefault="00856523" w:rsidP="00856523">
      <w:pPr>
        <w:pStyle w:val="H4G"/>
        <w:rPr>
          <w:b/>
          <w:lang w:val="tr-TR"/>
        </w:rPr>
      </w:pPr>
      <w:r w:rsidRPr="00417AC1">
        <w:rPr>
          <w:lang w:val="tr-TR"/>
        </w:rPr>
        <w:tab/>
      </w:r>
      <w:r w:rsidRPr="00417AC1">
        <w:rPr>
          <w:lang w:val="tr-TR"/>
        </w:rPr>
        <w:tab/>
        <w:t>2019 Mahalli İdareler Seçimleri</w:t>
      </w:r>
    </w:p>
    <w:p w14:paraId="51CA66E0" w14:textId="77777777" w:rsidR="00856523" w:rsidRPr="00417AC1" w:rsidRDefault="00856523" w:rsidP="00856523">
      <w:pPr>
        <w:pStyle w:val="SingleTxtG"/>
        <w:rPr>
          <w:lang w:val="tr-TR"/>
        </w:rPr>
      </w:pPr>
      <w:r w:rsidRPr="00417AC1">
        <w:rPr>
          <w:lang w:val="tr-TR"/>
        </w:rPr>
        <w:t xml:space="preserve">287. </w:t>
      </w:r>
      <w:r w:rsidRPr="00417AC1">
        <w:rPr>
          <w:lang w:val="tr-TR"/>
        </w:rPr>
        <w:tab/>
        <w:t>2019 yılında yapılan mahalli idareler seçimlerinde YSK, Adıyaman ili Besni ilçesine bağlı Kesmetepe köyünde yapılan belediye başkanlığı seçimini, Artvin ili Yusufeli ilçesinde yapılan belediye başkanlığı seçimini, Denizli ili Honaz ilçesinde yapılan belediye başkanlığı seçimini, Denizli ili Honaz ilçesinde yapılan belediye başkanlığı seçimini iptal etmiştir. Kırıkkale'nin Keskin ilçesinde yapılan seçimler ve İstanbul Büyükşehir Belediyesi'nde yapılan belediye başkanlığı seçimlerinde, seçim sonuçlarını etkileyebilecek itirazlar nedeniyle, bu bölgelerdeki seçimlerin yenilenmesine karar verildi.</w:t>
      </w:r>
    </w:p>
    <w:p w14:paraId="5CD988DF" w14:textId="77777777" w:rsidR="00856523" w:rsidRPr="00417AC1" w:rsidRDefault="00856523" w:rsidP="00856523">
      <w:pPr>
        <w:pStyle w:val="SingleTxtG"/>
        <w:rPr>
          <w:lang w:val="tr-TR"/>
        </w:rPr>
      </w:pPr>
      <w:r w:rsidRPr="00417AC1">
        <w:rPr>
          <w:lang w:val="tr-TR"/>
        </w:rPr>
        <w:t xml:space="preserve">288. </w:t>
      </w:r>
      <w:r w:rsidRPr="00417AC1">
        <w:rPr>
          <w:lang w:val="tr-TR"/>
        </w:rPr>
        <w:tab/>
        <w:t>Seçim mevzuatına göre tutuklular seçime katılabilir. Ancak tutukluluk nedeniyle seçim kampanyalarına katılımları kısıtlanır. Seçim mevzuatında tutuklu adayların seçim kampanyaları ve propaganda faaliyetleri ayrıca düzenlenmemiştir.</w:t>
      </w:r>
    </w:p>
    <w:p w14:paraId="2064C9A0" w14:textId="4C165D70" w:rsidR="00856523" w:rsidRPr="00417AC1" w:rsidRDefault="00856523" w:rsidP="00856523">
      <w:pPr>
        <w:pStyle w:val="SingleTxtG"/>
        <w:rPr>
          <w:lang w:val="tr-TR"/>
        </w:rPr>
      </w:pPr>
      <w:r w:rsidRPr="00417AC1">
        <w:rPr>
          <w:lang w:val="tr-TR"/>
        </w:rPr>
        <w:t xml:space="preserve">289. </w:t>
      </w:r>
      <w:r w:rsidRPr="00417AC1">
        <w:rPr>
          <w:lang w:val="tr-TR"/>
        </w:rPr>
        <w:tab/>
        <w:t xml:space="preserve">İl seçim kurulu, adaylık koşullarındaki eksiklik veya uyuşmazlık nedeniyle adaylara yapılacak itirazları karara bağlarken, YSK, büyükşehir belediye başkanlığı seçimlerinde adaylara karşı yapılan itirazları 2972 sayılı Kanunun 15'inci maddesi uyarınca karara bağlar. ve 298 sayılı Kanun'un 125'inci maddesi. Mahalli idareler genel seçimleri aday listesi kesinleştikten sonra, belediye başkanlığına seçilen bazı kişilerin, 6564 sayılı Kanunun 130'uncu maddesinde belirtilen süreler içinde yapılan itirazlar üzerine, Kanun Hükmünde Kararname ile kamu görevinden süresiz olarak ihraç edildikleri tespit edildi. 298 Sayılı Kanun veya ilçe seçim kurullarının </w:t>
      </w:r>
      <w:r w:rsidR="00742BC4" w:rsidRPr="00417AC1">
        <w:rPr>
          <w:lang w:val="tr-TR"/>
        </w:rPr>
        <w:t>görüş talepleri üzerine; dolayısıyla en çok oyu alan ikinci adaylara seçim belgesi verildi.</w:t>
      </w:r>
    </w:p>
    <w:p w14:paraId="5597C734" w14:textId="2264E3FB" w:rsidR="00856523" w:rsidRPr="00417AC1" w:rsidRDefault="00856523" w:rsidP="00856523">
      <w:pPr>
        <w:pStyle w:val="SingleTxtG"/>
        <w:rPr>
          <w:lang w:val="tr-TR"/>
        </w:rPr>
      </w:pPr>
      <w:r w:rsidRPr="00417AC1">
        <w:rPr>
          <w:bCs/>
          <w:lang w:val="tr-TR"/>
        </w:rPr>
        <w:t xml:space="preserve">290. </w:t>
      </w:r>
      <w:r w:rsidRPr="00417AC1">
        <w:rPr>
          <w:bCs/>
          <w:lang w:val="tr-TR"/>
        </w:rPr>
        <w:tab/>
      </w:r>
      <w:r w:rsidRPr="00417AC1">
        <w:rPr>
          <w:lang w:val="tr-TR"/>
        </w:rPr>
        <w:t xml:space="preserve">İtiraz veya görüş taleplerine ilişkin YSK kararlarına göre, kamu görevinden ihraç edilenlere, seçme seçilme haklarını kaybettikleri için değil, istihdam edilemedikleri için seçme belgesi verilmemiştir. kamu sektöründe çalışıyordu ve bu nedenle belediye başkanlığı görevini üstlenemedi. Bu nedenle YSK, 2972 sayılı Kanun'un 16. maddesini </w:t>
      </w:r>
      <w:r w:rsidRPr="00417AC1">
        <w:rPr>
          <w:i/>
          <w:lang w:val="tr-TR"/>
        </w:rPr>
        <w:t xml:space="preserve">gerekli </w:t>
      </w:r>
      <w:r w:rsidRPr="00417AC1">
        <w:rPr>
          <w:i/>
          <w:lang w:val="tr-TR"/>
        </w:rPr>
        <w:lastRenderedPageBreak/>
        <w:t xml:space="preserve">değişikliklerle </w:t>
      </w:r>
      <w:r w:rsidRPr="00417AC1">
        <w:rPr>
          <w:lang w:val="tr-TR"/>
        </w:rPr>
        <w:t>uygulayarak ve 2972 sayılı Kanun'un 2. maddesi uyarınca ikinci olan kişinin çoğunluk sistemine göre seçilmiş sayılmasına karar verdi.</w:t>
      </w:r>
    </w:p>
    <w:p w14:paraId="174F86ED" w14:textId="77777777" w:rsidR="00856523" w:rsidRPr="00417AC1" w:rsidRDefault="00856523" w:rsidP="00F9741F">
      <w:pPr>
        <w:jc w:val="center"/>
        <w:rPr>
          <w:u w:val="single"/>
          <w:lang w:val="tr-TR"/>
        </w:rPr>
      </w:pPr>
      <w:r w:rsidRPr="00417AC1">
        <w:rPr>
          <w:u w:val="single"/>
          <w:lang w:val="tr-TR"/>
        </w:rPr>
        <w:tab/>
      </w:r>
      <w:r w:rsidRPr="00417AC1">
        <w:rPr>
          <w:u w:val="single"/>
          <w:lang w:val="tr-TR"/>
        </w:rPr>
        <w:tab/>
      </w:r>
      <w:r w:rsidRPr="00417AC1">
        <w:rPr>
          <w:u w:val="single"/>
          <w:lang w:val="tr-TR"/>
        </w:rPr>
        <w:tab/>
      </w:r>
    </w:p>
    <w:sectPr w:rsidR="00856523" w:rsidRPr="00417AC1" w:rsidSect="00B62B4F">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1EAC" w14:textId="77777777" w:rsidR="00B62B4F" w:rsidRPr="00B903E5" w:rsidRDefault="00B62B4F" w:rsidP="00B903E5">
      <w:pPr>
        <w:pStyle w:val="Footer"/>
      </w:pPr>
    </w:p>
  </w:endnote>
  <w:endnote w:type="continuationSeparator" w:id="0">
    <w:p w14:paraId="170E81EF" w14:textId="77777777" w:rsidR="00B62B4F" w:rsidRPr="00B903E5" w:rsidRDefault="00B62B4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6FD" w14:textId="77777777" w:rsidR="00856523" w:rsidRDefault="00856523" w:rsidP="00856523">
    <w:pPr>
      <w:pStyle w:val="Footer"/>
      <w:tabs>
        <w:tab w:val="right" w:pos="9638"/>
      </w:tabs>
    </w:pPr>
    <w:r w:rsidRPr="00856523">
      <w:rPr>
        <w:b/>
        <w:bCs/>
        <w:sz w:val="18"/>
      </w:rPr>
      <w:fldChar w:fldCharType="begin"/>
    </w:r>
    <w:r w:rsidRPr="00856523">
      <w:rPr>
        <w:b/>
        <w:bCs/>
        <w:sz w:val="18"/>
      </w:rPr>
      <w:instrText xml:space="preserve"> PAGE  \* MERGEFORMAT </w:instrText>
    </w:r>
    <w:r w:rsidRPr="00856523">
      <w:rPr>
        <w:b/>
        <w:bCs/>
        <w:sz w:val="18"/>
      </w:rPr>
      <w:fldChar w:fldCharType="separate"/>
    </w:r>
    <w:r w:rsidRPr="00856523">
      <w:rPr>
        <w:b/>
        <w:bCs/>
        <w:noProof/>
        <w:sz w:val="18"/>
      </w:rPr>
      <w:t xml:space="preserve">2 </w:t>
    </w:r>
    <w:r w:rsidRPr="00856523">
      <w:rPr>
        <w:b/>
        <w:bCs/>
        <w:sz w:val="18"/>
      </w:rPr>
      <w:fldChar w:fldCharType="end"/>
    </w:r>
    <w:r>
      <w:tab/>
      <w:t>GE.23-07745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D201" w14:textId="77777777" w:rsidR="00856523" w:rsidRDefault="00856523" w:rsidP="00856523">
    <w:pPr>
      <w:pStyle w:val="Footer"/>
      <w:tabs>
        <w:tab w:val="right" w:pos="9638"/>
      </w:tabs>
    </w:pPr>
    <w:r>
      <w:t xml:space="preserve">GE.23-07745 </w:t>
    </w:r>
    <w:r>
      <w:tab/>
    </w:r>
    <w:r w:rsidRPr="00856523">
      <w:rPr>
        <w:b/>
        <w:bCs/>
        <w:sz w:val="18"/>
      </w:rPr>
      <w:fldChar w:fldCharType="begin"/>
    </w:r>
    <w:r w:rsidRPr="00856523">
      <w:rPr>
        <w:b/>
        <w:bCs/>
        <w:sz w:val="18"/>
      </w:rPr>
      <w:instrText xml:space="preserve"> PAGE  \* MERGEFORMAT </w:instrText>
    </w:r>
    <w:r w:rsidRPr="00856523">
      <w:rPr>
        <w:b/>
        <w:bCs/>
        <w:sz w:val="18"/>
      </w:rPr>
      <w:fldChar w:fldCharType="separate"/>
    </w:r>
    <w:r w:rsidRPr="00856523">
      <w:rPr>
        <w:b/>
        <w:bCs/>
        <w:noProof/>
        <w:sz w:val="18"/>
      </w:rPr>
      <w:t>3</w:t>
    </w:r>
    <w:r w:rsidRPr="008565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8F10" w14:textId="77777777" w:rsidR="00856523" w:rsidRDefault="00856523">
    <w:pPr>
      <w:pStyle w:val="Footer"/>
      <w:rPr>
        <w:sz w:val="20"/>
      </w:rPr>
    </w:pPr>
    <w:r w:rsidRPr="0027112F">
      <w:rPr>
        <w:noProof/>
        <w:lang w:val="en-US"/>
      </w:rPr>
      <w:drawing>
        <wp:anchor distT="0" distB="0" distL="114300" distR="114300" simplePos="0" relativeHeight="251659264" behindDoc="0" locked="1" layoutInCell="1" allowOverlap="1" wp14:anchorId="6A702581" wp14:editId="6B5BC4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6316C7" w14:textId="0E145AC4" w:rsidR="00856523" w:rsidRPr="00856523" w:rsidRDefault="00856523" w:rsidP="00856523">
    <w:pPr>
      <w:pStyle w:val="Footer"/>
      <w:tabs>
        <w:tab w:val="right" w:pos="7370"/>
      </w:tabs>
      <w:rPr>
        <w:sz w:val="20"/>
      </w:rPr>
    </w:pPr>
    <w:r>
      <w:rPr>
        <w:sz w:val="20"/>
      </w:rPr>
      <w:t xml:space="preserve">GE.23-07745 (E) </w:t>
    </w:r>
    <w:r>
      <w:rPr>
        <w:noProof/>
        <w:sz w:val="20"/>
      </w:rPr>
      <w:drawing>
        <wp:anchor distT="0" distB="0" distL="114300" distR="114300" simplePos="0" relativeHeight="251660288" behindDoc="0" locked="0" layoutInCell="1" allowOverlap="1" wp14:anchorId="3A93B9C5" wp14:editId="504A8D8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A4A">
      <w:rPr>
        <w:sz w:val="20"/>
      </w:rPr>
      <w:t>270423 270423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624C" w14:textId="77777777" w:rsidR="00B62B4F" w:rsidRPr="00B903E5" w:rsidRDefault="00B62B4F" w:rsidP="00B903E5">
      <w:pPr>
        <w:tabs>
          <w:tab w:val="right" w:pos="2155"/>
        </w:tabs>
        <w:spacing w:after="80" w:line="240" w:lineRule="auto"/>
        <w:ind w:left="680"/>
      </w:pPr>
      <w:r>
        <w:rPr>
          <w:u w:val="single"/>
        </w:rPr>
        <w:tab/>
      </w:r>
    </w:p>
  </w:footnote>
  <w:footnote w:type="continuationSeparator" w:id="0">
    <w:p w14:paraId="506F4359" w14:textId="77777777" w:rsidR="00B62B4F" w:rsidRPr="00B903E5" w:rsidRDefault="00B62B4F" w:rsidP="00B903E5">
      <w:pPr>
        <w:tabs>
          <w:tab w:val="right" w:pos="2155"/>
        </w:tabs>
        <w:spacing w:after="80" w:line="240" w:lineRule="auto"/>
        <w:ind w:left="680"/>
      </w:pPr>
      <w:r>
        <w:rPr>
          <w:u w:val="single"/>
        </w:rPr>
        <w:tab/>
      </w:r>
    </w:p>
  </w:footnote>
  <w:footnote w:id="1">
    <w:p w14:paraId="415539B8" w14:textId="77777777" w:rsidR="00856523" w:rsidRPr="0027491E" w:rsidRDefault="00856523" w:rsidP="00856523">
      <w:pPr>
        <w:pStyle w:val="FootnoteText"/>
      </w:pPr>
      <w:r w:rsidRPr="005073AB">
        <w:tab/>
      </w:r>
      <w:r w:rsidRPr="005073AB">
        <w:rPr>
          <w:rStyle w:val="FootnoteReference"/>
          <w:sz w:val="20"/>
          <w:vertAlign w:val="baseline"/>
        </w:rPr>
        <w:t xml:space="preserve">* </w:t>
      </w:r>
      <w:r w:rsidRPr="005073AB">
        <w:tab/>
      </w:r>
      <w:r>
        <w:t>Mevcut belge resmi düzenleme yapılmadan yayınlanmaktadır.</w:t>
      </w:r>
    </w:p>
  </w:footnote>
  <w:footnote w:id="2">
    <w:p w14:paraId="7D94305E" w14:textId="45788145"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1" w:history="1">
        <w:r w:rsidRPr="00391D91">
          <w:rPr>
            <w:rStyle w:val="Hyperlink"/>
            <w:szCs w:val="18"/>
          </w:rPr>
          <w:t xml:space="preserve">https://spcommreports.ohchr.org/TMResultsBase/DownLoadFile?gId=35641 </w:t>
        </w:r>
      </w:hyperlink>
      <w:r w:rsidRPr="006716F5">
        <w:rPr>
          <w:szCs w:val="18"/>
        </w:rPr>
        <w:t xml:space="preserve">ve </w:t>
      </w:r>
      <w:hyperlink r:id="rId2" w:history="1">
        <w:r w:rsidRPr="006716F5">
          <w:rPr>
            <w:rStyle w:val="Hyperlink"/>
            <w:szCs w:val="18"/>
          </w:rPr>
          <w:t xml:space="preserve">https://spcommreports.ohchr.org/TMResultsBase/DownLoadFile?gId=36144 </w:t>
        </w:r>
      </w:hyperlink>
      <w:r w:rsidRPr="006716F5">
        <w:rPr>
          <w:szCs w:val="18"/>
        </w:rPr>
        <w:t>.</w:t>
      </w:r>
    </w:p>
  </w:footnote>
  <w:footnote w:id="3">
    <w:p w14:paraId="39106EE6" w14:textId="716AAEF5"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3" w:history="1">
        <w:r w:rsidR="00056409" w:rsidRPr="000F5755">
          <w:rPr>
            <w:rStyle w:val="Hyperlink"/>
            <w:szCs w:val="18"/>
          </w:rPr>
          <w:t xml:space="preserve">https://inhak.adalet.gov.tr/Resimler/SayfaDokuman/1262021081047Action_Plan_On_Human_ </w:t>
        </w:r>
      </w:hyperlink>
      <w:r w:rsidR="00056409" w:rsidRPr="000F5755">
        <w:rPr>
          <w:rStyle w:val="Hyperlink"/>
          <w:szCs w:val="18"/>
        </w:rPr>
        <w:br/>
      </w:r>
      <w:hyperlink r:id="rId4" w:history="1">
        <w:r w:rsidR="00056409" w:rsidRPr="000F5755">
          <w:rPr>
            <w:rStyle w:val="Hyperlink"/>
            <w:szCs w:val="18"/>
          </w:rPr>
          <w:t xml:space="preserve">Rights.pdf </w:t>
        </w:r>
      </w:hyperlink>
      <w:r w:rsidR="00056409" w:rsidRPr="00056409">
        <w:t>.</w:t>
      </w:r>
    </w:p>
  </w:footnote>
  <w:footnote w:id="4">
    <w:p w14:paraId="467B44FF"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5" w:history="1">
        <w:r w:rsidRPr="00391D91">
          <w:rPr>
            <w:rStyle w:val="Hyperlink"/>
            <w:szCs w:val="18"/>
          </w:rPr>
          <w:t xml:space="preserve">https://hudoc.echr.coe.int/eng?i=001-211073 </w:t>
        </w:r>
      </w:hyperlink>
      <w:r w:rsidRPr="00507004">
        <w:t>.</w:t>
      </w:r>
    </w:p>
  </w:footnote>
  <w:footnote w:id="5">
    <w:p w14:paraId="0212C381"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6" w:history="1">
        <w:r w:rsidRPr="00391D91">
          <w:rPr>
            <w:rStyle w:val="Hyperlink"/>
            <w:szCs w:val="18"/>
          </w:rPr>
          <w:t xml:space="preserve">https://hudoc.echr.coe.int/eng?i=001-209047 </w:t>
        </w:r>
      </w:hyperlink>
      <w:r w:rsidRPr="00507004">
        <w:t>.</w:t>
      </w:r>
    </w:p>
  </w:footnote>
  <w:footnote w:id="6">
    <w:p w14:paraId="24E2EFAD"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7" w:history="1">
        <w:r w:rsidRPr="00391D91">
          <w:rPr>
            <w:rStyle w:val="Hyperlink"/>
            <w:szCs w:val="18"/>
          </w:rPr>
          <w:t xml:space="preserve">https://hudoc.echr.coe.int/eng?i=001-202171 </w:t>
        </w:r>
      </w:hyperlink>
      <w:r w:rsidRPr="00507004">
        <w:t>.</w:t>
      </w:r>
    </w:p>
  </w:footnote>
  <w:footnote w:id="7">
    <w:p w14:paraId="31118216"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8" w:history="1">
        <w:r w:rsidRPr="00391D91">
          <w:rPr>
            <w:rStyle w:val="Hyperlink"/>
            <w:szCs w:val="18"/>
          </w:rPr>
          <w:t xml:space="preserve">https://hudoc.echr.coe.int/eng?i=001-191498 </w:t>
        </w:r>
      </w:hyperlink>
      <w:r w:rsidRPr="00507004">
        <w:t>.</w:t>
      </w:r>
    </w:p>
  </w:footnote>
  <w:footnote w:id="8">
    <w:p w14:paraId="07B8665B" w14:textId="77777777" w:rsidR="00856523" w:rsidRPr="00C54A82" w:rsidRDefault="00856523" w:rsidP="00856523">
      <w:pPr>
        <w:pStyle w:val="FootnoteText"/>
      </w:pPr>
      <w:r>
        <w:rPr>
          <w:szCs w:val="18"/>
        </w:rPr>
        <w:tab/>
      </w:r>
      <w:r w:rsidRPr="006716F5">
        <w:rPr>
          <w:rStyle w:val="FootnoteReference"/>
          <w:szCs w:val="18"/>
        </w:rPr>
        <w:footnoteRef/>
      </w:r>
      <w:r w:rsidRPr="006716F5">
        <w:rPr>
          <w:szCs w:val="18"/>
        </w:rPr>
        <w:t xml:space="preserve"> </w:t>
      </w:r>
      <w:r>
        <w:rPr>
          <w:szCs w:val="18"/>
        </w:rPr>
        <w:tab/>
      </w:r>
      <w:hyperlink r:id="rId9" w:history="1">
        <w:r w:rsidRPr="00391D91">
          <w:rPr>
            <w:rStyle w:val="Hyperlink"/>
            <w:szCs w:val="18"/>
          </w:rPr>
          <w:t xml:space="preserve">https://hudoc.echr.coe.int/eng?i=001-216574 </w:t>
        </w:r>
      </w:hyperlink>
      <w:r w:rsidRPr="00507004">
        <w:t>.</w:t>
      </w:r>
    </w:p>
  </w:footnote>
  <w:footnote w:id="9">
    <w:p w14:paraId="483B54CD"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10" w:history="1">
        <w:r w:rsidRPr="00D41757">
          <w:rPr>
            <w:rStyle w:val="Hyperlink"/>
            <w:szCs w:val="18"/>
          </w:rPr>
          <w:t xml:space="preserve">https://hudoc.echr.coe.int/eng?i=001-95031 </w:t>
        </w:r>
      </w:hyperlink>
      <w:r w:rsidRPr="00F14CAC">
        <w:t>.</w:t>
      </w:r>
    </w:p>
  </w:footnote>
  <w:footnote w:id="10">
    <w:p w14:paraId="2731089A"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11" w:history="1">
        <w:r w:rsidRPr="001B1105">
          <w:rPr>
            <w:rStyle w:val="Hyperlink"/>
            <w:szCs w:val="18"/>
          </w:rPr>
          <w:t xml:space="preserve">https://spcommreports.ohchr.org/TMResultsBase/DownLoadFile?gId=35670 </w:t>
        </w:r>
      </w:hyperlink>
      <w:r w:rsidRPr="000C2225">
        <w:t>.</w:t>
      </w:r>
    </w:p>
  </w:footnote>
  <w:footnote w:id="11">
    <w:p w14:paraId="1F23C467" w14:textId="77777777" w:rsidR="00856523" w:rsidRPr="006716F5" w:rsidRDefault="00856523" w:rsidP="00856523">
      <w:pPr>
        <w:pStyle w:val="FootnoteText"/>
        <w:ind w:right="-428"/>
        <w:rPr>
          <w:szCs w:val="18"/>
        </w:rPr>
      </w:pPr>
      <w:r>
        <w:rPr>
          <w:szCs w:val="18"/>
        </w:rPr>
        <w:tab/>
      </w:r>
      <w:r w:rsidRPr="006716F5">
        <w:rPr>
          <w:rStyle w:val="FootnoteReference"/>
          <w:szCs w:val="18"/>
        </w:rPr>
        <w:footnoteRef/>
      </w:r>
      <w:r w:rsidRPr="006716F5">
        <w:rPr>
          <w:szCs w:val="18"/>
        </w:rPr>
        <w:t xml:space="preserve"> </w:t>
      </w:r>
      <w:r>
        <w:rPr>
          <w:szCs w:val="18"/>
        </w:rPr>
        <w:tab/>
      </w:r>
      <w:hyperlink r:id="rId12" w:history="1">
        <w:r w:rsidRPr="00D41757">
          <w:rPr>
            <w:rStyle w:val="Hyperlink"/>
            <w:szCs w:val="18"/>
          </w:rPr>
          <w:t xml:space="preserve">https://spcommreports.ohchr.org/TMResultsBase/DownLoadFile?gId=36144 </w:t>
        </w:r>
      </w:hyperlink>
      <w:r w:rsidRPr="006716F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B4DA" w14:textId="77777777" w:rsidR="00856523" w:rsidRDefault="00856523" w:rsidP="00856523">
    <w:pPr>
      <w:pStyle w:val="Header"/>
    </w:pPr>
    <w:r>
      <w:t>CCPR/C/TUR/2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4CC" w14:textId="77777777" w:rsidR="00856523" w:rsidRDefault="00856523" w:rsidP="00856523">
    <w:pPr>
      <w:pStyle w:val="Header"/>
      <w:jc w:val="right"/>
    </w:pPr>
    <w:r>
      <w:t>CCPR/C/TUR/2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7FEE3222"/>
    <w:lvl w:ilvl="0" w:tplc="E4CE3996">
      <w:start w:val="1"/>
      <w:numFmt w:val="bullet"/>
      <w:lvlText w:val="•"/>
      <w:lvlJc w:val="left"/>
      <w:pPr>
        <w:tabs>
          <w:tab w:val="num" w:pos="1701"/>
        </w:tabs>
        <w:ind w:left="1701" w:hanging="170"/>
      </w:pPr>
      <w:rPr>
        <w:rFonts w:ascii="Times New Roman" w:hAnsi="Times New Roman" w:cs="Times New Roman" w:hint="default"/>
      </w:rPr>
    </w:lvl>
    <w:lvl w:ilvl="1" w:tplc="B226DA1E" w:tentative="1">
      <w:start w:val="1"/>
      <w:numFmt w:val="bullet"/>
      <w:lvlText w:val="o"/>
      <w:lvlJc w:val="left"/>
      <w:pPr>
        <w:tabs>
          <w:tab w:val="num" w:pos="3141"/>
        </w:tabs>
        <w:ind w:left="3141" w:hanging="360"/>
      </w:pPr>
      <w:rPr>
        <w:rFonts w:ascii="Courier New" w:hAnsi="Courier New" w:hint="default"/>
      </w:rPr>
    </w:lvl>
    <w:lvl w:ilvl="2" w:tplc="30AC7C60" w:tentative="1">
      <w:start w:val="1"/>
      <w:numFmt w:val="bullet"/>
      <w:lvlText w:val=""/>
      <w:lvlJc w:val="left"/>
      <w:pPr>
        <w:tabs>
          <w:tab w:val="num" w:pos="3861"/>
        </w:tabs>
        <w:ind w:left="3861" w:hanging="360"/>
      </w:pPr>
      <w:rPr>
        <w:rFonts w:ascii="Wingdings" w:hAnsi="Wingdings" w:hint="default"/>
      </w:rPr>
    </w:lvl>
    <w:lvl w:ilvl="3" w:tplc="E7E00880" w:tentative="1">
      <w:start w:val="1"/>
      <w:numFmt w:val="bullet"/>
      <w:lvlText w:val=""/>
      <w:lvlJc w:val="left"/>
      <w:pPr>
        <w:tabs>
          <w:tab w:val="num" w:pos="4581"/>
        </w:tabs>
        <w:ind w:left="4581" w:hanging="360"/>
      </w:pPr>
      <w:rPr>
        <w:rFonts w:ascii="Symbol" w:hAnsi="Symbol" w:hint="default"/>
      </w:rPr>
    </w:lvl>
    <w:lvl w:ilvl="4" w:tplc="8E2CC06C" w:tentative="1">
      <w:start w:val="1"/>
      <w:numFmt w:val="bullet"/>
      <w:lvlText w:val="o"/>
      <w:lvlJc w:val="left"/>
      <w:pPr>
        <w:tabs>
          <w:tab w:val="num" w:pos="5301"/>
        </w:tabs>
        <w:ind w:left="5301" w:hanging="360"/>
      </w:pPr>
      <w:rPr>
        <w:rFonts w:ascii="Courier New" w:hAnsi="Courier New" w:hint="default"/>
      </w:rPr>
    </w:lvl>
    <w:lvl w:ilvl="5" w:tplc="5F689360" w:tentative="1">
      <w:start w:val="1"/>
      <w:numFmt w:val="bullet"/>
      <w:lvlText w:val=""/>
      <w:lvlJc w:val="left"/>
      <w:pPr>
        <w:tabs>
          <w:tab w:val="num" w:pos="6021"/>
        </w:tabs>
        <w:ind w:left="6021" w:hanging="360"/>
      </w:pPr>
      <w:rPr>
        <w:rFonts w:ascii="Wingdings" w:hAnsi="Wingdings" w:hint="default"/>
      </w:rPr>
    </w:lvl>
    <w:lvl w:ilvl="6" w:tplc="4C9A2FF0" w:tentative="1">
      <w:start w:val="1"/>
      <w:numFmt w:val="bullet"/>
      <w:lvlText w:val=""/>
      <w:lvlJc w:val="left"/>
      <w:pPr>
        <w:tabs>
          <w:tab w:val="num" w:pos="6741"/>
        </w:tabs>
        <w:ind w:left="6741" w:hanging="360"/>
      </w:pPr>
      <w:rPr>
        <w:rFonts w:ascii="Symbol" w:hAnsi="Symbol" w:hint="default"/>
      </w:rPr>
    </w:lvl>
    <w:lvl w:ilvl="7" w:tplc="5E18497C" w:tentative="1">
      <w:start w:val="1"/>
      <w:numFmt w:val="bullet"/>
      <w:lvlText w:val="o"/>
      <w:lvlJc w:val="left"/>
      <w:pPr>
        <w:tabs>
          <w:tab w:val="num" w:pos="7461"/>
        </w:tabs>
        <w:ind w:left="7461" w:hanging="360"/>
      </w:pPr>
      <w:rPr>
        <w:rFonts w:ascii="Courier New" w:hAnsi="Courier New" w:hint="default"/>
      </w:rPr>
    </w:lvl>
    <w:lvl w:ilvl="8" w:tplc="8C74C27C"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229562">
    <w:abstractNumId w:val="2"/>
  </w:num>
  <w:num w:numId="2" w16cid:durableId="488714064">
    <w:abstractNumId w:val="1"/>
  </w:num>
  <w:num w:numId="3" w16cid:durableId="755058397">
    <w:abstractNumId w:val="0"/>
  </w:num>
  <w:num w:numId="4" w16cid:durableId="2057309826">
    <w:abstractNumId w:val="3"/>
  </w:num>
  <w:num w:numId="5" w16cid:durableId="1350254267">
    <w:abstractNumId w:val="5"/>
  </w:num>
  <w:num w:numId="6" w16cid:durableId="7844847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0E"/>
    <w:rsid w:val="0002030C"/>
    <w:rsid w:val="00046E92"/>
    <w:rsid w:val="0005033C"/>
    <w:rsid w:val="00056409"/>
    <w:rsid w:val="0006523D"/>
    <w:rsid w:val="00066542"/>
    <w:rsid w:val="000820E8"/>
    <w:rsid w:val="00097E66"/>
    <w:rsid w:val="000C2225"/>
    <w:rsid w:val="00124943"/>
    <w:rsid w:val="00131D7A"/>
    <w:rsid w:val="00165C15"/>
    <w:rsid w:val="00173C58"/>
    <w:rsid w:val="0019282C"/>
    <w:rsid w:val="00197EF5"/>
    <w:rsid w:val="001C2C70"/>
    <w:rsid w:val="001E2DCE"/>
    <w:rsid w:val="001F2BC1"/>
    <w:rsid w:val="001F7F72"/>
    <w:rsid w:val="00214245"/>
    <w:rsid w:val="00220CBE"/>
    <w:rsid w:val="002358BF"/>
    <w:rsid w:val="00247E2C"/>
    <w:rsid w:val="00255A1B"/>
    <w:rsid w:val="00283095"/>
    <w:rsid w:val="0029587D"/>
    <w:rsid w:val="002A2E7E"/>
    <w:rsid w:val="002D14CB"/>
    <w:rsid w:val="002D6C53"/>
    <w:rsid w:val="002F5595"/>
    <w:rsid w:val="00314FF0"/>
    <w:rsid w:val="00334F6A"/>
    <w:rsid w:val="00342AC8"/>
    <w:rsid w:val="00346789"/>
    <w:rsid w:val="00366B82"/>
    <w:rsid w:val="00374BC2"/>
    <w:rsid w:val="003B4550"/>
    <w:rsid w:val="003D1F7D"/>
    <w:rsid w:val="003F41B6"/>
    <w:rsid w:val="00417AC1"/>
    <w:rsid w:val="004263DB"/>
    <w:rsid w:val="00461253"/>
    <w:rsid w:val="00472FED"/>
    <w:rsid w:val="004852C7"/>
    <w:rsid w:val="00485F28"/>
    <w:rsid w:val="005041FC"/>
    <w:rsid w:val="005042C2"/>
    <w:rsid w:val="00507004"/>
    <w:rsid w:val="005073AB"/>
    <w:rsid w:val="00547382"/>
    <w:rsid w:val="0056059A"/>
    <w:rsid w:val="00580B3D"/>
    <w:rsid w:val="005A1D0E"/>
    <w:rsid w:val="005D65FD"/>
    <w:rsid w:val="00603337"/>
    <w:rsid w:val="00610A37"/>
    <w:rsid w:val="00621984"/>
    <w:rsid w:val="006465D6"/>
    <w:rsid w:val="00671529"/>
    <w:rsid w:val="0068742E"/>
    <w:rsid w:val="006B5635"/>
    <w:rsid w:val="006B7B69"/>
    <w:rsid w:val="006C3237"/>
    <w:rsid w:val="006F1F13"/>
    <w:rsid w:val="006F4FBB"/>
    <w:rsid w:val="0070313B"/>
    <w:rsid w:val="00713E5B"/>
    <w:rsid w:val="00725C44"/>
    <w:rsid w:val="007268F9"/>
    <w:rsid w:val="007327A0"/>
    <w:rsid w:val="00742B0F"/>
    <w:rsid w:val="00742BC4"/>
    <w:rsid w:val="00785F3D"/>
    <w:rsid w:val="007919FC"/>
    <w:rsid w:val="00795F84"/>
    <w:rsid w:val="007C52B0"/>
    <w:rsid w:val="007E084B"/>
    <w:rsid w:val="00803CF0"/>
    <w:rsid w:val="00817E57"/>
    <w:rsid w:val="00821185"/>
    <w:rsid w:val="00856523"/>
    <w:rsid w:val="00886A4A"/>
    <w:rsid w:val="00892361"/>
    <w:rsid w:val="008931AC"/>
    <w:rsid w:val="008B2A94"/>
    <w:rsid w:val="008D3450"/>
    <w:rsid w:val="009322B5"/>
    <w:rsid w:val="009411B4"/>
    <w:rsid w:val="00942A4A"/>
    <w:rsid w:val="009451FC"/>
    <w:rsid w:val="00965A34"/>
    <w:rsid w:val="009B4DE3"/>
    <w:rsid w:val="009D0139"/>
    <w:rsid w:val="009F5CDC"/>
    <w:rsid w:val="009F612E"/>
    <w:rsid w:val="00A23459"/>
    <w:rsid w:val="00A45226"/>
    <w:rsid w:val="00A454FD"/>
    <w:rsid w:val="00A53E2E"/>
    <w:rsid w:val="00A775CF"/>
    <w:rsid w:val="00A91959"/>
    <w:rsid w:val="00AB2B89"/>
    <w:rsid w:val="00AC01EF"/>
    <w:rsid w:val="00B06045"/>
    <w:rsid w:val="00B53AA5"/>
    <w:rsid w:val="00B62B4F"/>
    <w:rsid w:val="00B903E5"/>
    <w:rsid w:val="00BA03C2"/>
    <w:rsid w:val="00BA1A10"/>
    <w:rsid w:val="00BC6C76"/>
    <w:rsid w:val="00C35A27"/>
    <w:rsid w:val="00C875D9"/>
    <w:rsid w:val="00CA1820"/>
    <w:rsid w:val="00CA1AEA"/>
    <w:rsid w:val="00CB34B5"/>
    <w:rsid w:val="00CB522A"/>
    <w:rsid w:val="00D327D6"/>
    <w:rsid w:val="00D43823"/>
    <w:rsid w:val="00DB065A"/>
    <w:rsid w:val="00DB36D5"/>
    <w:rsid w:val="00DE05FD"/>
    <w:rsid w:val="00E02C2B"/>
    <w:rsid w:val="00E05879"/>
    <w:rsid w:val="00EB3ADB"/>
    <w:rsid w:val="00EB6A3E"/>
    <w:rsid w:val="00ED6C48"/>
    <w:rsid w:val="00EF4736"/>
    <w:rsid w:val="00F14CAC"/>
    <w:rsid w:val="00F41F0F"/>
    <w:rsid w:val="00F54F70"/>
    <w:rsid w:val="00F65F5D"/>
    <w:rsid w:val="00F66A10"/>
    <w:rsid w:val="00F86A3A"/>
    <w:rsid w:val="00F9137E"/>
    <w:rsid w:val="00FB4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CC98"/>
  <w15:docId w15:val="{01E0E680-8A0D-4B11-B5A0-207B844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2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856523"/>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856523"/>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val="tr" w:eastAsia="en-US"/>
    </w:rPr>
  </w:style>
  <w:style w:type="character" w:styleId="Hyperlink">
    <w:name w:val="Hyperlink"/>
    <w:basedOn w:val="DefaultParagraphFont"/>
    <w:uiPriority w:val="99"/>
    <w:rsid w:val="00856523"/>
    <w:rPr>
      <w:color w:val="0000FF"/>
      <w:u w:val="none"/>
    </w:rPr>
  </w:style>
  <w:style w:type="character" w:styleId="FollowedHyperlink">
    <w:name w:val="FollowedHyperlink"/>
    <w:basedOn w:val="DefaultParagraphFont"/>
    <w:uiPriority w:val="99"/>
    <w:semiHidden/>
    <w:rsid w:val="00856523"/>
    <w:rPr>
      <w:color w:val="0000FF"/>
      <w:u w:val="none"/>
    </w:rPr>
  </w:style>
  <w:style w:type="character" w:customStyle="1" w:styleId="SingleTxtGChar">
    <w:name w:val="_ Single Txt_G Char"/>
    <w:link w:val="SingleTxtG"/>
    <w:locked/>
    <w:rsid w:val="00856523"/>
    <w:rPr>
      <w:rFonts w:ascii="Times New Roman" w:hAnsi="Times New Roman" w:cs="Times New Roman"/>
      <w:sz w:val="20"/>
      <w:szCs w:val="20"/>
    </w:rPr>
  </w:style>
  <w:style w:type="paragraph" w:styleId="Revision">
    <w:name w:val="Revision"/>
    <w:hidden/>
    <w:uiPriority w:val="99"/>
    <w:semiHidden/>
    <w:rsid w:val="00856523"/>
    <w:pPr>
      <w:spacing w:after="0" w:line="240" w:lineRule="auto"/>
    </w:pPr>
    <w:rPr>
      <w:rFonts w:ascii="Times New Roman" w:eastAsiaTheme="minorHAnsi" w:hAnsi="Times New Roman"/>
      <w:sz w:val="24"/>
      <w:lang w:eastAsia="en-US"/>
    </w:rPr>
  </w:style>
  <w:style w:type="character" w:styleId="UnresolvedMention">
    <w:name w:val="Unresolved Mention"/>
    <w:basedOn w:val="DefaultParagraphFont"/>
    <w:uiPriority w:val="99"/>
    <w:semiHidden/>
    <w:unhideWhenUsed/>
    <w:rsid w:val="0050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durbilgi.adalet.gov.t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kcocu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anhaklarieylemplani.adalet.gov.t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i=001-191498" TargetMode="External"/><Relationship Id="rId3" Type="http://schemas.openxmlformats.org/officeDocument/2006/relationships/hyperlink" Target="https://inhak.adalet.gov.tr/Resimler/SayfaDokuman/1262021081047Action_Plan_On_Human_Rights.pdf" TargetMode="External"/><Relationship Id="rId7" Type="http://schemas.openxmlformats.org/officeDocument/2006/relationships/hyperlink" Target="https://hudoc.echr.coe.int/eng?i=001-202171" TargetMode="External"/><Relationship Id="rId12" Type="http://schemas.openxmlformats.org/officeDocument/2006/relationships/hyperlink" Target="https://spcommreports.ohchr.org/TMResultsBase/DownLoadFile?gId=36144" TargetMode="External"/><Relationship Id="rId2" Type="http://schemas.openxmlformats.org/officeDocument/2006/relationships/hyperlink" Target="https://spcommreports.ohchr.org/TMResultsBase/DownLoadFile?gId=36144" TargetMode="External"/><Relationship Id="rId1" Type="http://schemas.openxmlformats.org/officeDocument/2006/relationships/hyperlink" Target="https://spcommreports.ohchr.org/TMResultsBase/DownLoadFile?gId=35641" TargetMode="External"/><Relationship Id="rId6" Type="http://schemas.openxmlformats.org/officeDocument/2006/relationships/hyperlink" Target="https://hudoc.echr.coe.int/eng?i=001-209047" TargetMode="External"/><Relationship Id="rId11" Type="http://schemas.openxmlformats.org/officeDocument/2006/relationships/hyperlink" Target="https://spcommreports.ohchr.org/TMResultsBase/DownLoadFile?gId=35670" TargetMode="External"/><Relationship Id="rId5" Type="http://schemas.openxmlformats.org/officeDocument/2006/relationships/hyperlink" Target="https://hudoc.echr.coe.int/eng?i=001-211073" TargetMode="External"/><Relationship Id="rId10" Type="http://schemas.openxmlformats.org/officeDocument/2006/relationships/hyperlink" Target="https://hudoc.echr.coe.int/eng?i=001-95031" TargetMode="External"/><Relationship Id="rId4" Type="http://schemas.openxmlformats.org/officeDocument/2006/relationships/hyperlink" Target="https://inhak.adalet.gov.tr/Resimler/SayfaDokuman/1262021081047Action_Plan_On_Human_Rights.pdf" TargetMode="External"/><Relationship Id="rId9" Type="http://schemas.openxmlformats.org/officeDocument/2006/relationships/hyperlink" Target="https://hudoc.echr.coe.int/eng?i=001-216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19021</Words>
  <Characters>108420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CCPR/C/TUR/2</vt:lpstr>
    </vt:vector>
  </TitlesOfParts>
  <Company>DCM</Company>
  <LinksUpToDate>false</LinksUpToDate>
  <CharactersWithSpaces>127187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CCPR/C/TUR/2</dc:title>
  <dc:subject>2307745</dc:subject>
  <dc:creator>cg</dc:creator>
  <cp:keywords/>
  <dc:description/>
  <cp:lastModifiedBy>Adem Arkadaş-Thibert</cp:lastModifiedBy>
  <cp:revision>2</cp:revision>
  <dcterms:created xsi:type="dcterms:W3CDTF">2024-04-29T04:42:00Z</dcterms:created>
  <dcterms:modified xsi:type="dcterms:W3CDTF">2024-04-29T04:42:00Z</dcterms:modified>
</cp:coreProperties>
</file>