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F7" w:rsidRPr="007B6905" w:rsidRDefault="003F78F7" w:rsidP="003F78F7">
      <w:pPr>
        <w:shd w:val="clear" w:color="auto" w:fill="FFFFFF"/>
        <w:spacing w:before="540" w:line="274" w:lineRule="exact"/>
        <w:ind w:left="7" w:right="2016"/>
        <w:jc w:val="center"/>
        <w:rPr>
          <w:b/>
          <w:bCs/>
          <w:color w:val="000000"/>
          <w:spacing w:val="-9"/>
          <w:sz w:val="24"/>
          <w:szCs w:val="24"/>
        </w:rPr>
      </w:pPr>
      <w:r w:rsidRPr="007B6905">
        <w:rPr>
          <w:b/>
          <w:bCs/>
          <w:color w:val="000000"/>
          <w:spacing w:val="3"/>
          <w:sz w:val="24"/>
          <w:szCs w:val="24"/>
        </w:rPr>
        <w:t xml:space="preserve">16. </w:t>
      </w:r>
      <w:r w:rsidRPr="007B6905">
        <w:rPr>
          <w:b/>
          <w:bCs/>
          <w:smallCaps/>
          <w:color w:val="000000"/>
          <w:spacing w:val="3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3"/>
          <w:sz w:val="24"/>
          <w:szCs w:val="24"/>
        </w:rPr>
        <w:t xml:space="preserve">(1982) / </w:t>
      </w:r>
      <w:r w:rsidRPr="007B6905">
        <w:rPr>
          <w:b/>
          <w:bCs/>
          <w:smallCaps/>
          <w:color w:val="000000"/>
          <w:spacing w:val="3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3"/>
          <w:sz w:val="24"/>
          <w:szCs w:val="24"/>
        </w:rPr>
        <w:t xml:space="preserve">8 </w:t>
      </w:r>
      <w:r w:rsidRPr="007B6905">
        <w:rPr>
          <w:b/>
          <w:bCs/>
          <w:smallCaps/>
          <w:color w:val="000000"/>
          <w:spacing w:val="-9"/>
          <w:sz w:val="24"/>
          <w:szCs w:val="24"/>
        </w:rPr>
        <w:t xml:space="preserve">Madde </w:t>
      </w:r>
      <w:r w:rsidRPr="007B6905">
        <w:rPr>
          <w:b/>
          <w:bCs/>
          <w:color w:val="000000"/>
          <w:spacing w:val="-9"/>
          <w:sz w:val="24"/>
          <w:szCs w:val="24"/>
        </w:rPr>
        <w:t>9: KİŞİ ÖZGÜRLÜĞÜ VE GÜVENLİK HAKKI</w:t>
      </w:r>
    </w:p>
    <w:p w:rsidR="003F78F7" w:rsidRPr="007B6905" w:rsidRDefault="003F78F7" w:rsidP="003F78F7">
      <w:pPr>
        <w:shd w:val="clear" w:color="auto" w:fill="FFFFFF"/>
        <w:tabs>
          <w:tab w:val="left" w:pos="806"/>
        </w:tabs>
        <w:spacing w:before="266" w:line="274" w:lineRule="exact"/>
        <w:ind w:left="14" w:firstLine="583"/>
        <w:jc w:val="both"/>
        <w:rPr>
          <w:sz w:val="24"/>
          <w:szCs w:val="24"/>
        </w:rPr>
      </w:pPr>
      <w:r w:rsidRPr="007B6905">
        <w:rPr>
          <w:color w:val="000000"/>
          <w:spacing w:val="-8"/>
          <w:sz w:val="24"/>
          <w:szCs w:val="24"/>
        </w:rPr>
        <w:t>1.</w:t>
      </w:r>
      <w:r w:rsidRPr="007B6905">
        <w:rPr>
          <w:color w:val="000000"/>
          <w:sz w:val="24"/>
          <w:szCs w:val="24"/>
        </w:rPr>
        <w:tab/>
      </w:r>
      <w:r w:rsidRPr="007B6905">
        <w:rPr>
          <w:color w:val="000000"/>
          <w:spacing w:val="4"/>
          <w:sz w:val="24"/>
          <w:szCs w:val="24"/>
        </w:rPr>
        <w:t>Kişi özgürlüğü ve güvenlik hakkını düzenleyen 9. madde, ta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6"/>
          <w:sz w:val="24"/>
          <w:szCs w:val="24"/>
        </w:rPr>
        <w:t xml:space="preserve">raf Devlet raporlarında genellikle dar biçimde anlamlandırılmaktadır ve bu nedenle raporlarda bu konuya ilişkin eksik bilgi verilmektedir. </w:t>
      </w:r>
      <w:r w:rsidRPr="007B6905">
        <w:rPr>
          <w:color w:val="000000"/>
          <w:spacing w:val="4"/>
          <w:sz w:val="24"/>
          <w:szCs w:val="24"/>
        </w:rPr>
        <w:t>1. paragrafın tüm özgürlükten yoksun bırakma halleri, ceza ih</w:t>
      </w:r>
      <w:r w:rsidR="00711F81">
        <w:rPr>
          <w:color w:val="000000"/>
          <w:spacing w:val="4"/>
          <w:sz w:val="24"/>
          <w:szCs w:val="24"/>
        </w:rPr>
        <w:t>l</w:t>
      </w:r>
      <w:r w:rsidRPr="007B6905">
        <w:rPr>
          <w:color w:val="000000"/>
          <w:spacing w:val="4"/>
          <w:sz w:val="24"/>
          <w:szCs w:val="24"/>
        </w:rPr>
        <w:t>aller</w:t>
      </w:r>
      <w:r w:rsidR="00711F81">
        <w:rPr>
          <w:color w:val="000000"/>
          <w:spacing w:val="4"/>
          <w:sz w:val="24"/>
          <w:szCs w:val="24"/>
        </w:rPr>
        <w:t xml:space="preserve"> ve</w:t>
      </w:r>
      <w:r w:rsidR="00711F81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ya hastalık, serserilik, uyuşturucu bağımlılığı, eğitim sebebiyle özgür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8"/>
          <w:sz w:val="24"/>
          <w:szCs w:val="24"/>
        </w:rPr>
        <w:t>lükten yoksun kalma halleri, göç kontrolünden kaynaklanan kısıtla</w:t>
      </w:r>
      <w:r w:rsidRPr="007B6905">
        <w:rPr>
          <w:color w:val="000000"/>
          <w:spacing w:val="8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malar ve benzeri haller açısından da uy</w:t>
      </w:r>
      <w:bookmarkStart w:id="0" w:name="_GoBack"/>
      <w:bookmarkEnd w:id="0"/>
      <w:r w:rsidRPr="007B6905">
        <w:rPr>
          <w:color w:val="000000"/>
          <w:spacing w:val="4"/>
          <w:sz w:val="24"/>
          <w:szCs w:val="24"/>
        </w:rPr>
        <w:t xml:space="preserve">gulanabilir olduğu söylenebilir. </w:t>
      </w:r>
      <w:r w:rsidRPr="007B6905">
        <w:rPr>
          <w:color w:val="000000"/>
          <w:spacing w:val="6"/>
          <w:sz w:val="24"/>
          <w:szCs w:val="24"/>
        </w:rPr>
        <w:t>9. maddenin bazı bölümlerinin (2. paragrafın bir kısmı ve 3. paragra</w:t>
      </w:r>
      <w:r w:rsidRPr="007B6905">
        <w:rPr>
          <w:color w:val="000000"/>
          <w:spacing w:val="6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fın tamamı) sadece suç işleyenlere ve ceza davalarına konu edilen hal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lere yönelik olarak uygulanabilir olduğu söylenebilir. Ancak, hükmün geri kalan kısmı, özellikle 4. paragrafta yer alan tedbirler, örneğin tutuklamanın hukukiliği konusunda mahkemeye başvurabilme, tutukla</w:t>
      </w:r>
      <w:r w:rsidRPr="007B6905">
        <w:rPr>
          <w:color w:val="000000"/>
          <w:spacing w:val="5"/>
          <w:sz w:val="24"/>
          <w:szCs w:val="24"/>
        </w:rPr>
        <w:softHyphen/>
        <w:t>ma ve alıkoyma nedeniyle özgürlüklerinden yoksun bırakılan tüm bi</w:t>
      </w:r>
      <w:r w:rsidRPr="007B6905">
        <w:rPr>
          <w:color w:val="000000"/>
          <w:spacing w:val="5"/>
          <w:sz w:val="24"/>
          <w:szCs w:val="24"/>
        </w:rPr>
        <w:softHyphen/>
        <w:t>reyler için geçerlidir. Ek olarak, taraf Devletler 2. maddenin 3. parag</w:t>
      </w:r>
      <w:r w:rsidRPr="007B6905">
        <w:rPr>
          <w:color w:val="000000"/>
          <w:spacing w:val="9"/>
          <w:sz w:val="24"/>
          <w:szCs w:val="24"/>
        </w:rPr>
        <w:t xml:space="preserve">rafına uygun olarak özgürlüklerinden yoksun bırakıldıklarını iddia </w:t>
      </w:r>
      <w:r w:rsidRPr="007B6905">
        <w:rPr>
          <w:color w:val="000000"/>
          <w:spacing w:val="7"/>
          <w:sz w:val="24"/>
          <w:szCs w:val="24"/>
        </w:rPr>
        <w:t>eden bireylerin etkili hak arama yollarına başvurmalarının mümkün</w:t>
      </w:r>
      <w:r w:rsidRPr="007B6905">
        <w:rPr>
          <w:color w:val="000000"/>
          <w:spacing w:val="7"/>
          <w:sz w:val="24"/>
          <w:szCs w:val="24"/>
        </w:rPr>
        <w:br/>
      </w:r>
      <w:r w:rsidRPr="007B6905">
        <w:rPr>
          <w:color w:val="000000"/>
          <w:spacing w:val="4"/>
          <w:sz w:val="24"/>
          <w:szCs w:val="24"/>
        </w:rPr>
        <w:t>olmasını güvence altına almalıdır.</w:t>
      </w:r>
    </w:p>
    <w:p w:rsidR="003F78F7" w:rsidRPr="007B6905" w:rsidRDefault="003F78F7" w:rsidP="003F78F7">
      <w:pPr>
        <w:shd w:val="clear" w:color="auto" w:fill="FFFFFF"/>
        <w:tabs>
          <w:tab w:val="left" w:pos="806"/>
        </w:tabs>
        <w:spacing w:before="266" w:line="274" w:lineRule="exact"/>
        <w:ind w:left="14" w:firstLine="583"/>
        <w:jc w:val="both"/>
        <w:rPr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2.</w:t>
      </w:r>
      <w:r w:rsidRPr="007B6905">
        <w:rPr>
          <w:color w:val="000000"/>
          <w:sz w:val="24"/>
          <w:szCs w:val="24"/>
        </w:rPr>
        <w:tab/>
      </w:r>
      <w:r w:rsidRPr="007B6905">
        <w:rPr>
          <w:color w:val="000000"/>
          <w:spacing w:val="7"/>
          <w:sz w:val="24"/>
          <w:szCs w:val="24"/>
        </w:rPr>
        <w:t>9. maddenin 3. paragrafına göre, bir suç işlediği iddiasıyla yakalanan ya da tutuklanan "herkes", derhal bir yargıcın ya da yasa</w:t>
      </w:r>
      <w:r w:rsidRPr="007B6905">
        <w:rPr>
          <w:color w:val="000000"/>
          <w:spacing w:val="7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 xml:space="preserve">larla yasa erkini kullanmaya yetkili kılınmış bir başka resmi görevlinin </w:t>
      </w:r>
      <w:r w:rsidRPr="007B6905">
        <w:rPr>
          <w:color w:val="000000"/>
          <w:spacing w:val="4"/>
          <w:sz w:val="24"/>
          <w:szCs w:val="24"/>
        </w:rPr>
        <w:t xml:space="preserve">önüne çıkarılmalıdır. Birçok taraf Devlet'in hukukunda daha kesin bir zaman sınırı çizilmiştir ve Komite’nin görüşüne göre, gecikme birkaç </w:t>
      </w:r>
      <w:r w:rsidRPr="007B6905">
        <w:rPr>
          <w:color w:val="000000"/>
          <w:spacing w:val="5"/>
          <w:sz w:val="24"/>
          <w:szCs w:val="24"/>
        </w:rPr>
        <w:t>günü aşmamalıdır. Birçok taraf Devlet bu bağlamdaki net uygulama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lar hakkında yeterli bilgi vermemektedir.</w:t>
      </w:r>
    </w:p>
    <w:p w:rsidR="003F78F7" w:rsidRPr="007B6905" w:rsidRDefault="003F78F7" w:rsidP="003F78F7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2"/>
        <w:jc w:val="both"/>
        <w:rPr>
          <w:color w:val="000000"/>
          <w:sz w:val="24"/>
          <w:szCs w:val="24"/>
        </w:rPr>
      </w:pPr>
      <w:r w:rsidRPr="007B6905">
        <w:rPr>
          <w:color w:val="000000"/>
          <w:spacing w:val="3"/>
          <w:sz w:val="24"/>
          <w:szCs w:val="24"/>
        </w:rPr>
        <w:t>Diğer bir konu ise, dava sırasında geçen gözaltı süresidir. Ba</w:t>
      </w:r>
      <w:r w:rsidRPr="007B6905">
        <w:rPr>
          <w:color w:val="000000"/>
          <w:spacing w:val="5"/>
          <w:sz w:val="24"/>
          <w:szCs w:val="24"/>
        </w:rPr>
        <w:t xml:space="preserve">zı ülkelerdeki ceza davalarının belirli kategorilerine ilişkin olarak bu </w:t>
      </w:r>
      <w:r w:rsidRPr="007B6905">
        <w:rPr>
          <w:color w:val="000000"/>
          <w:spacing w:val="4"/>
          <w:sz w:val="24"/>
          <w:szCs w:val="24"/>
        </w:rPr>
        <w:t>konu Komite’nin ilgisini çekmektedir. Komite üyeleri, Devlet uygula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malarının 3. paragrafta yer alan "uygun bir süre içinde yargılama ve</w:t>
      </w:r>
      <w:r w:rsidRPr="007B6905">
        <w:rPr>
          <w:color w:val="000000"/>
          <w:spacing w:val="5"/>
          <w:sz w:val="24"/>
          <w:szCs w:val="24"/>
        </w:rPr>
        <w:softHyphen/>
        <w:t>ya salıverme" ilkesiyle uyum içinde olup olmadığını sorgulamak iste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 xml:space="preserve">mektedir. Dava öncesinde gözaltı istisnai olmalıdır ve süreler mümkün </w:t>
      </w:r>
      <w:r w:rsidRPr="007B6905">
        <w:rPr>
          <w:color w:val="000000"/>
          <w:spacing w:val="10"/>
          <w:sz w:val="24"/>
          <w:szCs w:val="24"/>
        </w:rPr>
        <w:t xml:space="preserve">olduğu kadar kısa tutulmalıdır. Komite, gözaltı sürelerini kısaltan </w:t>
      </w:r>
      <w:r w:rsidRPr="007B6905">
        <w:rPr>
          <w:color w:val="000000"/>
          <w:spacing w:val="5"/>
          <w:sz w:val="24"/>
          <w:szCs w:val="24"/>
        </w:rPr>
        <w:t>mevcut mekanizmalar ve bu amaçla alman tedbirler konusunda bilgi</w:t>
      </w:r>
      <w:r w:rsidRPr="007B6905">
        <w:rPr>
          <w:color w:val="000000"/>
          <w:spacing w:val="5"/>
          <w:sz w:val="24"/>
          <w:szCs w:val="24"/>
        </w:rPr>
        <w:softHyphen/>
        <w:t>lendirme yapılmasından memnuniyet duyacaktır.</w:t>
      </w:r>
    </w:p>
    <w:p w:rsidR="003F78F7" w:rsidRPr="007B6905" w:rsidRDefault="003F78F7" w:rsidP="003F78F7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2"/>
        <w:jc w:val="both"/>
        <w:rPr>
          <w:color w:val="000000"/>
          <w:spacing w:val="-4"/>
          <w:sz w:val="24"/>
          <w:szCs w:val="24"/>
        </w:rPr>
      </w:pPr>
      <w:r w:rsidRPr="007B6905">
        <w:rPr>
          <w:color w:val="000000"/>
          <w:spacing w:val="5"/>
          <w:sz w:val="24"/>
          <w:szCs w:val="24"/>
        </w:rPr>
        <w:t xml:space="preserve">Önleyici nitelikteki </w:t>
      </w:r>
      <w:proofErr w:type="spellStart"/>
      <w:r w:rsidRPr="007B6905">
        <w:rPr>
          <w:color w:val="000000"/>
          <w:spacing w:val="5"/>
          <w:sz w:val="24"/>
          <w:szCs w:val="24"/>
        </w:rPr>
        <w:t>gözaltıların</w:t>
      </w:r>
      <w:proofErr w:type="spellEnd"/>
      <w:r w:rsidRPr="007B6905">
        <w:rPr>
          <w:color w:val="000000"/>
          <w:spacing w:val="5"/>
          <w:sz w:val="24"/>
          <w:szCs w:val="24"/>
        </w:rPr>
        <w:t xml:space="preserve"> mevcut olduğu haller, kamu</w:t>
      </w:r>
      <w:r w:rsidRPr="007B6905">
        <w:rPr>
          <w:color w:val="000000"/>
          <w:spacing w:val="5"/>
          <w:sz w:val="24"/>
          <w:szCs w:val="24"/>
        </w:rPr>
        <w:br/>
      </w:r>
      <w:proofErr w:type="gramStart"/>
      <w:r w:rsidRPr="007B6905">
        <w:rPr>
          <w:color w:val="000000"/>
          <w:sz w:val="24"/>
          <w:szCs w:val="24"/>
        </w:rPr>
        <w:t>güvenliği</w:t>
      </w:r>
      <w:proofErr w:type="gramEnd"/>
      <w:r w:rsidRPr="007B6905">
        <w:rPr>
          <w:color w:val="000000"/>
          <w:sz w:val="24"/>
          <w:szCs w:val="24"/>
        </w:rPr>
        <w:t xml:space="preserve"> nedeniyle, yine aynı hükümler çerçevesinde kontrol altına alın</w:t>
      </w:r>
      <w:r w:rsidRPr="007B6905">
        <w:rPr>
          <w:color w:val="000000"/>
          <w:spacing w:val="1"/>
          <w:sz w:val="24"/>
          <w:szCs w:val="24"/>
        </w:rPr>
        <w:t>malıdır; keyfi yakalama ve tutuklamalar gerçekleşmemeli, hiç kimse ka</w:t>
      </w:r>
      <w:r w:rsidRPr="007B6905">
        <w:rPr>
          <w:color w:val="000000"/>
          <w:spacing w:val="1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 xml:space="preserve">nunun tayin ettiği sebeplere ve usule uygun olmaksızın özgürlüğünden </w:t>
      </w:r>
      <w:r w:rsidRPr="007B6905">
        <w:rPr>
          <w:color w:val="000000"/>
          <w:spacing w:val="2"/>
          <w:sz w:val="24"/>
          <w:szCs w:val="24"/>
        </w:rPr>
        <w:t>yoksun bırakılmamalı (1. paragraf), tutuklama nedenleri belirtilmeli (2.</w:t>
      </w:r>
      <w:r w:rsidRPr="007B6905">
        <w:rPr>
          <w:color w:val="000000"/>
          <w:spacing w:val="4"/>
          <w:sz w:val="24"/>
          <w:szCs w:val="24"/>
        </w:rPr>
        <w:t>paragraf), tutuklamanın hukukiliği hakkında mahkemeye başvuru hak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kı olmalı, yasal olmayan bir yakalama ya da tutuklama işleminden mağ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dur olan herkesin, icrası kabil zorunlu tazminat hakkı (5. paragraf) ol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1"/>
          <w:sz w:val="24"/>
          <w:szCs w:val="24"/>
        </w:rPr>
        <w:t>malıdır. Ek olarak, ceza davalarında 9. maddenin 2. ve 3. paragrafları ve</w:t>
      </w:r>
      <w:r w:rsidRPr="007B6905">
        <w:rPr>
          <w:color w:val="000000"/>
          <w:spacing w:val="4"/>
          <w:sz w:val="24"/>
          <w:szCs w:val="24"/>
        </w:rPr>
        <w:t xml:space="preserve">14. </w:t>
      </w:r>
      <w:proofErr w:type="gramStart"/>
      <w:r w:rsidRPr="007B6905">
        <w:rPr>
          <w:color w:val="000000"/>
          <w:spacing w:val="4"/>
          <w:sz w:val="24"/>
          <w:szCs w:val="24"/>
        </w:rPr>
        <w:t>maddedeki</w:t>
      </w:r>
      <w:proofErr w:type="gramEnd"/>
      <w:r w:rsidRPr="007B6905">
        <w:rPr>
          <w:color w:val="000000"/>
          <w:spacing w:val="4"/>
          <w:sz w:val="24"/>
          <w:szCs w:val="24"/>
        </w:rPr>
        <w:t xml:space="preserve"> korumanın sağlanmasına dikkat edilmelidir.</w:t>
      </w:r>
    </w:p>
    <w:p w:rsidR="003004BF" w:rsidRDefault="003004BF"/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9ED"/>
    <w:multiLevelType w:val="singleLevel"/>
    <w:tmpl w:val="4CA81CCE"/>
    <w:lvl w:ilvl="0">
      <w:start w:val="3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4"/>
    <w:rsid w:val="003004BF"/>
    <w:rsid w:val="003F78F7"/>
    <w:rsid w:val="00711F81"/>
    <w:rsid w:val="00A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C31D"/>
  <w15:chartTrackingRefBased/>
  <w15:docId w15:val="{E893463E-E07F-4F8A-A480-AA2556E2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4</cp:revision>
  <dcterms:created xsi:type="dcterms:W3CDTF">2019-11-04T10:22:00Z</dcterms:created>
  <dcterms:modified xsi:type="dcterms:W3CDTF">2019-11-04T12:18:00Z</dcterms:modified>
</cp:coreProperties>
</file>