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D09C" w14:textId="77777777" w:rsidR="00690856" w:rsidRPr="00690856" w:rsidRDefault="00690856" w:rsidP="00690856">
      <w:pPr>
        <w:pStyle w:val="NormalWeb"/>
        <w:jc w:val="both"/>
        <w:rPr>
          <w:rStyle w:val="Strong"/>
          <w:rFonts w:ascii="Georgia" w:hAnsi="Georgia" w:cs="Al Tarikh"/>
          <w:sz w:val="24"/>
          <w:szCs w:val="24"/>
          <w:lang w:val="tr-TR"/>
        </w:rPr>
      </w:pPr>
    </w:p>
    <w:p w14:paraId="5926A9B1" w14:textId="77777777" w:rsidR="00690856" w:rsidRPr="00690856" w:rsidRDefault="00690856" w:rsidP="00690856">
      <w:pPr>
        <w:pStyle w:val="NormalWeb"/>
        <w:jc w:val="both"/>
        <w:rPr>
          <w:rFonts w:ascii="Georgia" w:hAnsi="Georgia" w:cs="Al Tarikh"/>
          <w:b/>
          <w:sz w:val="24"/>
          <w:szCs w:val="24"/>
          <w:lang w:val="tr-TR"/>
        </w:rPr>
      </w:pPr>
      <w:r w:rsidRPr="00690856">
        <w:rPr>
          <w:rFonts w:ascii="Georgia" w:hAnsi="Georgia" w:cs="Al Tarikh"/>
          <w:b/>
          <w:sz w:val="24"/>
          <w:szCs w:val="24"/>
          <w:lang w:val="tr-TR"/>
        </w:rPr>
        <w:t>Sindirme ve misilleme eylemlerinin genel bağlamı ve tanımı</w:t>
      </w:r>
    </w:p>
    <w:p w14:paraId="3B48CDE8" w14:textId="77777777" w:rsidR="00690856" w:rsidRPr="00690856" w:rsidRDefault="00690856" w:rsidP="00690856">
      <w:pPr>
        <w:pStyle w:val="NormalWeb"/>
        <w:jc w:val="both"/>
        <w:rPr>
          <w:rFonts w:ascii="Georgia" w:hAnsi="Georgia" w:cs="Al Tarikh"/>
          <w:sz w:val="24"/>
          <w:szCs w:val="24"/>
          <w:lang w:val="tr-TR"/>
        </w:rPr>
      </w:pPr>
      <w:r w:rsidRPr="00690856">
        <w:rPr>
          <w:rFonts w:ascii="Georgia" w:hAnsi="Georgia" w:cs="Al Tarikh"/>
          <w:sz w:val="24"/>
          <w:szCs w:val="24"/>
          <w:lang w:val="tr-TR"/>
        </w:rPr>
        <w:t>Başta insan hakları ihlallerinin mağdurları ve sivil toplum aktörleri olmak üzere herkes, BM insan hakları sözleşme organları da dahil olmak üzere tüm uluslararası organlara herhangi bir sindirme veya misilleme tehdidi olmaksızın engelsiz bir şekilde erişme ve bu organlarla temas kurma hakkına sahiptir. Sivil toplum ve mağdurlar, sözleşme organları için çok önemli bilgiler ve tanıklıklar sunmakta ve sözleşme organı uzmanlarına çalışmalarını daha anlamlı kılacak bağlamsal bilgiler sağlamaktadırlar. Devletler, yıldırma ve misilleme eylemlerini önlemek ve bunlardan kaçınmak konusunda birinci derecede sorumluluğa sahiptir. Devletlerin aynı zamanda bireyleri misillemelere karşı koruma ve misilleme mağdurlarını soruşturma ve onlara etkili hukuk yolları sunma yükümlülükleri de bulunmaktadır.</w:t>
      </w:r>
    </w:p>
    <w:p w14:paraId="7310189E" w14:textId="77777777" w:rsidR="00690856" w:rsidRPr="00690856" w:rsidRDefault="00690856" w:rsidP="00690856">
      <w:pPr>
        <w:pStyle w:val="NormalWeb"/>
        <w:jc w:val="both"/>
        <w:rPr>
          <w:rFonts w:ascii="Georgia" w:hAnsi="Georgia" w:cs="Al Tarikh"/>
          <w:b/>
          <w:sz w:val="24"/>
          <w:szCs w:val="24"/>
          <w:lang w:val="tr-TR"/>
        </w:rPr>
      </w:pPr>
      <w:r w:rsidRPr="00690856">
        <w:rPr>
          <w:rFonts w:ascii="Georgia" w:hAnsi="Georgia" w:cs="Al Tarikh"/>
          <w:sz w:val="24"/>
          <w:szCs w:val="24"/>
          <w:lang w:val="tr-TR"/>
        </w:rPr>
        <w:t xml:space="preserve">Geçtiğimiz birkaç yıl içinde, sözleşme organlarıyla işbirliği yapan, işbirliği yapmak isteyen veya işbirliği yapmış olan kişilere yönelik misilleme ve sindirme eylemleri artmıştır. Özellikle gözaltında bulunan kişiler bu tür misillemelere maruz kalma riski altındadır. Bu eylemler, karalama kampanyaları, seyahat yasakları, tehditler, para cezaları, keyfi tutuklamalar, uzun hapis cezaları, kötü muamele ve işkenceye kadar pek çok farklı biçimde gerçekleşmektedir. Mağdurlar ve aile üyeleri ile sivil toplum, taraf Devletlerin denetlenmesi sürecinde sözleşme organlarına bireysel insan hakları ihlali vakaları konusunda veya gözaltı yerleri de dahil olmak üzere ülke ziyaretleri sırasında bilgi sundukları için bu tür misillemelerle karşı karşıya kalabilirler. </w:t>
      </w:r>
      <w:r w:rsidRPr="00690856">
        <w:rPr>
          <w:rFonts w:ascii="Georgia" w:hAnsi="Georgia" w:cs="Al Tarikh"/>
          <w:b/>
          <w:sz w:val="24"/>
          <w:szCs w:val="24"/>
          <w:lang w:val="tr-TR"/>
        </w:rPr>
        <w:t>Misillemeler farklı şekillerde ortaya çıkabilir ve bu nedenle, bireyler sözleşme organıyla irtibata geçtikleri için sindirrme veya misilleme riski altında olduklarını veya hedef alındıkları kanaatindeyseler, söz konusu vakaların ilgili sözleşme organına bildirilmesi gerekmektedir.</w:t>
      </w:r>
    </w:p>
    <w:p w14:paraId="4B8D4F59" w14:textId="77777777" w:rsidR="00690856" w:rsidRPr="00690856" w:rsidRDefault="00690856" w:rsidP="00690856">
      <w:pPr>
        <w:pStyle w:val="NormalWeb"/>
        <w:jc w:val="both"/>
        <w:rPr>
          <w:rStyle w:val="Hyperlink"/>
          <w:rFonts w:ascii="Georgia" w:hAnsi="Georgia" w:cs="Al Tarikh"/>
          <w:b/>
          <w:sz w:val="24"/>
          <w:szCs w:val="24"/>
          <w:lang w:val="tr-TR"/>
        </w:rPr>
      </w:pPr>
      <w:r w:rsidRPr="00690856">
        <w:rPr>
          <w:rFonts w:ascii="Georgia" w:hAnsi="Georgia" w:cs="Al Tarikh"/>
          <w:b/>
          <w:sz w:val="24"/>
          <w:szCs w:val="24"/>
          <w:lang w:val="tr-TR"/>
        </w:rPr>
        <w:fldChar w:fldCharType="begin"/>
      </w:r>
      <w:r w:rsidRPr="00690856">
        <w:rPr>
          <w:rFonts w:ascii="Georgia" w:hAnsi="Georgia" w:cs="Al Tarikh"/>
          <w:b/>
          <w:sz w:val="24"/>
          <w:szCs w:val="24"/>
          <w:lang w:val="tr-TR"/>
        </w:rPr>
        <w:instrText>HYPERLINK "https://undocs.org/Home/Mobile?FinalSymbol=CED%2FC%2F8&amp;Language=E&amp;DeviceType=Desktop&amp;LangRequested=False"</w:instrText>
      </w:r>
      <w:r w:rsidRPr="00690856">
        <w:rPr>
          <w:rFonts w:ascii="Georgia" w:hAnsi="Georgia" w:cs="Al Tarikh"/>
          <w:b/>
          <w:sz w:val="24"/>
          <w:szCs w:val="24"/>
          <w:lang w:val="tr-TR"/>
        </w:rPr>
        <w:fldChar w:fldCharType="separate"/>
      </w:r>
      <w:r w:rsidRPr="00690856">
        <w:rPr>
          <w:rStyle w:val="Hyperlink"/>
          <w:rFonts w:ascii="Georgia" w:hAnsi="Georgia" w:cs="Al Tarikh"/>
          <w:b/>
          <w:sz w:val="24"/>
          <w:szCs w:val="24"/>
          <w:lang w:val="tr-TR"/>
        </w:rPr>
        <w:t>Komite ile işbirliği yapan birey ve gruplara yönelik sindirme ve misilleme eylemlerinin önlenmesi ve ele alınmasına yönelik kılavuz ilkeler</w:t>
      </w:r>
    </w:p>
    <w:p w14:paraId="0729DD2E" w14:textId="77777777" w:rsidR="00690856" w:rsidRPr="00690856" w:rsidRDefault="00690856" w:rsidP="00690856">
      <w:pPr>
        <w:pStyle w:val="Heading3"/>
        <w:jc w:val="both"/>
        <w:rPr>
          <w:rFonts w:ascii="Georgia" w:hAnsi="Georgia" w:cs="Al Tarikh"/>
          <w:lang w:val="tr-TR"/>
        </w:rPr>
      </w:pPr>
      <w:r w:rsidRPr="00690856">
        <w:rPr>
          <w:rFonts w:ascii="Georgia" w:eastAsiaTheme="minorEastAsia" w:hAnsi="Georgia" w:cs="Al Tarikh"/>
          <w:b/>
          <w:color w:val="auto"/>
          <w:lang w:val="tr-TR"/>
        </w:rPr>
        <w:fldChar w:fldCharType="end"/>
      </w:r>
      <w:r w:rsidRPr="00690856">
        <w:rPr>
          <w:rFonts w:ascii="Georgia" w:hAnsi="Georgia" w:cs="Al Tarikh"/>
          <w:b/>
          <w:lang w:val="tr-TR"/>
        </w:rPr>
        <w:t xml:space="preserve">Antlaşma organları </w:t>
      </w:r>
      <w:r>
        <w:rPr>
          <w:rFonts w:ascii="Georgia" w:hAnsi="Georgia" w:cs="Al Tarikh"/>
          <w:b/>
          <w:lang w:val="tr-TR"/>
        </w:rPr>
        <w:t>sindir</w:t>
      </w:r>
      <w:r w:rsidRPr="00690856">
        <w:rPr>
          <w:rFonts w:ascii="Georgia" w:hAnsi="Georgia" w:cs="Al Tarikh"/>
          <w:b/>
          <w:lang w:val="tr-TR"/>
        </w:rPr>
        <w:t>me ve misilleme eylemlerine karşı ne yapmışlardır?</w:t>
      </w:r>
    </w:p>
    <w:p w14:paraId="6C16EB00" w14:textId="77777777" w:rsidR="00690856" w:rsidRPr="00690856" w:rsidRDefault="00690856" w:rsidP="00690856">
      <w:pPr>
        <w:pStyle w:val="NormalWeb"/>
        <w:jc w:val="both"/>
        <w:rPr>
          <w:rFonts w:ascii="Georgia" w:hAnsi="Georgia" w:cs="Al Tarikh"/>
          <w:sz w:val="24"/>
          <w:szCs w:val="24"/>
          <w:lang w:val="tr-TR"/>
        </w:rPr>
      </w:pPr>
      <w:r w:rsidRPr="00690856">
        <w:rPr>
          <w:rFonts w:ascii="Georgia" w:hAnsi="Georgia" w:cs="Al Tarikh"/>
          <w:sz w:val="24"/>
          <w:szCs w:val="24"/>
          <w:lang w:val="tr-TR"/>
        </w:rPr>
        <w:t>Antlaşma organları, bireylerin ve grupların antlaşma organlarıyla özgürce etkileşim kurmalarının bu organların etkinliği ve etkililiği açısından kritik öneme sahip olduğunu sürekli olarak vurgulamış ve sindirrme ve misilleme eylemlerine ilişkin endişelerini toplu ve bireysel olarak defalarca dile getirmişlerdir.</w:t>
      </w:r>
    </w:p>
    <w:p w14:paraId="46424F2B" w14:textId="531B6A61" w:rsidR="00690856" w:rsidRPr="00690856" w:rsidRDefault="00690856" w:rsidP="00690856">
      <w:pPr>
        <w:pStyle w:val="NormalWeb"/>
        <w:jc w:val="both"/>
        <w:rPr>
          <w:rFonts w:ascii="Georgia" w:hAnsi="Georgia" w:cs="Al Tarikh"/>
          <w:sz w:val="24"/>
          <w:szCs w:val="24"/>
          <w:lang w:val="tr-TR"/>
        </w:rPr>
      </w:pPr>
      <w:r w:rsidRPr="00690856">
        <w:rPr>
          <w:rFonts w:ascii="Georgia" w:hAnsi="Georgia" w:cs="Al Tarikh"/>
          <w:sz w:val="24"/>
          <w:szCs w:val="24"/>
          <w:lang w:val="tr-TR"/>
        </w:rPr>
        <w:t>Sindirrme ve misilleme vakalarına yönelik artan ilgi ve antlaşma organlarının sindirrme veya misilleme riski altında olan veya bunların mağduru olan kişi ve gruplara yönelik müdahalelerine bütünlük kazandırmak ve bu kapsamda sağlanan korumayı güçlendirmek için duyulan acil ihtiyaç nedeniyle, antlaşma organlarının başkanları 2015 yılındaki yıllık toplantılarında Sindirrme veya Misillemeye Karşı San José Kılavuz İlkelerini (</w:t>
      </w:r>
      <w:hyperlink r:id="rId5" w:history="1">
        <w:r w:rsidRPr="00690856">
          <w:rPr>
            <w:rStyle w:val="Hyperlink"/>
            <w:rFonts w:ascii="Georgia" w:hAnsi="Georgia" w:cs="Al Tarikh"/>
            <w:sz w:val="24"/>
            <w:szCs w:val="24"/>
            <w:lang w:val="tr-TR"/>
          </w:rPr>
          <w:t>'</w:t>
        </w:r>
        <w:r w:rsidRPr="00690856">
          <w:rPr>
            <w:rStyle w:val="Hyperlink"/>
            <w:rFonts w:ascii="Georgia" w:hAnsi="Georgia" w:cs="Al Tarikh"/>
            <w:b/>
            <w:sz w:val="24"/>
            <w:szCs w:val="24"/>
            <w:lang w:val="tr-TR"/>
          </w:rPr>
          <w:t>San José Kılavuz İlkeleri</w:t>
        </w:r>
        <w:r w:rsidRPr="00690856">
          <w:rPr>
            <w:rStyle w:val="Hyperlink"/>
            <w:rFonts w:ascii="Georgia" w:hAnsi="Georgia" w:cs="Al Tarikh"/>
            <w:sz w:val="24"/>
            <w:szCs w:val="24"/>
            <w:lang w:val="tr-TR"/>
          </w:rPr>
          <w:t>'</w:t>
        </w:r>
      </w:hyperlink>
      <w:r w:rsidRPr="00690856">
        <w:rPr>
          <w:rFonts w:ascii="Georgia" w:hAnsi="Georgia" w:cs="Al Tarikh"/>
          <w:sz w:val="24"/>
          <w:szCs w:val="24"/>
          <w:lang w:val="tr-TR"/>
        </w:rPr>
        <w:t xml:space="preserve">) onaylamışlardır. San José Kılavuz İlkeleri, misillemelerin önlenmesi ve ele alınmasına yönelik antlaşma organı eylemlerinin verimliliğini ve etkinliğini artırmak amacıyla pratik bir kılavuz sağlamakta ve  odak noktalarının/raportörlerin işlevlerini şu çerçevede ortaya koymaktadır: 1) antlaşma organı sistemi genelinde tutarlılığı sağlamak; 2) sindirrme eylemlerine ilişkin iddiaları almak ve değerlendirmek; 3) en uygun eylem tarzını belirlemek; 4) bilgi paylaşmak, destekleyici eylemleri kolaylaştırmak ve yaklaşımları uyumlu hale getirmek için </w:t>
      </w:r>
      <w:r w:rsidR="006347B0">
        <w:rPr>
          <w:rFonts w:ascii="Georgia" w:hAnsi="Georgia" w:cs="Al Tarikh"/>
          <w:sz w:val="24"/>
          <w:szCs w:val="24"/>
          <w:lang w:val="tr-TR"/>
        </w:rPr>
        <w:lastRenderedPageBreak/>
        <w:t>misilleme odakları</w:t>
      </w:r>
      <w:r w:rsidRPr="00690856">
        <w:rPr>
          <w:rFonts w:ascii="Georgia" w:hAnsi="Georgia" w:cs="Al Tarikh"/>
          <w:sz w:val="24"/>
          <w:szCs w:val="24"/>
          <w:lang w:val="tr-TR"/>
        </w:rPr>
        <w:t>/raportörleri ağının bir parçası olmak; ve 5) iyi uygulamalara ilişkin bilgileri derlemek.</w:t>
      </w:r>
    </w:p>
    <w:p w14:paraId="78E3FB4F" w14:textId="77777777" w:rsidR="00690856" w:rsidRPr="00690856" w:rsidRDefault="00690856" w:rsidP="00690856">
      <w:pPr>
        <w:pStyle w:val="NormalWeb"/>
        <w:jc w:val="both"/>
        <w:rPr>
          <w:rFonts w:ascii="Georgia" w:hAnsi="Georgia" w:cs="Al Tarikh"/>
          <w:sz w:val="24"/>
          <w:szCs w:val="24"/>
          <w:lang w:val="tr-TR"/>
        </w:rPr>
      </w:pPr>
      <w:r w:rsidRPr="00690856">
        <w:rPr>
          <w:rFonts w:ascii="Georgia" w:hAnsi="Georgia" w:cs="Al Tarikh"/>
          <w:sz w:val="24"/>
          <w:szCs w:val="24"/>
          <w:lang w:val="tr-TR"/>
        </w:rPr>
        <w:t xml:space="preserve">Sözleşme organlarının çoğu </w:t>
      </w:r>
      <w:hyperlink r:id="rId6" w:history="1">
        <w:r w:rsidRPr="00690856">
          <w:rPr>
            <w:rStyle w:val="Hyperlink"/>
            <w:rFonts w:ascii="Georgia" w:hAnsi="Georgia" w:cs="Al Tarikh"/>
            <w:b/>
            <w:sz w:val="24"/>
            <w:szCs w:val="24"/>
            <w:lang w:val="tr-TR"/>
          </w:rPr>
          <w:t>San José Kılavuz İlkeleri</w:t>
        </w:r>
      </w:hyperlink>
      <w:r w:rsidRPr="00690856">
        <w:rPr>
          <w:rFonts w:ascii="Georgia" w:hAnsi="Georgia" w:cs="Al Tarikh"/>
          <w:sz w:val="24"/>
          <w:szCs w:val="24"/>
          <w:lang w:val="tr-TR"/>
        </w:rPr>
        <w:t>'ni onaylamıştır ve sindirrme ve misilleme vakalarını bu çerçevede ele almaktadır. Ayrıca</w:t>
      </w:r>
      <w:r w:rsidRPr="00690856">
        <w:rPr>
          <w:rFonts w:ascii="Georgia" w:hAnsi="Georgia" w:cs="Al Tarikh"/>
          <w:b/>
          <w:sz w:val="24"/>
          <w:szCs w:val="24"/>
          <w:lang w:val="tr-TR"/>
        </w:rPr>
        <w:t xml:space="preserve">, </w:t>
      </w:r>
      <w:hyperlink r:id="rId7" w:history="1">
        <w:r w:rsidRPr="00690856">
          <w:rPr>
            <w:rStyle w:val="Hyperlink"/>
            <w:rFonts w:ascii="Georgia" w:hAnsi="Georgia" w:cs="Al Tarikh"/>
            <w:b/>
            <w:sz w:val="24"/>
            <w:szCs w:val="24"/>
            <w:lang w:val="tr-TR"/>
          </w:rPr>
          <w:t>Kadınlara Karşı Ayrımcılığın Önlenmesi Komitesi</w:t>
        </w:r>
      </w:hyperlink>
      <w:r w:rsidRPr="00690856">
        <w:rPr>
          <w:rFonts w:ascii="Georgia" w:hAnsi="Georgia" w:cs="Al Tarikh"/>
          <w:sz w:val="24"/>
          <w:szCs w:val="24"/>
          <w:lang w:val="tr-TR"/>
        </w:rPr>
        <w:t xml:space="preserve"> (CEDAW), </w:t>
      </w:r>
      <w:hyperlink r:id="rId8" w:history="1">
        <w:r w:rsidRPr="00690856">
          <w:rPr>
            <w:rStyle w:val="Hyperlink"/>
            <w:rFonts w:ascii="Georgia" w:hAnsi="Georgia" w:cs="Al Tarikh"/>
            <w:b/>
            <w:sz w:val="24"/>
            <w:szCs w:val="24"/>
            <w:lang w:val="tr-TR"/>
          </w:rPr>
          <w:t>Zorla Kaybedilmeler Komitesi</w:t>
        </w:r>
      </w:hyperlink>
      <w:r w:rsidRPr="00690856">
        <w:rPr>
          <w:rFonts w:ascii="Georgia" w:hAnsi="Georgia" w:cs="Al Tarikh"/>
          <w:sz w:val="24"/>
          <w:szCs w:val="24"/>
          <w:lang w:val="tr-TR"/>
        </w:rPr>
        <w:t xml:space="preserve"> (CED), </w:t>
      </w:r>
      <w:hyperlink r:id="rId9" w:history="1">
        <w:r w:rsidRPr="00690856">
          <w:rPr>
            <w:rStyle w:val="Hyperlink"/>
            <w:rFonts w:ascii="Georgia" w:hAnsi="Georgia" w:cs="Al Tarikh"/>
            <w:b/>
            <w:sz w:val="24"/>
            <w:szCs w:val="24"/>
            <w:lang w:val="tr-TR"/>
          </w:rPr>
          <w:t>Irk Ayrımcılığının Ortadan Kaldırılması Komitesi</w:t>
        </w:r>
      </w:hyperlink>
      <w:r w:rsidRPr="00690856">
        <w:rPr>
          <w:rFonts w:ascii="Georgia" w:hAnsi="Georgia" w:cs="Al Tarikh"/>
          <w:sz w:val="24"/>
          <w:szCs w:val="24"/>
          <w:lang w:val="tr-TR"/>
        </w:rPr>
        <w:t xml:space="preserve"> (CERD), </w:t>
      </w:r>
      <w:hyperlink r:id="rId10" w:history="1">
        <w:r w:rsidRPr="00690856">
          <w:rPr>
            <w:rStyle w:val="Hyperlink"/>
            <w:rFonts w:ascii="Georgia" w:hAnsi="Georgia" w:cs="Al Tarikh"/>
            <w:b/>
            <w:sz w:val="24"/>
            <w:szCs w:val="24"/>
            <w:lang w:val="tr-TR"/>
          </w:rPr>
          <w:t>İşkence ve Diğer Zalimane, İnsanlık Dışı veya Onur Kırıcı Muamele veya Cezaların Önlenmesi Alt Komitesi</w:t>
        </w:r>
      </w:hyperlink>
      <w:r w:rsidRPr="00690856">
        <w:rPr>
          <w:rFonts w:ascii="Georgia" w:hAnsi="Georgia" w:cs="Al Tarikh"/>
          <w:sz w:val="24"/>
          <w:szCs w:val="24"/>
          <w:lang w:val="tr-TR"/>
        </w:rPr>
        <w:t xml:space="preserve"> (SPT), </w:t>
      </w:r>
      <w:hyperlink r:id="rId11" w:history="1">
        <w:r w:rsidRPr="00690856">
          <w:rPr>
            <w:rStyle w:val="Hyperlink"/>
            <w:rFonts w:ascii="Georgia" w:hAnsi="Georgia" w:cs="Al Tarikh"/>
            <w:b/>
            <w:sz w:val="24"/>
            <w:szCs w:val="24"/>
            <w:lang w:val="tr-TR"/>
          </w:rPr>
          <w:t>İşkenceye Karşı Komite</w:t>
        </w:r>
      </w:hyperlink>
      <w:r w:rsidRPr="00690856">
        <w:rPr>
          <w:rFonts w:ascii="Georgia" w:hAnsi="Georgia" w:cs="Al Tarikh"/>
          <w:sz w:val="24"/>
          <w:szCs w:val="24"/>
          <w:lang w:val="tr-TR"/>
        </w:rPr>
        <w:t xml:space="preserve"> (CAT), </w:t>
      </w:r>
      <w:hyperlink r:id="rId12" w:history="1">
        <w:r w:rsidRPr="00690856">
          <w:rPr>
            <w:rStyle w:val="Hyperlink"/>
            <w:rFonts w:ascii="Georgia" w:hAnsi="Georgia" w:cs="Al Tarikh"/>
            <w:b/>
            <w:sz w:val="24"/>
            <w:szCs w:val="24"/>
            <w:lang w:val="tr-TR"/>
          </w:rPr>
          <w:t>Engelli Hakları Komitesi</w:t>
        </w:r>
      </w:hyperlink>
      <w:r w:rsidRPr="00690856">
        <w:rPr>
          <w:rFonts w:ascii="Georgia" w:hAnsi="Georgia" w:cs="Al Tarikh"/>
          <w:sz w:val="24"/>
          <w:szCs w:val="24"/>
          <w:lang w:val="tr-TR"/>
        </w:rPr>
        <w:t xml:space="preserve"> (CRPD) ve </w:t>
      </w:r>
      <w:hyperlink r:id="rId13" w:history="1">
        <w:r w:rsidRPr="00690856">
          <w:rPr>
            <w:rStyle w:val="Hyperlink"/>
            <w:rFonts w:ascii="Georgia" w:hAnsi="Georgia" w:cs="Al Tarikh"/>
            <w:b/>
            <w:sz w:val="24"/>
            <w:szCs w:val="24"/>
            <w:lang w:val="tr-TR"/>
          </w:rPr>
          <w:t>Bütün Göçmen İşçilerin ve Aile Üyelerinin Haklarının Korunması Komitesi</w:t>
        </w:r>
      </w:hyperlink>
      <w:r w:rsidRPr="00690856">
        <w:rPr>
          <w:rFonts w:ascii="Georgia" w:hAnsi="Georgia" w:cs="Al Tarikh"/>
          <w:sz w:val="24"/>
          <w:szCs w:val="24"/>
          <w:lang w:val="tr-TR"/>
        </w:rPr>
        <w:t>'nin (CMW) web sayfalarında misilleme vakalarının nasıl rapor edileceğine dair kılavuzlar veya bilgiler yer almaktadır.</w:t>
      </w:r>
    </w:p>
    <w:p w14:paraId="5D2D0BF8" w14:textId="77777777" w:rsidR="00690856" w:rsidRPr="00690856" w:rsidRDefault="00690856" w:rsidP="00690856">
      <w:pPr>
        <w:jc w:val="both"/>
        <w:rPr>
          <w:rFonts w:ascii="Georgia" w:hAnsi="Georgia" w:cs="Al Tarikh"/>
          <w:b/>
          <w:sz w:val="24"/>
          <w:szCs w:val="24"/>
          <w:lang w:val="tr-TR"/>
        </w:rPr>
      </w:pPr>
      <w:r w:rsidRPr="00690856">
        <w:rPr>
          <w:rFonts w:ascii="Georgia" w:hAnsi="Georgia" w:cs="Al Tarikh"/>
          <w:b/>
          <w:sz w:val="24"/>
          <w:szCs w:val="24"/>
          <w:lang w:val="tr-TR"/>
        </w:rPr>
        <w:t>Bir Antlaşma Organı sindirrme ve misilleme iddialarına nasıl karşılık verir?</w:t>
      </w:r>
    </w:p>
    <w:p w14:paraId="2431161E" w14:textId="164B70A0" w:rsidR="00690856" w:rsidRPr="00690856" w:rsidRDefault="00690856" w:rsidP="00690856">
      <w:pPr>
        <w:jc w:val="both"/>
        <w:rPr>
          <w:rFonts w:ascii="Georgia" w:hAnsi="Georgia" w:cs="Al Tarikh"/>
          <w:sz w:val="24"/>
          <w:szCs w:val="24"/>
          <w:lang w:val="tr-TR"/>
        </w:rPr>
      </w:pPr>
      <w:r w:rsidRPr="00690856">
        <w:rPr>
          <w:rFonts w:ascii="Georgia" w:hAnsi="Georgia" w:cs="Al Tarikh"/>
          <w:sz w:val="24"/>
          <w:szCs w:val="24"/>
          <w:lang w:val="tr-TR"/>
        </w:rPr>
        <w:t>Tüm antlaşma organları misilleme i</w:t>
      </w:r>
      <w:r w:rsidR="006347B0">
        <w:rPr>
          <w:rFonts w:ascii="Georgia" w:hAnsi="Georgia" w:cs="Al Tarikh"/>
          <w:sz w:val="24"/>
          <w:szCs w:val="24"/>
          <w:lang w:val="tr-TR"/>
        </w:rPr>
        <w:t>ddialarını ele almak üzere odaklar/</w:t>
      </w:r>
      <w:r w:rsidRPr="00690856">
        <w:rPr>
          <w:rFonts w:ascii="Georgia" w:hAnsi="Georgia" w:cs="Al Tarikh"/>
          <w:sz w:val="24"/>
          <w:szCs w:val="24"/>
          <w:lang w:val="tr-TR"/>
        </w:rPr>
        <w:t xml:space="preserve">raportörler </w:t>
      </w:r>
      <w:r w:rsidR="006347B0">
        <w:rPr>
          <w:rFonts w:ascii="Georgia" w:hAnsi="Georgia" w:cs="Al Tarikh"/>
          <w:sz w:val="24"/>
          <w:szCs w:val="24"/>
          <w:lang w:val="tr-TR"/>
        </w:rPr>
        <w:t>belirlemiştir</w:t>
      </w:r>
      <w:r w:rsidRPr="00690856">
        <w:rPr>
          <w:rFonts w:ascii="Georgia" w:hAnsi="Georgia" w:cs="Al Tarikh"/>
          <w:sz w:val="24"/>
          <w:szCs w:val="24"/>
          <w:lang w:val="tr-TR"/>
        </w:rPr>
        <w:t>. Antlaşma organları, yıldırma ve misilleme iddialarıyla karşılaştıklarında nasıl tepki verecekleri konusunda çeşitlilik gösterir. Bazıları, Daimi Temsilciliklerle görüşme, Devletlere yazı gönderme, Birleşmiş Milletler Özel Prosedürleri ve Yüksek Komiser aracılığıyla konuyu gündeme getirme ve sonuç gözlemleri, basın açıklamaları, İnsan Hakları Konseyi ve Genel Kurul raporları veya ülkelerle interaktif diyaloglar sırasında konuyu gündeme getirme gibi hem gizli hem de kamuya açık eylemler gerçekleştirmektedir. Tüm bu seçenekler, ilgili kişilerin bilgilendirilmiş ve hür rızaları alınarak ve "zarar vermeme", gizlilik, emniyet ve güvenlik ilkelerine saygı gösterilerek, vaka bazında dikkatle değerlendirilir.</w:t>
      </w:r>
    </w:p>
    <w:p w14:paraId="0A2A3B64" w14:textId="77777777" w:rsidR="007D40C8" w:rsidRPr="00690856" w:rsidRDefault="00C84AB1" w:rsidP="00690856">
      <w:pPr>
        <w:jc w:val="both"/>
        <w:rPr>
          <w:rFonts w:ascii="Georgia" w:hAnsi="Georgia" w:cs="Al Tarikh"/>
          <w:sz w:val="24"/>
          <w:szCs w:val="24"/>
          <w:lang w:val="tr-TR"/>
        </w:rPr>
      </w:pPr>
      <w:hyperlink r:id="rId14" w:history="1">
        <w:r w:rsidR="00690856" w:rsidRPr="00690856">
          <w:rPr>
            <w:rStyle w:val="Hyperlink"/>
            <w:rFonts w:ascii="Georgia" w:hAnsi="Georgia" w:cs="Al Tarikh"/>
            <w:b/>
            <w:sz w:val="24"/>
            <w:szCs w:val="24"/>
            <w:lang w:val="tr-TR"/>
          </w:rPr>
          <w:t>San José Kılavuz İlkeleri</w:t>
        </w:r>
      </w:hyperlink>
      <w:r w:rsidR="00690856" w:rsidRPr="00690856">
        <w:rPr>
          <w:rFonts w:ascii="Georgia" w:hAnsi="Georgia" w:cs="Al Tarikh"/>
          <w:sz w:val="24"/>
          <w:szCs w:val="24"/>
          <w:lang w:val="tr-TR"/>
        </w:rPr>
        <w:t xml:space="preserve"> ayrıca, bireylerden ve gruplardan gelen başvuruların gizli tutulmasına izin verilmesi, menfaat sahipleriyle kapalı toplantılar yapılması ve taraf Devletlere, sözleşme organlarıyla işbirliği yapanlara karşı her türlü sindirrme veya misilleme eylemini önleme ve bunlardan kaçınma yükümlülüklerinin hatırlatılması gibi önleyici tedbirleri de ortaya koymaktadır. Farkındalık yaratma girişimleri, sözleşme organlarının tüm menfaat sahipleriyle işbirliği içinde hareket etmenin ve San José Kılavuz İlkeleri hakkında bilgi paylaşmanın önemini vurgulamanın bir başka yoludur.</w:t>
      </w:r>
    </w:p>
    <w:p w14:paraId="1135318A" w14:textId="77777777" w:rsidR="007D40C8" w:rsidRPr="00690856" w:rsidRDefault="007D40C8" w:rsidP="00690856">
      <w:pPr>
        <w:widowControl w:val="0"/>
        <w:autoSpaceDE w:val="0"/>
        <w:autoSpaceDN w:val="0"/>
        <w:adjustRightInd w:val="0"/>
        <w:jc w:val="both"/>
        <w:rPr>
          <w:rFonts w:ascii="Georgia" w:hAnsi="Georgia" w:cs="Al Tarikh"/>
          <w:sz w:val="24"/>
          <w:szCs w:val="24"/>
          <w:lang w:val="tr-TR"/>
        </w:rPr>
      </w:pPr>
    </w:p>
    <w:p w14:paraId="40BA362D" w14:textId="77777777" w:rsidR="00690856" w:rsidRPr="00690856" w:rsidRDefault="00690856" w:rsidP="00690856">
      <w:pPr>
        <w:widowControl w:val="0"/>
        <w:autoSpaceDE w:val="0"/>
        <w:autoSpaceDN w:val="0"/>
        <w:adjustRightInd w:val="0"/>
        <w:jc w:val="both"/>
        <w:rPr>
          <w:rFonts w:ascii="Georgia" w:hAnsi="Georgia" w:cs="Al Tarikh"/>
          <w:b/>
          <w:bCs/>
          <w:sz w:val="24"/>
          <w:szCs w:val="24"/>
          <w:lang w:val="tr-TR"/>
        </w:rPr>
      </w:pPr>
      <w:r w:rsidRPr="00690856">
        <w:rPr>
          <w:rFonts w:ascii="Georgia" w:hAnsi="Georgia" w:cs="Al Tarikh"/>
          <w:b/>
          <w:bCs/>
          <w:sz w:val="24"/>
          <w:szCs w:val="24"/>
          <w:lang w:val="tr-TR"/>
        </w:rPr>
        <w:t>UNCAT kapsamında misilleme ve sindirrme fiillerine karşı koruma</w:t>
      </w:r>
    </w:p>
    <w:p w14:paraId="42BD3B48" w14:textId="77777777" w:rsidR="00690856" w:rsidRPr="00690856" w:rsidRDefault="00690856" w:rsidP="00690856">
      <w:pPr>
        <w:widowControl w:val="0"/>
        <w:autoSpaceDE w:val="0"/>
        <w:autoSpaceDN w:val="0"/>
        <w:adjustRightInd w:val="0"/>
        <w:jc w:val="both"/>
        <w:rPr>
          <w:rFonts w:ascii="Georgia" w:hAnsi="Georgia" w:cs="Al Tarikh"/>
          <w:b/>
          <w:bCs/>
          <w:sz w:val="24"/>
          <w:szCs w:val="24"/>
          <w:lang w:val="tr-TR"/>
        </w:rPr>
      </w:pPr>
    </w:p>
    <w:p w14:paraId="70981850" w14:textId="77777777" w:rsidR="00690856" w:rsidRPr="00690856" w:rsidRDefault="00690856" w:rsidP="00690856">
      <w:pPr>
        <w:widowControl w:val="0"/>
        <w:autoSpaceDE w:val="0"/>
        <w:autoSpaceDN w:val="0"/>
        <w:adjustRightInd w:val="0"/>
        <w:jc w:val="both"/>
        <w:rPr>
          <w:rFonts w:ascii="Georgia" w:hAnsi="Georgia" w:cs="Al Tarikh"/>
          <w:bCs/>
          <w:sz w:val="24"/>
          <w:szCs w:val="24"/>
          <w:lang w:val="tr-TR"/>
        </w:rPr>
      </w:pPr>
      <w:r w:rsidRPr="00690856">
        <w:rPr>
          <w:rFonts w:ascii="Georgia" w:hAnsi="Georgia" w:cs="Al Tarikh"/>
          <w:bCs/>
          <w:sz w:val="24"/>
          <w:szCs w:val="24"/>
          <w:lang w:val="tr-TR"/>
        </w:rPr>
        <w:t xml:space="preserve">İşkenceye Karşı Komite, 2013 yılındaki kırk dokuzuncu oturumunda, sivil toplum kuruluşlarına, insan hakları savunucularına, mağdurlara ve tanıklara yönelik misilleme vakalarını önlemek, izlemek ve takip etmek için bir mekanizma oluşturmaya karar vermiştir. Ardından, 19. madde kapsamında misillemeler konusunda bir raportör ve 20. ve 22. maddeler kapsamında misillemeler konusunda da başka bir raportör atamıştır. Komite, elli beşinci oturumunda, Sözleşme'nin 13, 19, 20 ve 22. maddeleri kapsamında Komite ile işbirliği yapan kişi ve kuruluşlara yönelik misilleme iddialarının alınması ve ele alınmasına ilişkin kılavuz ilkeleri kabul etmiştir. Bu kılavuz ilkeler, Sindirrme veya Misillemelere Karşı Kılavuz İlkelerin (San José Kılavuz İlkeleri) öneminin açık bir şekilde tanınmasını içermektedir. </w:t>
      </w:r>
    </w:p>
    <w:p w14:paraId="15E9A921" w14:textId="77777777" w:rsidR="00690856" w:rsidRPr="00690856" w:rsidRDefault="00690856" w:rsidP="00690856">
      <w:pPr>
        <w:widowControl w:val="0"/>
        <w:autoSpaceDE w:val="0"/>
        <w:autoSpaceDN w:val="0"/>
        <w:adjustRightInd w:val="0"/>
        <w:jc w:val="both"/>
        <w:rPr>
          <w:rFonts w:ascii="Georgia" w:hAnsi="Georgia" w:cs="Al Tarikh"/>
          <w:b/>
          <w:bCs/>
          <w:sz w:val="24"/>
          <w:szCs w:val="24"/>
          <w:lang w:val="tr-TR"/>
        </w:rPr>
      </w:pPr>
    </w:p>
    <w:p w14:paraId="400A1867" w14:textId="77777777" w:rsidR="00690856" w:rsidRPr="00690856" w:rsidRDefault="00690856" w:rsidP="00690856">
      <w:pPr>
        <w:widowControl w:val="0"/>
        <w:autoSpaceDE w:val="0"/>
        <w:autoSpaceDN w:val="0"/>
        <w:adjustRightInd w:val="0"/>
        <w:jc w:val="both"/>
        <w:rPr>
          <w:rFonts w:ascii="Georgia" w:hAnsi="Georgia" w:cs="Al Tarikh"/>
          <w:b/>
          <w:bCs/>
          <w:sz w:val="24"/>
          <w:szCs w:val="24"/>
          <w:lang w:val="tr-TR"/>
        </w:rPr>
      </w:pPr>
      <w:r w:rsidRPr="00690856">
        <w:rPr>
          <w:rFonts w:ascii="Georgia" w:hAnsi="Georgia" w:cs="Al Tarikh"/>
          <w:b/>
          <w:bCs/>
          <w:sz w:val="24"/>
          <w:szCs w:val="24"/>
          <w:lang w:val="tr-TR"/>
        </w:rPr>
        <w:t>Komite'nin çalışmaları bağlamında kimler misilleme mağduru sayılabilir?</w:t>
      </w:r>
    </w:p>
    <w:p w14:paraId="5E56F0D9" w14:textId="77777777" w:rsidR="007D40C8" w:rsidRPr="00690856" w:rsidRDefault="00690856" w:rsidP="00690856">
      <w:pPr>
        <w:widowControl w:val="0"/>
        <w:autoSpaceDE w:val="0"/>
        <w:autoSpaceDN w:val="0"/>
        <w:adjustRightInd w:val="0"/>
        <w:jc w:val="both"/>
        <w:rPr>
          <w:rFonts w:ascii="Georgia" w:hAnsi="Georgia" w:cs="Al Tarikh"/>
          <w:bCs/>
          <w:sz w:val="24"/>
          <w:szCs w:val="24"/>
          <w:lang w:val="tr-TR"/>
        </w:rPr>
      </w:pPr>
      <w:r w:rsidRPr="00690856">
        <w:rPr>
          <w:rFonts w:ascii="Georgia" w:hAnsi="Georgia" w:cs="Al Tarikh"/>
          <w:bCs/>
          <w:sz w:val="24"/>
          <w:szCs w:val="24"/>
          <w:lang w:val="tr-TR"/>
        </w:rPr>
        <w:lastRenderedPageBreak/>
        <w:t>Sivil toplum örgütleri ve insan hakları savunucuları da dahil olmak üzere, insan haklarının savunulmasında aktif olan bireyler veya gruplar, İKS de dahil olmak üzere, taraf Devletlerin raporlarının incelenmesi bağlamında Komite'ye bilgi sunma veya şikayet prosedürleri kapsamında bireysel şikayetler sunma, Komite ile diyaloğa katılma yoluyla sözleşme organlarıyla olan temasları nedeniyle bazen Hükümetlerin misillemeleriyle karşılaşmaktadır. Vakaların çoğunda misillemeler, söz konusu kişi ve gruplara yönelik tehdit, taciz ve seyahat yasakları da dahil olmak üzere idari veya cezai usülleri içermektedir.</w:t>
      </w:r>
    </w:p>
    <w:p w14:paraId="48628EF8" w14:textId="77777777" w:rsidR="00690856" w:rsidRPr="00690856" w:rsidRDefault="00690856" w:rsidP="00690856">
      <w:pPr>
        <w:widowControl w:val="0"/>
        <w:autoSpaceDE w:val="0"/>
        <w:autoSpaceDN w:val="0"/>
        <w:adjustRightInd w:val="0"/>
        <w:jc w:val="both"/>
        <w:rPr>
          <w:rFonts w:ascii="Georgia" w:hAnsi="Georgia" w:cs="Al Tarikh"/>
          <w:b/>
          <w:sz w:val="24"/>
          <w:szCs w:val="24"/>
          <w:lang w:val="tr-TR"/>
        </w:rPr>
      </w:pPr>
    </w:p>
    <w:p w14:paraId="0813ADA5" w14:textId="77777777" w:rsidR="00690856" w:rsidRPr="00690856" w:rsidRDefault="00690856" w:rsidP="00690856">
      <w:pPr>
        <w:pStyle w:val="Heading3"/>
        <w:jc w:val="both"/>
        <w:rPr>
          <w:rFonts w:ascii="Georgia" w:eastAsiaTheme="minorHAnsi" w:hAnsi="Georgia" w:cs="Al Tarikh"/>
          <w:b/>
          <w:color w:val="auto"/>
          <w:lang w:val="tr-TR"/>
        </w:rPr>
      </w:pPr>
      <w:r w:rsidRPr="00690856">
        <w:rPr>
          <w:rFonts w:ascii="Georgia" w:eastAsiaTheme="minorHAnsi" w:hAnsi="Georgia" w:cs="Al Tarikh"/>
          <w:b/>
          <w:color w:val="auto"/>
          <w:lang w:val="tr-TR"/>
        </w:rPr>
        <w:t>Misilleme ile ilgili raportörün temel yükümlülükleri nelerdir?</w:t>
      </w:r>
    </w:p>
    <w:p w14:paraId="75F9357B" w14:textId="77777777" w:rsidR="00690856" w:rsidRPr="00690856" w:rsidRDefault="00690856" w:rsidP="00690856">
      <w:pPr>
        <w:pStyle w:val="Heading3"/>
        <w:jc w:val="both"/>
        <w:rPr>
          <w:rFonts w:ascii="Georgia" w:eastAsiaTheme="minorHAnsi" w:hAnsi="Georgia" w:cs="Al Tarikh"/>
          <w:color w:val="auto"/>
          <w:lang w:val="tr-TR"/>
        </w:rPr>
      </w:pPr>
      <w:r w:rsidRPr="00690856">
        <w:rPr>
          <w:rFonts w:ascii="Georgia" w:eastAsiaTheme="minorHAnsi" w:hAnsi="Georgia" w:cs="Al Tarikh"/>
          <w:color w:val="auto"/>
          <w:lang w:val="tr-TR"/>
        </w:rPr>
        <w:t>Yukarıda belirtilen Kılavuz İlkelere göre raportör, misilleme eylemlerine ilişkin şikâyet ve bilgileri kabul etmeli, kaynağı ne olursa olsun kendisine doğrudan ulaşan iddialar hakkında sekreterliği bilgilendirmeli, bilgilerin yazılı olarak sunulmasını teşvik etmeli, tehdide ilişkin bir ön değerlendirme yapmalı (Sözleşme'ye taraf bir devlette misilleme eylemleri veya tehditlerine ilişkin iddialar hakkındaki bilgiler, STK'lar ve medya dâhil olmak üzere güvenilir kaynaklara başvurularak doğrulanmalıdır), eyleme geçilmesi yönünde bir tavsiye metni hazırlamalı ve sekreterlik aracılığıyla vakadaki gelişmeleri izlemelidir. Misilleme raportörlüğü görevi, ilgili devletin daimi temsilcisi ile iletişim kurmayı ve toplantılar yapmayı, diğer ilgili ulusal ve uluslararası organları ve diğer sözleşme organlarını bilgilendirmeyi de içerir. Ayrıca, durumu objektif olarak değerlendirmek ve misilleme riski altındaki kişilerle özel olarak buluşup görüşmek amacıyla ilgili devlete ziyaretler ve takip ziyaretleri gerçekleştirebilir.</w:t>
      </w:r>
    </w:p>
    <w:p w14:paraId="7485A5C5" w14:textId="77777777" w:rsidR="00690856" w:rsidRPr="00690856" w:rsidRDefault="00690856" w:rsidP="00690856">
      <w:pPr>
        <w:jc w:val="both"/>
        <w:rPr>
          <w:lang w:val="tr-TR"/>
        </w:rPr>
      </w:pPr>
    </w:p>
    <w:p w14:paraId="46355A98" w14:textId="77777777" w:rsidR="00690856" w:rsidRPr="00690856" w:rsidRDefault="00690856" w:rsidP="00690856">
      <w:pPr>
        <w:pStyle w:val="Heading3"/>
        <w:jc w:val="both"/>
        <w:rPr>
          <w:rFonts w:ascii="Georgia" w:eastAsiaTheme="minorHAnsi" w:hAnsi="Georgia" w:cs="Al Tarikh"/>
          <w:color w:val="auto"/>
          <w:lang w:val="tr-TR"/>
        </w:rPr>
      </w:pPr>
      <w:r w:rsidRPr="00690856">
        <w:rPr>
          <w:rFonts w:ascii="Georgia" w:eastAsiaTheme="minorHAnsi" w:hAnsi="Georgia" w:cs="Al Tarikh"/>
          <w:color w:val="auto"/>
          <w:lang w:val="tr-TR"/>
        </w:rPr>
        <w:t>Tüm iddialar en üst düzeyde gizlilikle ve "zarar vermeme" ilkesine uygun olarak ele alınmalıdır.</w:t>
      </w:r>
    </w:p>
    <w:p w14:paraId="07E165F2" w14:textId="77777777" w:rsidR="00690856" w:rsidRPr="00690856" w:rsidRDefault="00690856" w:rsidP="00690856">
      <w:pPr>
        <w:pStyle w:val="Heading3"/>
        <w:jc w:val="both"/>
        <w:rPr>
          <w:rFonts w:ascii="Georgia" w:eastAsiaTheme="minorHAnsi" w:hAnsi="Georgia" w:cs="Al Tarikh"/>
          <w:color w:val="auto"/>
          <w:lang w:val="tr-TR"/>
        </w:rPr>
      </w:pPr>
      <w:r w:rsidRPr="00690856">
        <w:rPr>
          <w:rFonts w:ascii="Georgia" w:eastAsiaTheme="minorHAnsi" w:hAnsi="Georgia" w:cs="Al Tarikh"/>
          <w:color w:val="auto"/>
          <w:lang w:val="tr-TR"/>
        </w:rPr>
        <w:t>Kural olarak, raporlama döneminde raportörler tarafından gerçekleştirilen faaliyetlere ilişkin bilgiler Komite web sayfasında misillemelere ilişkin özel bir başlık altında yer almaktadır.</w:t>
      </w:r>
    </w:p>
    <w:p w14:paraId="6D109787" w14:textId="77777777" w:rsidR="00690856" w:rsidRPr="00690856" w:rsidRDefault="00690856" w:rsidP="00690856">
      <w:pPr>
        <w:pStyle w:val="Heading3"/>
        <w:jc w:val="both"/>
        <w:rPr>
          <w:rFonts w:ascii="Georgia" w:eastAsiaTheme="minorHAnsi" w:hAnsi="Georgia" w:cs="Al Tarikh"/>
          <w:b/>
          <w:color w:val="auto"/>
          <w:lang w:val="tr-TR"/>
        </w:rPr>
      </w:pPr>
    </w:p>
    <w:p w14:paraId="30921319" w14:textId="77777777" w:rsidR="007D40C8" w:rsidRPr="00690856" w:rsidRDefault="00690856" w:rsidP="00690856">
      <w:pPr>
        <w:pStyle w:val="Heading3"/>
        <w:jc w:val="both"/>
        <w:rPr>
          <w:rFonts w:ascii="Georgia" w:hAnsi="Georgia" w:cs="Al Tarikh"/>
          <w:color w:val="000000"/>
          <w:lang w:val="tr-TR"/>
        </w:rPr>
      </w:pPr>
      <w:r w:rsidRPr="00690856">
        <w:rPr>
          <w:rFonts w:ascii="Georgia" w:hAnsi="Georgia" w:cs="Al Tarikh"/>
          <w:b/>
          <w:bCs/>
          <w:color w:val="000000"/>
          <w:lang w:val="tr-TR"/>
        </w:rPr>
        <w:t>Misilleme vakalarını bireysel anlaşma organlarına bildirirken lütfen aşağıdaki hususlara ilişkin bilgileri de temin ediniz</w:t>
      </w:r>
    </w:p>
    <w:p w14:paraId="6EF38610" w14:textId="77777777" w:rsidR="00690856" w:rsidRPr="00690856" w:rsidRDefault="00690856" w:rsidP="00690856">
      <w:pPr>
        <w:numPr>
          <w:ilvl w:val="0"/>
          <w:numId w:val="1"/>
        </w:numPr>
        <w:spacing w:before="100" w:beforeAutospacing="1" w:after="100" w:afterAutospacing="1"/>
        <w:jc w:val="both"/>
        <w:rPr>
          <w:rFonts w:ascii="Georgia" w:hAnsi="Georgia" w:cs="Al Tarikh"/>
          <w:sz w:val="24"/>
          <w:szCs w:val="24"/>
          <w:lang w:val="tr-TR"/>
        </w:rPr>
      </w:pPr>
      <w:r w:rsidRPr="00690856">
        <w:rPr>
          <w:rFonts w:ascii="Georgia" w:hAnsi="Georgia" w:cs="Al Tarikh"/>
          <w:sz w:val="24"/>
          <w:szCs w:val="24"/>
          <w:lang w:val="tr-TR"/>
        </w:rPr>
        <w:t>Hangi vakanın kimin başına, nerede ve ne zaman geldiğini tarif edin</w:t>
      </w:r>
    </w:p>
    <w:p w14:paraId="0F6B07CE" w14:textId="77777777" w:rsidR="00690856" w:rsidRPr="00690856" w:rsidRDefault="00690856" w:rsidP="00690856">
      <w:pPr>
        <w:numPr>
          <w:ilvl w:val="0"/>
          <w:numId w:val="1"/>
        </w:numPr>
        <w:spacing w:before="100" w:beforeAutospacing="1" w:after="100" w:afterAutospacing="1"/>
        <w:jc w:val="both"/>
        <w:rPr>
          <w:rFonts w:ascii="Georgia" w:hAnsi="Georgia" w:cs="Al Tarikh"/>
          <w:sz w:val="24"/>
          <w:szCs w:val="24"/>
          <w:lang w:val="tr-TR"/>
        </w:rPr>
      </w:pPr>
      <w:r w:rsidRPr="00690856">
        <w:rPr>
          <w:rFonts w:ascii="Georgia" w:hAnsi="Georgia" w:cs="Al Tarikh"/>
          <w:sz w:val="24"/>
          <w:szCs w:val="24"/>
          <w:lang w:val="tr-TR"/>
        </w:rPr>
        <w:t>İddia edilen mağdurun/mağdurların söz konusu anlaşma organıyla olan ilişkisini/etkileşimini ve gerekirse daha geniş bir bağlamı açıklayın (ilişkinin geçmişi, önceki olaylar, vb.)</w:t>
      </w:r>
    </w:p>
    <w:p w14:paraId="18172435" w14:textId="77777777" w:rsidR="00690856" w:rsidRPr="00690856" w:rsidRDefault="00690856" w:rsidP="00690856">
      <w:pPr>
        <w:numPr>
          <w:ilvl w:val="0"/>
          <w:numId w:val="1"/>
        </w:numPr>
        <w:spacing w:before="100" w:beforeAutospacing="1" w:after="100" w:afterAutospacing="1"/>
        <w:jc w:val="both"/>
        <w:rPr>
          <w:rFonts w:ascii="Georgia" w:hAnsi="Georgia" w:cs="Al Tarikh"/>
          <w:sz w:val="24"/>
          <w:szCs w:val="24"/>
          <w:lang w:val="tr-TR"/>
        </w:rPr>
      </w:pPr>
      <w:r w:rsidRPr="00690856">
        <w:rPr>
          <w:rFonts w:ascii="Georgia" w:hAnsi="Georgia" w:cs="Al Tarikh"/>
          <w:sz w:val="24"/>
          <w:szCs w:val="24"/>
          <w:lang w:val="tr-TR"/>
        </w:rPr>
        <w:t>Fail olduğu iddia edilen kişiyi tanımlayın</w:t>
      </w:r>
    </w:p>
    <w:p w14:paraId="4AD4CBD6" w14:textId="77777777" w:rsidR="00690856" w:rsidRPr="00690856" w:rsidRDefault="00690856" w:rsidP="00690856">
      <w:pPr>
        <w:numPr>
          <w:ilvl w:val="0"/>
          <w:numId w:val="1"/>
        </w:numPr>
        <w:spacing w:before="100" w:beforeAutospacing="1" w:after="100" w:afterAutospacing="1"/>
        <w:jc w:val="both"/>
        <w:rPr>
          <w:rFonts w:ascii="Georgia" w:hAnsi="Georgia" w:cs="Al Tarikh"/>
          <w:sz w:val="24"/>
          <w:szCs w:val="24"/>
          <w:lang w:val="tr-TR"/>
        </w:rPr>
      </w:pPr>
      <w:r w:rsidRPr="00690856">
        <w:rPr>
          <w:rFonts w:ascii="Georgia" w:hAnsi="Georgia" w:cs="Al Tarikh"/>
          <w:sz w:val="24"/>
          <w:szCs w:val="24"/>
          <w:lang w:val="tr-TR"/>
        </w:rPr>
        <w:t>Vakanın/durumun ulusal/yerel makamların (polis veya başka) dikkatine sunulup sunulmadığını, sunulmadıysa sebebini belirtin</w:t>
      </w:r>
    </w:p>
    <w:p w14:paraId="609CAEA0" w14:textId="77777777" w:rsidR="00690856" w:rsidRPr="00690856" w:rsidRDefault="00690856" w:rsidP="00690856">
      <w:pPr>
        <w:numPr>
          <w:ilvl w:val="0"/>
          <w:numId w:val="1"/>
        </w:numPr>
        <w:spacing w:before="100" w:beforeAutospacing="1" w:after="100" w:afterAutospacing="1"/>
        <w:jc w:val="both"/>
        <w:rPr>
          <w:rFonts w:ascii="Georgia" w:hAnsi="Georgia" w:cs="Al Tarikh"/>
          <w:sz w:val="24"/>
          <w:szCs w:val="24"/>
          <w:lang w:val="tr-TR"/>
        </w:rPr>
      </w:pPr>
      <w:r w:rsidRPr="00690856">
        <w:rPr>
          <w:rFonts w:ascii="Georgia" w:hAnsi="Georgia" w:cs="Al Tarikh"/>
          <w:sz w:val="24"/>
          <w:szCs w:val="24"/>
          <w:lang w:val="tr-TR"/>
        </w:rPr>
        <w:t>Vakanın söz konusu anlaşma organıyla harekete geçilmesi için mi yoksa sadece bilgi için mi paylaşıldığını belirtin</w:t>
      </w:r>
    </w:p>
    <w:p w14:paraId="75E420D0" w14:textId="77777777" w:rsidR="00690856" w:rsidRPr="00690856" w:rsidRDefault="00690856" w:rsidP="00690856">
      <w:pPr>
        <w:numPr>
          <w:ilvl w:val="0"/>
          <w:numId w:val="1"/>
        </w:numPr>
        <w:spacing w:before="100" w:beforeAutospacing="1" w:after="100" w:afterAutospacing="1"/>
        <w:jc w:val="both"/>
        <w:rPr>
          <w:rFonts w:ascii="Georgia" w:hAnsi="Georgia" w:cs="Al Tarikh"/>
          <w:sz w:val="24"/>
          <w:szCs w:val="24"/>
          <w:lang w:val="tr-TR"/>
        </w:rPr>
      </w:pPr>
      <w:r w:rsidRPr="00690856">
        <w:rPr>
          <w:rFonts w:ascii="Georgia" w:hAnsi="Georgia" w:cs="Al Tarikh"/>
          <w:sz w:val="24"/>
          <w:szCs w:val="24"/>
          <w:lang w:val="tr-TR"/>
        </w:rPr>
        <w:t>İddiaya konu olan mağdur(lar)dan bilgilendirilmiş rıza alın ve bilginin anlaşma makamı ile paylaşıldığının farkında olduklarını, bunu kabul ettiklerini ve özellikle eylem talep edilmesi halinde sonuçlarını anladıklarını başvuruda belirtin</w:t>
      </w:r>
    </w:p>
    <w:p w14:paraId="4BCBD2F5" w14:textId="77777777" w:rsidR="00690856" w:rsidRPr="00690856" w:rsidRDefault="00690856" w:rsidP="00690856">
      <w:pPr>
        <w:spacing w:before="100" w:beforeAutospacing="1" w:after="100" w:afterAutospacing="1"/>
        <w:jc w:val="both"/>
        <w:rPr>
          <w:rFonts w:ascii="Georgia" w:hAnsi="Georgia" w:cs="Al Tarikh"/>
          <w:sz w:val="24"/>
          <w:szCs w:val="24"/>
          <w:lang w:val="tr-TR"/>
        </w:rPr>
      </w:pPr>
    </w:p>
    <w:p w14:paraId="6568E388" w14:textId="77777777" w:rsidR="007D40C8" w:rsidRPr="00690856" w:rsidRDefault="00690856" w:rsidP="00690856">
      <w:pPr>
        <w:spacing w:before="100" w:beforeAutospacing="1" w:after="100" w:afterAutospacing="1"/>
        <w:jc w:val="both"/>
        <w:rPr>
          <w:rFonts w:ascii="Georgia" w:hAnsi="Georgia" w:cs="Al Tarikh"/>
          <w:sz w:val="24"/>
          <w:szCs w:val="24"/>
          <w:lang w:val="tr-TR"/>
        </w:rPr>
      </w:pPr>
      <w:r w:rsidRPr="00690856">
        <w:rPr>
          <w:rFonts w:ascii="Georgia" w:hAnsi="Georgia" w:cs="Al Tarikh"/>
          <w:sz w:val="24"/>
          <w:szCs w:val="24"/>
          <w:lang w:val="tr-TR"/>
        </w:rPr>
        <w:lastRenderedPageBreak/>
        <w:t>İlgili</w:t>
      </w:r>
      <w:r w:rsidR="00036949" w:rsidRPr="00690856">
        <w:rPr>
          <w:rFonts w:ascii="Georgia" w:hAnsi="Georgia" w:cs="Al Tarikh"/>
          <w:sz w:val="24"/>
          <w:szCs w:val="24"/>
          <w:lang w:val="tr-TR"/>
        </w:rPr>
        <w:t xml:space="preserve"> </w:t>
      </w:r>
      <w:r w:rsidRPr="00690856">
        <w:rPr>
          <w:rFonts w:ascii="Georgia" w:hAnsi="Georgia" w:cs="Al Tarikh"/>
          <w:sz w:val="24"/>
          <w:szCs w:val="24"/>
          <w:lang w:val="tr-TR"/>
        </w:rPr>
        <w:t>bağlantı adresi</w:t>
      </w:r>
      <w:r w:rsidR="00036949" w:rsidRPr="00690856">
        <w:rPr>
          <w:rFonts w:ascii="Georgia" w:hAnsi="Georgia" w:cs="Al Tarikh"/>
          <w:sz w:val="24"/>
          <w:szCs w:val="24"/>
          <w:lang w:val="tr-TR"/>
        </w:rPr>
        <w:t xml:space="preserve">: </w:t>
      </w:r>
      <w:hyperlink r:id="rId15" w:history="1">
        <w:r w:rsidR="00036949" w:rsidRPr="00690856">
          <w:rPr>
            <w:rStyle w:val="Hyperlink"/>
            <w:rFonts w:ascii="Georgia" w:hAnsi="Georgia" w:cs="Al Tarikh"/>
            <w:sz w:val="24"/>
            <w:szCs w:val="24"/>
            <w:lang w:val="tr-TR"/>
          </w:rPr>
          <w:t>https://www.ohchr.org/en/treaty-bodies/cat/reprisals</w:t>
        </w:r>
      </w:hyperlink>
    </w:p>
    <w:p w14:paraId="03EDD325" w14:textId="77777777" w:rsidR="00036949" w:rsidRPr="00690856" w:rsidRDefault="00036949" w:rsidP="00690856">
      <w:pPr>
        <w:jc w:val="both"/>
        <w:rPr>
          <w:rFonts w:ascii="Georgia" w:hAnsi="Georgia" w:cs="Al Tarikh"/>
          <w:sz w:val="24"/>
          <w:szCs w:val="24"/>
          <w:lang w:val="tr-TR"/>
        </w:rPr>
      </w:pPr>
    </w:p>
    <w:p w14:paraId="55C9D3C9" w14:textId="77777777" w:rsidR="00036949" w:rsidRPr="00690856" w:rsidRDefault="00036949" w:rsidP="00690856">
      <w:pPr>
        <w:jc w:val="both"/>
        <w:rPr>
          <w:rFonts w:ascii="Georgia" w:hAnsi="Georgia" w:cs="Al Tarikh"/>
          <w:sz w:val="24"/>
          <w:szCs w:val="24"/>
          <w:lang w:val="tr-TR"/>
        </w:rPr>
      </w:pPr>
    </w:p>
    <w:p w14:paraId="3ACE9957" w14:textId="77777777" w:rsidR="007D40C8" w:rsidRPr="00690856" w:rsidRDefault="007D40C8" w:rsidP="00690856">
      <w:pPr>
        <w:jc w:val="both"/>
        <w:rPr>
          <w:rFonts w:ascii="Georgia" w:hAnsi="Georgia" w:cs="Al Tarikh"/>
          <w:sz w:val="24"/>
          <w:szCs w:val="24"/>
          <w:lang w:val="tr-TR"/>
        </w:rPr>
      </w:pPr>
      <w:r w:rsidRPr="00690856">
        <w:rPr>
          <w:rFonts w:ascii="Georgia" w:hAnsi="Georgia" w:cs="Al Tarikh"/>
          <w:sz w:val="24"/>
          <w:szCs w:val="24"/>
          <w:lang w:val="tr-TR"/>
        </w:rPr>
        <w:t xml:space="preserve"> </w:t>
      </w:r>
    </w:p>
    <w:p w14:paraId="22DD77D9" w14:textId="77777777" w:rsidR="007D40C8" w:rsidRPr="00690856" w:rsidRDefault="007D40C8" w:rsidP="00690856">
      <w:pPr>
        <w:jc w:val="both"/>
        <w:rPr>
          <w:rFonts w:ascii="Georgia" w:hAnsi="Georgia" w:cs="Al Tarikh"/>
          <w:sz w:val="24"/>
          <w:szCs w:val="24"/>
          <w:lang w:val="tr-TR"/>
        </w:rPr>
      </w:pPr>
    </w:p>
    <w:p w14:paraId="254B801F" w14:textId="77777777" w:rsidR="007D40C8" w:rsidRPr="00690856" w:rsidRDefault="007D40C8" w:rsidP="00690856">
      <w:pPr>
        <w:jc w:val="both"/>
        <w:rPr>
          <w:lang w:val="tr-TR"/>
        </w:rPr>
      </w:pPr>
    </w:p>
    <w:sectPr w:rsidR="007D40C8" w:rsidRPr="00690856" w:rsidSect="00AE20A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l Tarikh">
    <w:charset w:val="B2"/>
    <w:family w:val="auto"/>
    <w:pitch w:val="variable"/>
    <w:sig w:usb0="00002003" w:usb1="00000000" w:usb2="00000000"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D7CC4"/>
    <w:multiLevelType w:val="multilevel"/>
    <w:tmpl w:val="8C52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C8"/>
    <w:rsid w:val="00036949"/>
    <w:rsid w:val="006347B0"/>
    <w:rsid w:val="00690856"/>
    <w:rsid w:val="007D40C8"/>
    <w:rsid w:val="00AE20A8"/>
    <w:rsid w:val="00B6693A"/>
    <w:rsid w:val="00C84AB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8377"/>
  <w15:chartTrackingRefBased/>
  <w15:docId w15:val="{7297C897-26AD-504C-AD8B-8753BFD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M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C8"/>
    <w:pPr>
      <w:spacing w:after="160" w:line="259" w:lineRule="auto"/>
    </w:pPr>
    <w:rPr>
      <w:sz w:val="22"/>
      <w:szCs w:val="22"/>
      <w:lang w:val="ro-MD"/>
    </w:rPr>
  </w:style>
  <w:style w:type="paragraph" w:styleId="Heading3">
    <w:name w:val="heading 3"/>
    <w:basedOn w:val="Normal"/>
    <w:next w:val="Normal"/>
    <w:link w:val="Heading3Char"/>
    <w:uiPriority w:val="9"/>
    <w:unhideWhenUsed/>
    <w:qFormat/>
    <w:rsid w:val="007D40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40C8"/>
    <w:rPr>
      <w:rFonts w:asciiTheme="majorHAnsi" w:eastAsiaTheme="majorEastAsia" w:hAnsiTheme="majorHAnsi" w:cstheme="majorBidi"/>
      <w:color w:val="1F3763" w:themeColor="accent1" w:themeShade="7F"/>
      <w:lang w:val="ro-MD"/>
    </w:rPr>
  </w:style>
  <w:style w:type="paragraph" w:styleId="NormalWeb">
    <w:name w:val="Normal (Web)"/>
    <w:basedOn w:val="Normal"/>
    <w:uiPriority w:val="99"/>
    <w:unhideWhenUsed/>
    <w:rsid w:val="007D40C8"/>
    <w:pPr>
      <w:spacing w:before="100" w:beforeAutospacing="1" w:after="100" w:afterAutospacing="1" w:line="240" w:lineRule="auto"/>
    </w:pPr>
    <w:rPr>
      <w:rFonts w:ascii="Times" w:eastAsiaTheme="minorEastAsia" w:hAnsi="Times" w:cs="Times New Roman"/>
      <w:sz w:val="20"/>
      <w:szCs w:val="20"/>
      <w:lang w:val="en-US"/>
    </w:rPr>
  </w:style>
  <w:style w:type="character" w:styleId="Hyperlink">
    <w:name w:val="Hyperlink"/>
    <w:uiPriority w:val="99"/>
    <w:unhideWhenUsed/>
    <w:rsid w:val="007D40C8"/>
    <w:rPr>
      <w:color w:val="0000FF"/>
      <w:u w:val="single"/>
    </w:rPr>
  </w:style>
  <w:style w:type="character" w:styleId="Strong">
    <w:name w:val="Strong"/>
    <w:basedOn w:val="DefaultParagraphFont"/>
    <w:uiPriority w:val="22"/>
    <w:qFormat/>
    <w:rsid w:val="007D40C8"/>
    <w:rPr>
      <w:b/>
      <w:bCs/>
    </w:rPr>
  </w:style>
  <w:style w:type="character" w:customStyle="1" w:styleId="UnresolvedMention1">
    <w:name w:val="Unresolved Mention1"/>
    <w:basedOn w:val="DefaultParagraphFont"/>
    <w:uiPriority w:val="99"/>
    <w:semiHidden/>
    <w:unhideWhenUsed/>
    <w:rsid w:val="00036949"/>
    <w:rPr>
      <w:color w:val="605E5C"/>
      <w:shd w:val="clear" w:color="auto" w:fill="E1DFDD"/>
    </w:rPr>
  </w:style>
  <w:style w:type="character" w:styleId="FollowedHyperlink">
    <w:name w:val="FollowedHyperlink"/>
    <w:basedOn w:val="DefaultParagraphFont"/>
    <w:uiPriority w:val="99"/>
    <w:semiHidden/>
    <w:unhideWhenUsed/>
    <w:rsid w:val="00690856"/>
    <w:rPr>
      <w:color w:val="954F72" w:themeColor="followedHyperlink"/>
      <w:u w:val="single"/>
    </w:rPr>
  </w:style>
  <w:style w:type="paragraph" w:styleId="DocumentMap">
    <w:name w:val="Document Map"/>
    <w:basedOn w:val="Normal"/>
    <w:link w:val="DocumentMapChar"/>
    <w:uiPriority w:val="99"/>
    <w:semiHidden/>
    <w:unhideWhenUsed/>
    <w:rsid w:val="0069085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90856"/>
    <w:rPr>
      <w:rFonts w:ascii="Times New Roman" w:hAnsi="Times New Roman" w:cs="Times New Roman"/>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CED/C/8" TargetMode="External"/><Relationship Id="rId13" Type="http://schemas.openxmlformats.org/officeDocument/2006/relationships/hyperlink" Target="https://www.ohchr.org/en/treaty-bodies/cmw/reprisals" TargetMode="External"/><Relationship Id="rId3" Type="http://schemas.openxmlformats.org/officeDocument/2006/relationships/settings" Target="settings.xml"/><Relationship Id="rId7" Type="http://schemas.openxmlformats.org/officeDocument/2006/relationships/hyperlink" Target="https://www.ohchr.org/sites/default/files/Documents/HRBodies/CEDAW/ReprisalsGuidelines.docx" TargetMode="External"/><Relationship Id="rId12" Type="http://schemas.openxmlformats.org/officeDocument/2006/relationships/hyperlink" Target="https://www.ohchr.org/sites/default/files/Documents/HRBodies/CRPD/ReprisalProcedure.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binternet.ohchr.org/_layouts/15/treatybodyexternal/Download.aspx?symbolno=HRI/MC/2015/6&amp;Lang=en" TargetMode="External"/><Relationship Id="rId11" Type="http://schemas.openxmlformats.org/officeDocument/2006/relationships/hyperlink" Target="https://www.ohchr.org/EN/HRBodies/CAT/Pages/ReprisalLetters.aspx" TargetMode="External"/><Relationship Id="rId5" Type="http://schemas.openxmlformats.org/officeDocument/2006/relationships/hyperlink" Target="https://tbinternet.ohchr.org/_layouts/15/treatybodyexternal/Download.aspx?symbolno=HRI/MC/2015/6&amp;Lang=en" TargetMode="External"/><Relationship Id="rId15" Type="http://schemas.openxmlformats.org/officeDocument/2006/relationships/hyperlink" Target="https://www.ohchr.org/en/treaty-bodies/cat/reprisals" TargetMode="External"/><Relationship Id="rId10" Type="http://schemas.openxmlformats.org/officeDocument/2006/relationships/hyperlink" Target="https://tbinternet.ohchr.org/_layouts/treatybodyexternal/Download.aspx?symbolno=CAT/OP/6/Rev.1&amp;Lang=en" TargetMode="Externa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INT/CERD/RLE/9029&amp;Lang=en" TargetMode="External"/><Relationship Id="rId14" Type="http://schemas.openxmlformats.org/officeDocument/2006/relationships/hyperlink" Target="https://tbinternet.ohchr.org/_layouts/15/treatybodyexternal/Download.aspx?symbolno=HRI/MC/2015/6&amp;Lan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gulsah kurt</cp:lastModifiedBy>
  <cp:revision>2</cp:revision>
  <dcterms:created xsi:type="dcterms:W3CDTF">2024-03-05T14:18:00Z</dcterms:created>
  <dcterms:modified xsi:type="dcterms:W3CDTF">2024-03-05T14:18:00Z</dcterms:modified>
</cp:coreProperties>
</file>