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B474" w14:textId="77777777" w:rsidR="00B74CEA" w:rsidRPr="008F1795" w:rsidRDefault="00BE381E">
      <w:pPr>
        <w:pStyle w:val="GvdeMetni"/>
        <w:ind w:left="5681"/>
        <w:rPr>
          <w:rFonts w:ascii="Times New Roman"/>
          <w:sz w:val="20"/>
          <w:lang w:val="tr-TR"/>
        </w:rPr>
      </w:pPr>
      <w:r w:rsidRPr="008F1795">
        <w:rPr>
          <w:rFonts w:ascii="Times New Roman"/>
          <w:noProof/>
          <w:sz w:val="20"/>
          <w:lang w:val="tr-TR"/>
        </w:rPr>
        <w:drawing>
          <wp:inline distT="0" distB="0" distL="0" distR="0" wp14:anchorId="41BB31F1" wp14:editId="4577BC99">
            <wp:extent cx="2093981" cy="106013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93981" cy="1060132"/>
                    </a:xfrm>
                    <a:prstGeom prst="rect">
                      <a:avLst/>
                    </a:prstGeom>
                  </pic:spPr>
                </pic:pic>
              </a:graphicData>
            </a:graphic>
          </wp:inline>
        </w:drawing>
      </w:r>
    </w:p>
    <w:p w14:paraId="45197DD0" w14:textId="77777777" w:rsidR="00B74CEA" w:rsidRPr="008F1795" w:rsidRDefault="00B74CEA">
      <w:pPr>
        <w:pStyle w:val="GvdeMetni"/>
        <w:rPr>
          <w:rFonts w:ascii="Times New Roman"/>
          <w:sz w:val="20"/>
          <w:lang w:val="tr-TR"/>
        </w:rPr>
      </w:pPr>
    </w:p>
    <w:p w14:paraId="7DFC6CD3" w14:textId="77777777" w:rsidR="00B74CEA" w:rsidRPr="008F1795" w:rsidRDefault="00B74CEA" w:rsidP="00D7343F">
      <w:pPr>
        <w:pStyle w:val="GvdeMetni"/>
        <w:jc w:val="center"/>
        <w:rPr>
          <w:rFonts w:ascii="Times New Roman"/>
          <w:sz w:val="20"/>
          <w:lang w:val="tr-TR"/>
        </w:rPr>
      </w:pPr>
    </w:p>
    <w:p w14:paraId="57E7D9CE" w14:textId="77777777" w:rsidR="00B74CEA" w:rsidRPr="008F1795" w:rsidRDefault="00B74CEA">
      <w:pPr>
        <w:pStyle w:val="GvdeMetni"/>
        <w:spacing w:before="2" w:after="1"/>
        <w:rPr>
          <w:rFonts w:ascii="Times New Roman"/>
          <w:sz w:val="12"/>
          <w:lang w:val="tr-TR"/>
        </w:rPr>
      </w:pPr>
    </w:p>
    <w:tbl>
      <w:tblPr>
        <w:tblW w:w="0" w:type="auto"/>
        <w:tblInd w:w="114" w:type="dxa"/>
        <w:tblLayout w:type="fixed"/>
        <w:tblCellMar>
          <w:left w:w="0" w:type="dxa"/>
          <w:right w:w="0" w:type="dxa"/>
        </w:tblCellMar>
        <w:tblLook w:val="01E0" w:firstRow="1" w:lastRow="1" w:firstColumn="1" w:lastColumn="1" w:noHBand="0" w:noVBand="0"/>
      </w:tblPr>
      <w:tblGrid>
        <w:gridCol w:w="5039"/>
        <w:gridCol w:w="4219"/>
      </w:tblGrid>
      <w:tr w:rsidR="00B74CEA" w:rsidRPr="008F1795" w14:paraId="68541860" w14:textId="77777777">
        <w:trPr>
          <w:trHeight w:val="753"/>
        </w:trPr>
        <w:tc>
          <w:tcPr>
            <w:tcW w:w="5039" w:type="dxa"/>
          </w:tcPr>
          <w:p w14:paraId="749B971D" w14:textId="5610DF1E" w:rsidR="00B74CEA" w:rsidRPr="008F1795" w:rsidRDefault="00BE381E">
            <w:pPr>
              <w:pStyle w:val="TableParagraph"/>
              <w:spacing w:line="249" w:lineRule="exact"/>
              <w:ind w:left="200"/>
              <w:rPr>
                <w:lang w:val="tr-TR"/>
              </w:rPr>
            </w:pPr>
            <w:r w:rsidRPr="008F1795">
              <w:rPr>
                <w:lang w:val="tr-TR"/>
              </w:rPr>
              <w:t>Strasb</w:t>
            </w:r>
            <w:r w:rsidR="00BA3DDA" w:rsidRPr="008F1795">
              <w:rPr>
                <w:lang w:val="tr-TR"/>
              </w:rPr>
              <w:t>urg</w:t>
            </w:r>
            <w:r w:rsidRPr="008F1795">
              <w:rPr>
                <w:lang w:val="tr-TR"/>
              </w:rPr>
              <w:t>, 15 Mar</w:t>
            </w:r>
            <w:r w:rsidR="00BA3DDA" w:rsidRPr="008F1795">
              <w:rPr>
                <w:lang w:val="tr-TR"/>
              </w:rPr>
              <w:t>t</w:t>
            </w:r>
            <w:r w:rsidRPr="008F1795">
              <w:rPr>
                <w:lang w:val="tr-TR"/>
              </w:rPr>
              <w:t xml:space="preserve"> 2016</w:t>
            </w:r>
          </w:p>
          <w:p w14:paraId="1001273A" w14:textId="77777777" w:rsidR="00B74CEA" w:rsidRPr="008F1795" w:rsidRDefault="00B74CEA">
            <w:pPr>
              <w:pStyle w:val="TableParagraph"/>
              <w:spacing w:before="9"/>
              <w:rPr>
                <w:rFonts w:ascii="Times New Roman"/>
                <w:sz w:val="21"/>
                <w:lang w:val="tr-TR"/>
              </w:rPr>
            </w:pPr>
          </w:p>
          <w:p w14:paraId="174AA0EF" w14:textId="4E321AE0" w:rsidR="00B74CEA" w:rsidRPr="008F1795" w:rsidRDefault="00BE381E">
            <w:pPr>
              <w:pStyle w:val="TableParagraph"/>
              <w:spacing w:line="233" w:lineRule="exact"/>
              <w:ind w:left="200"/>
              <w:rPr>
                <w:b/>
                <w:lang w:val="tr-TR"/>
              </w:rPr>
            </w:pPr>
            <w:r w:rsidRPr="008F1795">
              <w:rPr>
                <w:b/>
                <w:lang w:val="tr-TR"/>
              </w:rPr>
              <w:t>831/2015</w:t>
            </w:r>
            <w:r w:rsidR="00BA3DDA" w:rsidRPr="008F1795">
              <w:rPr>
                <w:b/>
                <w:lang w:val="tr-TR"/>
              </w:rPr>
              <w:t xml:space="preserve"> sayılı Görüş</w:t>
            </w:r>
          </w:p>
        </w:tc>
        <w:tc>
          <w:tcPr>
            <w:tcW w:w="4219" w:type="dxa"/>
          </w:tcPr>
          <w:p w14:paraId="250CA188" w14:textId="77777777" w:rsidR="00B74CEA" w:rsidRPr="008F1795" w:rsidRDefault="00BE381E">
            <w:pPr>
              <w:pStyle w:val="TableParagraph"/>
              <w:spacing w:line="247" w:lineRule="exact"/>
              <w:ind w:left="2172"/>
              <w:rPr>
                <w:b/>
                <w:lang w:val="tr-TR"/>
              </w:rPr>
            </w:pPr>
            <w:r w:rsidRPr="008F1795">
              <w:rPr>
                <w:b/>
                <w:lang w:val="tr-TR"/>
              </w:rPr>
              <w:t>CDL-AD(2016)002</w:t>
            </w:r>
          </w:p>
          <w:p w14:paraId="709D946D" w14:textId="1229BB04" w:rsidR="00B74CEA" w:rsidRPr="008F1795" w:rsidRDefault="00BE381E">
            <w:pPr>
              <w:pStyle w:val="TableParagraph"/>
              <w:spacing w:before="1"/>
              <w:ind w:right="199"/>
              <w:jc w:val="right"/>
              <w:rPr>
                <w:lang w:val="tr-TR"/>
              </w:rPr>
            </w:pPr>
            <w:r w:rsidRPr="008F1795">
              <w:rPr>
                <w:lang w:val="tr-TR"/>
              </w:rPr>
              <w:t>Or</w:t>
            </w:r>
            <w:r w:rsidR="00BA3DDA" w:rsidRPr="008F1795">
              <w:rPr>
                <w:lang w:val="tr-TR"/>
              </w:rPr>
              <w:t>ijinal</w:t>
            </w:r>
            <w:r w:rsidRPr="008F1795">
              <w:rPr>
                <w:lang w:val="tr-TR"/>
              </w:rPr>
              <w:t>.</w:t>
            </w:r>
            <w:r w:rsidRPr="008F1795">
              <w:rPr>
                <w:spacing w:val="-3"/>
                <w:lang w:val="tr-TR"/>
              </w:rPr>
              <w:t xml:space="preserve"> </w:t>
            </w:r>
            <w:r w:rsidR="00BA3DDA" w:rsidRPr="008F1795">
              <w:rPr>
                <w:lang w:val="tr-TR"/>
              </w:rPr>
              <w:t>İngilizce</w:t>
            </w:r>
          </w:p>
        </w:tc>
      </w:tr>
    </w:tbl>
    <w:p w14:paraId="7D380199" w14:textId="77777777" w:rsidR="00B74CEA" w:rsidRPr="008F1795" w:rsidRDefault="00B74CEA">
      <w:pPr>
        <w:pStyle w:val="GvdeMetni"/>
        <w:rPr>
          <w:rFonts w:ascii="Times New Roman"/>
          <w:sz w:val="20"/>
          <w:lang w:val="tr-TR"/>
        </w:rPr>
      </w:pPr>
    </w:p>
    <w:p w14:paraId="056552AA" w14:textId="77777777" w:rsidR="008F473B" w:rsidRDefault="008F473B" w:rsidP="008F473B">
      <w:pPr>
        <w:pStyle w:val="GvdeMetni"/>
        <w:jc w:val="center"/>
        <w:rPr>
          <w:b/>
          <w:bCs/>
          <w:i/>
          <w:iCs/>
          <w:color w:val="FF0000"/>
          <w:sz w:val="20"/>
          <w:lang w:val="tr-TR"/>
        </w:rPr>
      </w:pPr>
      <w:r>
        <w:rPr>
          <w:b/>
          <w:bCs/>
          <w:i/>
          <w:iCs/>
          <w:color w:val="FF0000"/>
          <w:sz w:val="20"/>
          <w:lang w:val="tr-TR"/>
        </w:rPr>
        <w:t>(GAYRİ RESMİ ÇEVİRİ İHOP TARAFINDAN SAĞLANMIŞTIR.)</w:t>
      </w:r>
    </w:p>
    <w:p w14:paraId="1B20E986" w14:textId="77777777" w:rsidR="008F473B" w:rsidRDefault="008F473B" w:rsidP="008F473B">
      <w:pPr>
        <w:pStyle w:val="GvdeMetni"/>
        <w:jc w:val="both"/>
        <w:rPr>
          <w:sz w:val="20"/>
          <w:lang w:val="tr-TR"/>
        </w:rPr>
      </w:pPr>
    </w:p>
    <w:p w14:paraId="58AB8222" w14:textId="77777777" w:rsidR="008F473B" w:rsidRDefault="008F473B" w:rsidP="008F473B">
      <w:pPr>
        <w:pStyle w:val="GvdeMetni"/>
        <w:jc w:val="both"/>
        <w:rPr>
          <w:sz w:val="20"/>
          <w:lang w:val="tr-TR"/>
        </w:rPr>
      </w:pPr>
    </w:p>
    <w:p w14:paraId="3546F0E7" w14:textId="090FCAF6" w:rsidR="00B74CEA" w:rsidRPr="008F1795" w:rsidRDefault="00BA3DDA" w:rsidP="00BA3DDA">
      <w:pPr>
        <w:spacing w:before="93" w:line="362" w:lineRule="auto"/>
        <w:ind w:left="3374" w:right="1176" w:hanging="2207"/>
        <w:rPr>
          <w:b/>
          <w:sz w:val="24"/>
          <w:lang w:val="tr-TR"/>
        </w:rPr>
      </w:pPr>
      <w:r w:rsidRPr="008F1795">
        <w:rPr>
          <w:b/>
          <w:sz w:val="24"/>
          <w:u w:val="thick"/>
          <w:lang w:val="tr-TR"/>
        </w:rPr>
        <w:t xml:space="preserve">AVRUPA HUKUK YOLUYLA DEMOKRASİ KOMİSYONU </w:t>
      </w:r>
      <w:r w:rsidR="00BE381E" w:rsidRPr="008F1795">
        <w:rPr>
          <w:b/>
          <w:sz w:val="24"/>
          <w:u w:val="thick"/>
          <w:lang w:val="tr-TR"/>
        </w:rPr>
        <w:t>(</w:t>
      </w:r>
      <w:r w:rsidR="00112F0D" w:rsidRPr="008F1795">
        <w:rPr>
          <w:b/>
          <w:sz w:val="24"/>
          <w:u w:val="thick"/>
          <w:lang w:val="tr-TR"/>
        </w:rPr>
        <w:t>VENEDİK KOMİSYONU</w:t>
      </w:r>
      <w:r w:rsidRPr="008F1795">
        <w:rPr>
          <w:b/>
          <w:sz w:val="24"/>
          <w:u w:val="thick"/>
          <w:lang w:val="tr-TR"/>
        </w:rPr>
        <w:t>)</w:t>
      </w:r>
    </w:p>
    <w:p w14:paraId="7D949DCA" w14:textId="77777777" w:rsidR="00B74CEA" w:rsidRPr="008F1795" w:rsidRDefault="00B74CEA" w:rsidP="00BA3DDA">
      <w:pPr>
        <w:pStyle w:val="GvdeMetni"/>
        <w:jc w:val="center"/>
        <w:rPr>
          <w:b/>
          <w:sz w:val="20"/>
          <w:lang w:val="tr-TR"/>
        </w:rPr>
      </w:pPr>
    </w:p>
    <w:p w14:paraId="49764059" w14:textId="77777777" w:rsidR="00B74CEA" w:rsidRPr="008F1795" w:rsidRDefault="00B74CEA">
      <w:pPr>
        <w:pStyle w:val="GvdeMetni"/>
        <w:rPr>
          <w:b/>
          <w:sz w:val="20"/>
          <w:lang w:val="tr-TR"/>
        </w:rPr>
      </w:pPr>
    </w:p>
    <w:p w14:paraId="588F7ACF" w14:textId="77777777" w:rsidR="00B74CEA" w:rsidRPr="008F1795" w:rsidRDefault="00B74CEA">
      <w:pPr>
        <w:pStyle w:val="GvdeMetni"/>
        <w:spacing w:before="4"/>
        <w:rPr>
          <w:b/>
          <w:sz w:val="17"/>
          <w:lang w:val="tr-TR"/>
        </w:rPr>
      </w:pPr>
    </w:p>
    <w:p w14:paraId="5C75CBA2" w14:textId="63FAA2F9" w:rsidR="004F147D" w:rsidRPr="008F1795" w:rsidRDefault="004F147D" w:rsidP="009B3041">
      <w:pPr>
        <w:spacing w:line="322" w:lineRule="exact"/>
        <w:ind w:left="2512" w:right="2530"/>
        <w:jc w:val="center"/>
        <w:rPr>
          <w:b/>
          <w:sz w:val="28"/>
          <w:lang w:val="tr-TR"/>
        </w:rPr>
      </w:pPr>
      <w:r w:rsidRPr="008F1795">
        <w:rPr>
          <w:b/>
          <w:sz w:val="28"/>
          <w:lang w:val="tr-TR"/>
        </w:rPr>
        <w:t>TÜRK CEZA KANUNUNUN</w:t>
      </w:r>
    </w:p>
    <w:p w14:paraId="214B275D" w14:textId="77777777" w:rsidR="009B3041" w:rsidRPr="008F1795" w:rsidRDefault="009B3041" w:rsidP="009B3041">
      <w:pPr>
        <w:spacing w:line="322" w:lineRule="exact"/>
        <w:ind w:left="2512" w:right="2530"/>
        <w:jc w:val="center"/>
        <w:rPr>
          <w:b/>
          <w:sz w:val="28"/>
          <w:lang w:val="tr-TR"/>
        </w:rPr>
      </w:pPr>
    </w:p>
    <w:p w14:paraId="25549D61" w14:textId="4D370714" w:rsidR="009B3041" w:rsidRPr="008F1795" w:rsidRDefault="004F147D" w:rsidP="009B3041">
      <w:pPr>
        <w:spacing w:line="322" w:lineRule="exact"/>
        <w:ind w:left="2512" w:right="2530"/>
        <w:jc w:val="center"/>
        <w:rPr>
          <w:b/>
          <w:sz w:val="28"/>
          <w:lang w:val="tr-TR"/>
        </w:rPr>
      </w:pPr>
      <w:r w:rsidRPr="008F1795">
        <w:rPr>
          <w:b/>
          <w:sz w:val="28"/>
          <w:lang w:val="tr-TR"/>
        </w:rPr>
        <w:t xml:space="preserve">216, 299, 301 </w:t>
      </w:r>
      <w:r w:rsidR="00BA56F8" w:rsidRPr="008F1795">
        <w:rPr>
          <w:b/>
          <w:sz w:val="28"/>
          <w:lang w:val="tr-TR"/>
        </w:rPr>
        <w:t>VE</w:t>
      </w:r>
      <w:r w:rsidRPr="008F1795">
        <w:rPr>
          <w:b/>
          <w:sz w:val="28"/>
          <w:lang w:val="tr-TR"/>
        </w:rPr>
        <w:t xml:space="preserve"> 314. </w:t>
      </w:r>
    </w:p>
    <w:p w14:paraId="6AD71D6F" w14:textId="77777777" w:rsidR="009B3041" w:rsidRPr="008F1795" w:rsidRDefault="009B3041" w:rsidP="009B3041">
      <w:pPr>
        <w:spacing w:line="322" w:lineRule="exact"/>
        <w:ind w:left="2512" w:right="2530"/>
        <w:jc w:val="center"/>
        <w:rPr>
          <w:b/>
          <w:sz w:val="28"/>
          <w:lang w:val="tr-TR"/>
        </w:rPr>
      </w:pPr>
    </w:p>
    <w:p w14:paraId="1AD19392" w14:textId="130D9549" w:rsidR="004F147D" w:rsidRPr="008F1795" w:rsidRDefault="00241305" w:rsidP="009B3041">
      <w:pPr>
        <w:spacing w:line="322" w:lineRule="exact"/>
        <w:ind w:left="2512" w:right="2530"/>
        <w:jc w:val="center"/>
        <w:rPr>
          <w:b/>
          <w:sz w:val="28"/>
          <w:lang w:val="tr-TR"/>
        </w:rPr>
      </w:pPr>
      <w:r w:rsidRPr="008F1795">
        <w:rPr>
          <w:b/>
          <w:sz w:val="28"/>
          <w:lang w:val="tr-TR"/>
        </w:rPr>
        <w:t>MADDE</w:t>
      </w:r>
      <w:r w:rsidR="004F147D" w:rsidRPr="008F1795">
        <w:rPr>
          <w:b/>
          <w:sz w:val="28"/>
          <w:lang w:val="tr-TR"/>
        </w:rPr>
        <w:t>LERİ</w:t>
      </w:r>
      <w:r w:rsidR="008264E6" w:rsidRPr="008F1795">
        <w:rPr>
          <w:b/>
          <w:sz w:val="28"/>
          <w:lang w:val="tr-TR"/>
        </w:rPr>
        <w:t xml:space="preserve"> HAKKINDA</w:t>
      </w:r>
    </w:p>
    <w:p w14:paraId="030C4972" w14:textId="77777777" w:rsidR="004F147D" w:rsidRPr="008F1795" w:rsidRDefault="004F147D">
      <w:pPr>
        <w:spacing w:before="92"/>
        <w:ind w:left="2512" w:right="2531"/>
        <w:jc w:val="center"/>
        <w:rPr>
          <w:b/>
          <w:sz w:val="28"/>
          <w:lang w:val="tr-TR"/>
        </w:rPr>
      </w:pPr>
    </w:p>
    <w:p w14:paraId="1367474C" w14:textId="69BD954A" w:rsidR="00B74CEA" w:rsidRPr="008F1795" w:rsidRDefault="008264E6">
      <w:pPr>
        <w:spacing w:before="92"/>
        <w:ind w:left="2512" w:right="2531"/>
        <w:jc w:val="center"/>
        <w:rPr>
          <w:b/>
          <w:sz w:val="28"/>
          <w:lang w:val="tr-TR"/>
        </w:rPr>
      </w:pPr>
      <w:r w:rsidRPr="008F1795">
        <w:rPr>
          <w:b/>
          <w:sz w:val="28"/>
          <w:lang w:val="tr-TR"/>
        </w:rPr>
        <w:t>GÖRÜŞ</w:t>
      </w:r>
    </w:p>
    <w:p w14:paraId="7C26D7E4" w14:textId="77777777" w:rsidR="00B74CEA" w:rsidRPr="008F1795" w:rsidRDefault="00B74CEA">
      <w:pPr>
        <w:pStyle w:val="GvdeMetni"/>
        <w:spacing w:before="2"/>
        <w:rPr>
          <w:b/>
          <w:sz w:val="28"/>
          <w:lang w:val="tr-TR"/>
        </w:rPr>
      </w:pPr>
    </w:p>
    <w:p w14:paraId="2D0F7C1B" w14:textId="77777777" w:rsidR="009B3041" w:rsidRPr="008F1795" w:rsidRDefault="009B3041" w:rsidP="004F147D">
      <w:pPr>
        <w:ind w:left="2284" w:right="2901"/>
        <w:jc w:val="center"/>
        <w:rPr>
          <w:b/>
          <w:sz w:val="28"/>
          <w:lang w:val="tr-TR"/>
        </w:rPr>
      </w:pPr>
    </w:p>
    <w:p w14:paraId="42A58563" w14:textId="77777777" w:rsidR="009B3041" w:rsidRPr="008F1795" w:rsidRDefault="009B3041" w:rsidP="004F147D">
      <w:pPr>
        <w:ind w:left="2284" w:right="2901"/>
        <w:jc w:val="center"/>
        <w:rPr>
          <w:b/>
          <w:sz w:val="28"/>
          <w:lang w:val="tr-TR"/>
        </w:rPr>
      </w:pPr>
    </w:p>
    <w:p w14:paraId="3DC970D2" w14:textId="4618DB65" w:rsidR="004F147D" w:rsidRPr="008F1795" w:rsidRDefault="004F147D" w:rsidP="004F147D">
      <w:pPr>
        <w:ind w:left="2284" w:right="2901"/>
        <w:jc w:val="center"/>
        <w:rPr>
          <w:b/>
          <w:sz w:val="28"/>
          <w:lang w:val="tr-TR"/>
        </w:rPr>
      </w:pPr>
      <w:r w:rsidRPr="008F1795">
        <w:rPr>
          <w:b/>
          <w:sz w:val="28"/>
          <w:lang w:val="tr-TR"/>
        </w:rPr>
        <w:t>Venedik Komisyonu tarafından 106. Genel Oturumunda kabul edilmiştir</w:t>
      </w:r>
    </w:p>
    <w:p w14:paraId="1AE2EA65" w14:textId="70A8EA4E" w:rsidR="00B74CEA" w:rsidRPr="008F1795" w:rsidRDefault="00BE381E" w:rsidP="004F147D">
      <w:pPr>
        <w:spacing w:before="1"/>
        <w:ind w:left="2918" w:right="2339" w:hanging="584"/>
        <w:jc w:val="center"/>
        <w:rPr>
          <w:b/>
          <w:sz w:val="28"/>
          <w:lang w:val="tr-TR"/>
        </w:rPr>
      </w:pPr>
      <w:r w:rsidRPr="008F1795">
        <w:rPr>
          <w:b/>
          <w:sz w:val="28"/>
          <w:lang w:val="tr-TR"/>
        </w:rPr>
        <w:t>(</w:t>
      </w:r>
      <w:r w:rsidR="00454498" w:rsidRPr="008F1795">
        <w:rPr>
          <w:b/>
          <w:sz w:val="28"/>
          <w:lang w:val="tr-TR"/>
        </w:rPr>
        <w:t>Venedik</w:t>
      </w:r>
      <w:r w:rsidRPr="008F1795">
        <w:rPr>
          <w:b/>
          <w:sz w:val="28"/>
          <w:lang w:val="tr-TR"/>
        </w:rPr>
        <w:t>, 11-12 Mar</w:t>
      </w:r>
      <w:r w:rsidR="00454498" w:rsidRPr="008F1795">
        <w:rPr>
          <w:b/>
          <w:sz w:val="28"/>
          <w:lang w:val="tr-TR"/>
        </w:rPr>
        <w:t>t</w:t>
      </w:r>
      <w:r w:rsidRPr="008F1795">
        <w:rPr>
          <w:b/>
          <w:sz w:val="28"/>
          <w:lang w:val="tr-TR"/>
        </w:rPr>
        <w:t xml:space="preserve"> 2016)</w:t>
      </w:r>
    </w:p>
    <w:p w14:paraId="0E46E655" w14:textId="77777777" w:rsidR="00B74CEA" w:rsidRPr="008F1795" w:rsidRDefault="00B74CEA">
      <w:pPr>
        <w:pStyle w:val="GvdeMetni"/>
        <w:spacing w:before="9"/>
        <w:rPr>
          <w:b/>
          <w:sz w:val="27"/>
          <w:lang w:val="tr-TR"/>
        </w:rPr>
      </w:pPr>
    </w:p>
    <w:p w14:paraId="50FF02DA" w14:textId="5258C53F" w:rsidR="00B74CEA" w:rsidRPr="008F1795" w:rsidRDefault="00FD08E0">
      <w:pPr>
        <w:spacing w:before="1"/>
        <w:ind w:left="2509" w:right="2533"/>
        <w:jc w:val="center"/>
        <w:rPr>
          <w:b/>
          <w:sz w:val="28"/>
          <w:lang w:val="tr-TR"/>
        </w:rPr>
      </w:pPr>
      <w:r w:rsidRPr="008F1795">
        <w:rPr>
          <w:b/>
          <w:sz w:val="28"/>
          <w:lang w:val="tr-TR"/>
        </w:rPr>
        <w:t>Görüş bildiren üyeler</w:t>
      </w:r>
      <w:r w:rsidR="00BE381E" w:rsidRPr="008F1795">
        <w:rPr>
          <w:b/>
          <w:sz w:val="28"/>
          <w:lang w:val="tr-TR"/>
        </w:rPr>
        <w:t>:</w:t>
      </w:r>
    </w:p>
    <w:p w14:paraId="621D32F8" w14:textId="77777777" w:rsidR="00B74CEA" w:rsidRPr="008F1795" w:rsidRDefault="00B74CEA">
      <w:pPr>
        <w:pStyle w:val="GvdeMetni"/>
        <w:spacing w:before="1"/>
        <w:rPr>
          <w:b/>
          <w:sz w:val="28"/>
          <w:lang w:val="tr-TR"/>
        </w:rPr>
      </w:pPr>
    </w:p>
    <w:p w14:paraId="153942C4" w14:textId="1EB76674" w:rsidR="00B74CEA" w:rsidRPr="008F1795" w:rsidRDefault="004A1CF0">
      <w:pPr>
        <w:spacing w:line="322" w:lineRule="exact"/>
        <w:ind w:left="801" w:right="818"/>
        <w:jc w:val="center"/>
        <w:rPr>
          <w:b/>
          <w:sz w:val="28"/>
          <w:lang w:val="tr-TR"/>
        </w:rPr>
      </w:pPr>
      <w:r w:rsidRPr="008F1795">
        <w:rPr>
          <w:b/>
          <w:sz w:val="28"/>
          <w:lang w:val="tr-TR"/>
        </w:rPr>
        <w:t xml:space="preserve">Sayın </w:t>
      </w:r>
      <w:r w:rsidR="00BE381E" w:rsidRPr="008F1795">
        <w:rPr>
          <w:b/>
          <w:sz w:val="28"/>
          <w:lang w:val="tr-TR"/>
        </w:rPr>
        <w:t xml:space="preserve">Veronika </w:t>
      </w:r>
      <w:proofErr w:type="spellStart"/>
      <w:r w:rsidR="00BE381E" w:rsidRPr="008F1795">
        <w:rPr>
          <w:b/>
          <w:sz w:val="28"/>
          <w:lang w:val="tr-TR"/>
        </w:rPr>
        <w:t>BĺLKOVÁ</w:t>
      </w:r>
      <w:proofErr w:type="spellEnd"/>
      <w:r w:rsidR="00BE381E" w:rsidRPr="008F1795">
        <w:rPr>
          <w:b/>
          <w:sz w:val="28"/>
          <w:lang w:val="tr-TR"/>
        </w:rPr>
        <w:t xml:space="preserve"> (</w:t>
      </w:r>
      <w:r w:rsidR="00FD08E0" w:rsidRPr="008F1795">
        <w:rPr>
          <w:b/>
          <w:sz w:val="28"/>
          <w:lang w:val="tr-TR"/>
        </w:rPr>
        <w:t>Üye</w:t>
      </w:r>
      <w:r w:rsidR="00BE381E" w:rsidRPr="008F1795">
        <w:rPr>
          <w:b/>
          <w:sz w:val="28"/>
          <w:lang w:val="tr-TR"/>
        </w:rPr>
        <w:t xml:space="preserve">, </w:t>
      </w:r>
      <w:r w:rsidR="00305DD7" w:rsidRPr="008F1795">
        <w:rPr>
          <w:b/>
          <w:sz w:val="28"/>
          <w:lang w:val="tr-TR"/>
        </w:rPr>
        <w:t>Çek Cumhuriyeti</w:t>
      </w:r>
      <w:r w:rsidR="00BE381E" w:rsidRPr="008F1795">
        <w:rPr>
          <w:b/>
          <w:sz w:val="28"/>
          <w:lang w:val="tr-TR"/>
        </w:rPr>
        <w:t>)</w:t>
      </w:r>
    </w:p>
    <w:p w14:paraId="50C3178B" w14:textId="044B784B" w:rsidR="00B74CEA" w:rsidRPr="008F1795" w:rsidRDefault="00BE381E">
      <w:pPr>
        <w:ind w:left="801" w:right="818"/>
        <w:jc w:val="center"/>
        <w:rPr>
          <w:b/>
          <w:sz w:val="28"/>
          <w:lang w:val="tr-TR"/>
        </w:rPr>
      </w:pPr>
      <w:r w:rsidRPr="008F1795">
        <w:rPr>
          <w:b/>
          <w:sz w:val="28"/>
          <w:lang w:val="tr-TR"/>
        </w:rPr>
        <w:t>Sarah CLEVELAND (</w:t>
      </w:r>
      <w:r w:rsidR="00305DD7" w:rsidRPr="008F1795">
        <w:rPr>
          <w:b/>
          <w:sz w:val="28"/>
          <w:lang w:val="tr-TR"/>
        </w:rPr>
        <w:t>Üye</w:t>
      </w:r>
      <w:r w:rsidRPr="008F1795">
        <w:rPr>
          <w:b/>
          <w:sz w:val="28"/>
          <w:lang w:val="tr-TR"/>
        </w:rPr>
        <w:t xml:space="preserve">, </w:t>
      </w:r>
      <w:r w:rsidR="00305DD7" w:rsidRPr="008F1795">
        <w:rPr>
          <w:b/>
          <w:sz w:val="28"/>
          <w:lang w:val="tr-TR"/>
        </w:rPr>
        <w:t>Amerika Birleşik Devletleri</w:t>
      </w:r>
      <w:r w:rsidRPr="008F1795">
        <w:rPr>
          <w:b/>
          <w:sz w:val="28"/>
          <w:lang w:val="tr-TR"/>
        </w:rPr>
        <w:t xml:space="preserve">) </w:t>
      </w:r>
      <w:r w:rsidR="004A1CF0" w:rsidRPr="008F1795">
        <w:rPr>
          <w:b/>
          <w:sz w:val="28"/>
          <w:lang w:val="tr-TR"/>
        </w:rPr>
        <w:t xml:space="preserve">Sayın </w:t>
      </w:r>
      <w:proofErr w:type="spellStart"/>
      <w:r w:rsidRPr="008F1795">
        <w:rPr>
          <w:b/>
          <w:sz w:val="28"/>
          <w:lang w:val="tr-TR"/>
        </w:rPr>
        <w:t>Jorgen</w:t>
      </w:r>
      <w:proofErr w:type="spellEnd"/>
      <w:r w:rsidRPr="008F1795">
        <w:rPr>
          <w:b/>
          <w:sz w:val="28"/>
          <w:lang w:val="tr-TR"/>
        </w:rPr>
        <w:t xml:space="preserve"> </w:t>
      </w:r>
      <w:proofErr w:type="spellStart"/>
      <w:r w:rsidRPr="008F1795">
        <w:rPr>
          <w:b/>
          <w:sz w:val="28"/>
          <w:lang w:val="tr-TR"/>
        </w:rPr>
        <w:t>Steen</w:t>
      </w:r>
      <w:proofErr w:type="spellEnd"/>
      <w:r w:rsidRPr="008F1795">
        <w:rPr>
          <w:b/>
          <w:sz w:val="28"/>
          <w:lang w:val="tr-TR"/>
        </w:rPr>
        <w:t xml:space="preserve"> SØRENSEN (</w:t>
      </w:r>
      <w:r w:rsidR="00305DD7" w:rsidRPr="008F1795">
        <w:rPr>
          <w:b/>
          <w:sz w:val="28"/>
          <w:lang w:val="tr-TR"/>
        </w:rPr>
        <w:t>Üye</w:t>
      </w:r>
      <w:r w:rsidRPr="008F1795">
        <w:rPr>
          <w:b/>
          <w:sz w:val="28"/>
          <w:lang w:val="tr-TR"/>
        </w:rPr>
        <w:t>,</w:t>
      </w:r>
      <w:r w:rsidRPr="008F1795">
        <w:rPr>
          <w:b/>
          <w:spacing w:val="-9"/>
          <w:sz w:val="28"/>
          <w:lang w:val="tr-TR"/>
        </w:rPr>
        <w:t xml:space="preserve"> </w:t>
      </w:r>
      <w:r w:rsidR="00454498" w:rsidRPr="008F1795">
        <w:rPr>
          <w:b/>
          <w:sz w:val="28"/>
          <w:lang w:val="tr-TR"/>
        </w:rPr>
        <w:t>Danimarka</w:t>
      </w:r>
      <w:r w:rsidRPr="008F1795">
        <w:rPr>
          <w:b/>
          <w:sz w:val="28"/>
          <w:lang w:val="tr-TR"/>
        </w:rPr>
        <w:t>)</w:t>
      </w:r>
    </w:p>
    <w:p w14:paraId="676B0E21" w14:textId="61DF541E" w:rsidR="00B74CEA" w:rsidRPr="008F1795" w:rsidRDefault="004A1CF0">
      <w:pPr>
        <w:ind w:left="590" w:right="610"/>
        <w:jc w:val="center"/>
        <w:rPr>
          <w:b/>
          <w:sz w:val="28"/>
          <w:lang w:val="tr-TR"/>
        </w:rPr>
      </w:pPr>
      <w:r w:rsidRPr="008F1795">
        <w:rPr>
          <w:b/>
          <w:sz w:val="28"/>
          <w:lang w:val="tr-TR"/>
        </w:rPr>
        <w:t xml:space="preserve">Sayın </w:t>
      </w:r>
      <w:proofErr w:type="spellStart"/>
      <w:r w:rsidR="00BE381E" w:rsidRPr="008F1795">
        <w:rPr>
          <w:b/>
          <w:sz w:val="28"/>
          <w:lang w:val="tr-TR"/>
        </w:rPr>
        <w:t>Herdis</w:t>
      </w:r>
      <w:proofErr w:type="spellEnd"/>
      <w:r w:rsidR="00BE381E" w:rsidRPr="008F1795">
        <w:rPr>
          <w:b/>
          <w:sz w:val="28"/>
          <w:lang w:val="tr-TR"/>
        </w:rPr>
        <w:t xml:space="preserve"> KJERULF-THORGEIRSDOTTIR (</w:t>
      </w:r>
      <w:r w:rsidR="00305DD7" w:rsidRPr="008F1795">
        <w:rPr>
          <w:b/>
          <w:sz w:val="28"/>
          <w:lang w:val="tr-TR"/>
        </w:rPr>
        <w:t>Üye</w:t>
      </w:r>
      <w:r w:rsidR="00BE381E" w:rsidRPr="008F1795">
        <w:rPr>
          <w:b/>
          <w:sz w:val="28"/>
          <w:lang w:val="tr-TR"/>
        </w:rPr>
        <w:t xml:space="preserve">, </w:t>
      </w:r>
      <w:r w:rsidR="00454498" w:rsidRPr="008F1795">
        <w:rPr>
          <w:b/>
          <w:sz w:val="28"/>
          <w:lang w:val="tr-TR"/>
        </w:rPr>
        <w:t>İzlanda</w:t>
      </w:r>
      <w:r w:rsidR="00BE381E" w:rsidRPr="008F1795">
        <w:rPr>
          <w:b/>
          <w:sz w:val="28"/>
          <w:lang w:val="tr-TR"/>
        </w:rPr>
        <w:t xml:space="preserve">) </w:t>
      </w:r>
      <w:r w:rsidRPr="008F1795">
        <w:rPr>
          <w:b/>
          <w:sz w:val="28"/>
          <w:lang w:val="tr-TR"/>
        </w:rPr>
        <w:t xml:space="preserve">Sayın </w:t>
      </w:r>
      <w:proofErr w:type="spellStart"/>
      <w:r w:rsidR="00BE381E" w:rsidRPr="008F1795">
        <w:rPr>
          <w:b/>
          <w:sz w:val="28"/>
          <w:lang w:val="tr-TR"/>
        </w:rPr>
        <w:t>Pieter</w:t>
      </w:r>
      <w:proofErr w:type="spellEnd"/>
      <w:r w:rsidR="00BE381E" w:rsidRPr="008F1795">
        <w:rPr>
          <w:b/>
          <w:sz w:val="28"/>
          <w:lang w:val="tr-TR"/>
        </w:rPr>
        <w:t xml:space="preserve"> VAN DIJK (</w:t>
      </w:r>
      <w:r w:rsidR="005676EB" w:rsidRPr="008F1795">
        <w:rPr>
          <w:b/>
          <w:sz w:val="28"/>
          <w:lang w:val="tr-TR"/>
        </w:rPr>
        <w:t>Uzman</w:t>
      </w:r>
      <w:r w:rsidR="00BE381E" w:rsidRPr="008F1795">
        <w:rPr>
          <w:b/>
          <w:sz w:val="28"/>
          <w:lang w:val="tr-TR"/>
        </w:rPr>
        <w:t xml:space="preserve">, </w:t>
      </w:r>
      <w:r w:rsidR="005676EB" w:rsidRPr="008F1795">
        <w:rPr>
          <w:b/>
          <w:sz w:val="28"/>
          <w:lang w:val="tr-TR"/>
        </w:rPr>
        <w:t>Eski Üye</w:t>
      </w:r>
      <w:r w:rsidR="00BE381E" w:rsidRPr="008F1795">
        <w:rPr>
          <w:b/>
          <w:sz w:val="28"/>
          <w:lang w:val="tr-TR"/>
        </w:rPr>
        <w:t xml:space="preserve">, </w:t>
      </w:r>
      <w:r w:rsidR="005676EB" w:rsidRPr="008F1795">
        <w:rPr>
          <w:b/>
          <w:sz w:val="28"/>
          <w:lang w:val="tr-TR"/>
        </w:rPr>
        <w:t>Hollanda</w:t>
      </w:r>
      <w:r w:rsidR="00BE381E" w:rsidRPr="008F1795">
        <w:rPr>
          <w:b/>
          <w:sz w:val="28"/>
          <w:lang w:val="tr-TR"/>
        </w:rPr>
        <w:t>)</w:t>
      </w:r>
    </w:p>
    <w:p w14:paraId="1109F1A4" w14:textId="77777777" w:rsidR="00B74CEA" w:rsidRPr="008F1795" w:rsidRDefault="00B74CEA">
      <w:pPr>
        <w:pStyle w:val="GvdeMetni"/>
        <w:rPr>
          <w:b/>
          <w:sz w:val="20"/>
          <w:lang w:val="tr-TR"/>
        </w:rPr>
      </w:pPr>
    </w:p>
    <w:p w14:paraId="4587D866" w14:textId="77777777" w:rsidR="00B74CEA" w:rsidRPr="008F1795" w:rsidRDefault="00B74CEA">
      <w:pPr>
        <w:pStyle w:val="GvdeMetni"/>
        <w:rPr>
          <w:b/>
          <w:sz w:val="20"/>
          <w:lang w:val="tr-TR"/>
        </w:rPr>
      </w:pPr>
    </w:p>
    <w:p w14:paraId="0785A743" w14:textId="77777777" w:rsidR="00B74CEA" w:rsidRPr="008F1795" w:rsidRDefault="00B74CEA">
      <w:pPr>
        <w:pStyle w:val="GvdeMetni"/>
        <w:rPr>
          <w:b/>
          <w:sz w:val="20"/>
          <w:lang w:val="tr-TR"/>
        </w:rPr>
      </w:pPr>
    </w:p>
    <w:p w14:paraId="2D6E5F87" w14:textId="77777777" w:rsidR="00B74CEA" w:rsidRPr="008F1795" w:rsidRDefault="00B74CEA">
      <w:pPr>
        <w:pStyle w:val="GvdeMetni"/>
        <w:rPr>
          <w:b/>
          <w:sz w:val="20"/>
          <w:lang w:val="tr-TR"/>
        </w:rPr>
      </w:pPr>
    </w:p>
    <w:p w14:paraId="085E8672" w14:textId="77777777" w:rsidR="00B74CEA" w:rsidRPr="008F1795" w:rsidRDefault="00B74CEA">
      <w:pPr>
        <w:pStyle w:val="GvdeMetni"/>
        <w:rPr>
          <w:b/>
          <w:sz w:val="20"/>
          <w:lang w:val="tr-TR"/>
        </w:rPr>
      </w:pPr>
    </w:p>
    <w:p w14:paraId="2D587BFD" w14:textId="77777777" w:rsidR="00B74CEA" w:rsidRPr="008F1795" w:rsidRDefault="00B74CEA">
      <w:pPr>
        <w:pStyle w:val="GvdeMetni"/>
        <w:rPr>
          <w:b/>
          <w:sz w:val="20"/>
          <w:lang w:val="tr-TR"/>
        </w:rPr>
      </w:pPr>
    </w:p>
    <w:p w14:paraId="369951B5" w14:textId="77777777" w:rsidR="00B74CEA" w:rsidRPr="008F1795" w:rsidRDefault="0051215C">
      <w:pPr>
        <w:pStyle w:val="GvdeMetni"/>
        <w:spacing w:before="9"/>
        <w:rPr>
          <w:b/>
          <w:sz w:val="26"/>
          <w:lang w:val="tr-TR"/>
        </w:rPr>
      </w:pPr>
      <w:r w:rsidRPr="008F1795">
        <w:rPr>
          <w:noProof/>
          <w:lang w:val="tr-TR"/>
        </w:rPr>
        <mc:AlternateContent>
          <mc:Choice Requires="wps">
            <w:drawing>
              <wp:anchor distT="0" distB="0" distL="0" distR="0" simplePos="0" relativeHeight="487587840" behindDoc="1" locked="0" layoutInCell="1" allowOverlap="1" wp14:anchorId="1D8B0F74" wp14:editId="7ADC8EC2">
                <wp:simplePos x="0" y="0"/>
                <wp:positionH relativeFrom="page">
                  <wp:posOffset>1920240</wp:posOffset>
                </wp:positionH>
                <wp:positionV relativeFrom="paragraph">
                  <wp:posOffset>225425</wp:posOffset>
                </wp:positionV>
                <wp:extent cx="3931920" cy="1270"/>
                <wp:effectExtent l="0" t="0" r="508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1920" cy="1270"/>
                        </a:xfrm>
                        <a:custGeom>
                          <a:avLst/>
                          <a:gdLst>
                            <a:gd name="T0" fmla="+- 0 3024 3024"/>
                            <a:gd name="T1" fmla="*/ T0 w 6192"/>
                            <a:gd name="T2" fmla="+- 0 9216 3024"/>
                            <a:gd name="T3" fmla="*/ T2 w 6192"/>
                          </a:gdLst>
                          <a:ahLst/>
                          <a:cxnLst>
                            <a:cxn ang="0">
                              <a:pos x="T1" y="0"/>
                            </a:cxn>
                            <a:cxn ang="0">
                              <a:pos x="T3" y="0"/>
                            </a:cxn>
                          </a:cxnLst>
                          <a:rect l="0" t="0" r="r" b="b"/>
                          <a:pathLst>
                            <a:path w="6192">
                              <a:moveTo>
                                <a:pt x="0" y="0"/>
                              </a:moveTo>
                              <a:lnTo>
                                <a:pt x="619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A153D" id="Freeform 30" o:spid="_x0000_s1026" style="position:absolute;margin-left:151.2pt;margin-top:17.75pt;width:309.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" path="m,l6192,e" filled="f">
                <v:path arrowok="t" o:connecttype="custom" o:connectlocs="0,0;3931920,0" o:connectangles="0,0"/>
                <w10:wrap type="topAndBottom" anchorx="page"/>
              </v:shape>
            </w:pict>
          </mc:Fallback>
        </mc:AlternateContent>
      </w:r>
    </w:p>
    <w:p w14:paraId="32E05A75" w14:textId="7C34B185" w:rsidR="00B74CEA" w:rsidRPr="008F1795" w:rsidRDefault="00971C44">
      <w:pPr>
        <w:spacing w:before="141"/>
        <w:ind w:left="4037" w:right="2055" w:hanging="1988"/>
        <w:rPr>
          <w:i/>
          <w:sz w:val="16"/>
          <w:lang w:val="tr-TR"/>
        </w:rPr>
      </w:pPr>
      <w:r w:rsidRPr="008F1795">
        <w:rPr>
          <w:i/>
          <w:sz w:val="16"/>
          <w:lang w:val="tr-TR"/>
        </w:rPr>
        <w:t>Bu belge toplantıda dağıtılmayacaktır. Lütfen kopyasını birlikte getiriniz</w:t>
      </w:r>
      <w:r w:rsidR="00BE381E" w:rsidRPr="008F1795">
        <w:rPr>
          <w:i/>
          <w:sz w:val="16"/>
          <w:lang w:val="tr-TR"/>
        </w:rPr>
        <w:t xml:space="preserve">. </w:t>
      </w:r>
      <w:hyperlink r:id="rId8">
        <w:r w:rsidR="00BE381E" w:rsidRPr="008F1795">
          <w:rPr>
            <w:i/>
            <w:sz w:val="16"/>
            <w:u w:val="single"/>
            <w:lang w:val="tr-TR"/>
          </w:rPr>
          <w:t>www.venice.coe.int</w:t>
        </w:r>
      </w:hyperlink>
    </w:p>
    <w:p w14:paraId="63FAFBD7" w14:textId="77777777" w:rsidR="00B74CEA" w:rsidRPr="008F1795" w:rsidRDefault="00B74CEA">
      <w:pPr>
        <w:rPr>
          <w:sz w:val="16"/>
          <w:lang w:val="tr-TR"/>
        </w:rPr>
        <w:sectPr w:rsidR="00B74CEA" w:rsidRPr="008F1795">
          <w:type w:val="continuous"/>
          <w:pgSz w:w="11910" w:h="16840"/>
          <w:pgMar w:top="1500" w:right="1220" w:bottom="280" w:left="1220" w:header="720" w:footer="720" w:gutter="0"/>
          <w:cols w:space="720"/>
        </w:sectPr>
      </w:pPr>
    </w:p>
    <w:p w14:paraId="2E9C4FEE" w14:textId="77777777" w:rsidR="00B74CEA" w:rsidRPr="008F1795" w:rsidRDefault="00B74CEA">
      <w:pPr>
        <w:pStyle w:val="GvdeMetni"/>
        <w:rPr>
          <w:i/>
          <w:sz w:val="20"/>
          <w:lang w:val="tr-TR"/>
        </w:rPr>
      </w:pPr>
    </w:p>
    <w:p w14:paraId="3DB33BB9" w14:textId="77777777" w:rsidR="00B74CEA" w:rsidRPr="008F1795" w:rsidRDefault="00B74CEA">
      <w:pPr>
        <w:pStyle w:val="GvdeMetni"/>
        <w:rPr>
          <w:i/>
          <w:sz w:val="20"/>
          <w:lang w:val="tr-TR"/>
        </w:rPr>
      </w:pPr>
    </w:p>
    <w:p w14:paraId="2006EF04" w14:textId="77777777" w:rsidR="00B74CEA" w:rsidRPr="008F1795" w:rsidRDefault="00B74CEA">
      <w:pPr>
        <w:pStyle w:val="GvdeMetni"/>
        <w:spacing w:before="1"/>
        <w:rPr>
          <w:i/>
          <w:sz w:val="25"/>
          <w:lang w:val="tr-TR"/>
        </w:rPr>
      </w:pPr>
    </w:p>
    <w:p w14:paraId="450C38E1" w14:textId="300FB650" w:rsidR="00B74CEA" w:rsidRPr="008F1795" w:rsidRDefault="008F473B">
      <w:pPr>
        <w:pStyle w:val="Balk1"/>
        <w:spacing w:before="94"/>
        <w:ind w:left="2512" w:right="2527" w:firstLine="0"/>
        <w:jc w:val="center"/>
        <w:rPr>
          <w:lang w:val="tr-TR"/>
        </w:rPr>
      </w:pPr>
      <w:r>
        <w:rPr>
          <w:lang w:val="tr-TR"/>
        </w:rPr>
        <w:t>İÇİNDEKİLER</w:t>
      </w:r>
    </w:p>
    <w:sdt>
      <w:sdtPr>
        <w:rPr>
          <w:lang w:val="tr-TR"/>
        </w:rPr>
        <w:id w:val="-9997343"/>
        <w:docPartObj>
          <w:docPartGallery w:val="Table of Contents"/>
          <w:docPartUnique/>
        </w:docPartObj>
      </w:sdtPr>
      <w:sdtEndPr/>
      <w:sdtContent>
        <w:p w14:paraId="00EEF412" w14:textId="66925A77" w:rsidR="00B74CEA" w:rsidRPr="008F1795" w:rsidRDefault="0089104D">
          <w:pPr>
            <w:pStyle w:val="T1"/>
            <w:numPr>
              <w:ilvl w:val="0"/>
              <w:numId w:val="6"/>
            </w:numPr>
            <w:tabs>
              <w:tab w:val="left" w:pos="566"/>
              <w:tab w:val="left" w:pos="766"/>
              <w:tab w:val="left" w:leader="dot" w:pos="8898"/>
            </w:tabs>
            <w:spacing w:before="688"/>
            <w:ind w:hanging="766"/>
            <w:rPr>
              <w:lang w:val="tr-TR"/>
            </w:rPr>
          </w:pPr>
          <w:hyperlink w:anchor="_bookmark0" w:history="1">
            <w:r w:rsidR="00971C44" w:rsidRPr="008F1795">
              <w:rPr>
                <w:spacing w:val="-4"/>
                <w:lang w:val="tr-TR"/>
              </w:rPr>
              <w:t>Giriş</w:t>
            </w:r>
            <w:r w:rsidR="00BE381E" w:rsidRPr="008F1795">
              <w:rPr>
                <w:spacing w:val="-4"/>
                <w:lang w:val="tr-TR"/>
              </w:rPr>
              <w:tab/>
            </w:r>
            <w:r w:rsidR="00BE381E" w:rsidRPr="008F1795">
              <w:rPr>
                <w:lang w:val="tr-TR"/>
              </w:rPr>
              <w:t>3</w:t>
            </w:r>
          </w:hyperlink>
        </w:p>
        <w:p w14:paraId="6A161254" w14:textId="5CDB1690" w:rsidR="00B74CEA" w:rsidRPr="008F1795" w:rsidRDefault="0089104D">
          <w:pPr>
            <w:pStyle w:val="T1"/>
            <w:numPr>
              <w:ilvl w:val="0"/>
              <w:numId w:val="6"/>
            </w:numPr>
            <w:tabs>
              <w:tab w:val="left" w:pos="566"/>
              <w:tab w:val="left" w:pos="766"/>
              <w:tab w:val="left" w:leader="dot" w:pos="8898"/>
            </w:tabs>
            <w:ind w:hanging="766"/>
            <w:rPr>
              <w:lang w:val="tr-TR"/>
            </w:rPr>
          </w:pPr>
          <w:hyperlink w:anchor="_bookmark1" w:history="1">
            <w:r w:rsidR="00971C44" w:rsidRPr="008F1795">
              <w:rPr>
                <w:spacing w:val="-4"/>
                <w:lang w:val="tr-TR"/>
              </w:rPr>
              <w:t>İlgili Hükümler</w:t>
            </w:r>
            <w:r w:rsidR="00BE381E" w:rsidRPr="008F1795">
              <w:rPr>
                <w:spacing w:val="-4"/>
                <w:lang w:val="tr-TR"/>
              </w:rPr>
              <w:tab/>
            </w:r>
            <w:r w:rsidR="00BE381E" w:rsidRPr="008F1795">
              <w:rPr>
                <w:lang w:val="tr-TR"/>
              </w:rPr>
              <w:t>3</w:t>
            </w:r>
          </w:hyperlink>
        </w:p>
        <w:p w14:paraId="6BCA1EC5" w14:textId="6FFBE337" w:rsidR="00B74CEA" w:rsidRPr="008F1795" w:rsidRDefault="0089104D">
          <w:pPr>
            <w:pStyle w:val="T1"/>
            <w:numPr>
              <w:ilvl w:val="0"/>
              <w:numId w:val="6"/>
            </w:numPr>
            <w:tabs>
              <w:tab w:val="left" w:pos="566"/>
              <w:tab w:val="left" w:pos="766"/>
              <w:tab w:val="left" w:leader="dot" w:pos="8898"/>
            </w:tabs>
            <w:spacing w:before="361"/>
            <w:ind w:hanging="766"/>
            <w:rPr>
              <w:lang w:val="tr-TR"/>
            </w:rPr>
          </w:pPr>
          <w:hyperlink w:anchor="_bookmark2" w:history="1">
            <w:r w:rsidR="00971C44" w:rsidRPr="008F1795">
              <w:rPr>
                <w:spacing w:val="-3"/>
                <w:lang w:val="tr-TR"/>
              </w:rPr>
              <w:t>Avrupa İnsan Hakları Standartları</w:t>
            </w:r>
            <w:r w:rsidR="00BE381E" w:rsidRPr="008F1795">
              <w:rPr>
                <w:spacing w:val="-4"/>
                <w:lang w:val="tr-TR"/>
              </w:rPr>
              <w:tab/>
            </w:r>
            <w:r w:rsidR="00BE381E" w:rsidRPr="008F1795">
              <w:rPr>
                <w:lang w:val="tr-TR"/>
              </w:rPr>
              <w:t>5</w:t>
            </w:r>
          </w:hyperlink>
        </w:p>
        <w:p w14:paraId="440B5358" w14:textId="7E9C8661" w:rsidR="00B74CEA" w:rsidRPr="008F1795" w:rsidRDefault="0089104D">
          <w:pPr>
            <w:pStyle w:val="T2"/>
            <w:numPr>
              <w:ilvl w:val="1"/>
              <w:numId w:val="6"/>
            </w:numPr>
            <w:tabs>
              <w:tab w:val="left" w:pos="858"/>
              <w:tab w:val="left" w:pos="859"/>
              <w:tab w:val="left" w:leader="dot" w:pos="9116"/>
            </w:tabs>
            <w:spacing w:before="489"/>
            <w:rPr>
              <w:lang w:val="tr-TR"/>
            </w:rPr>
          </w:pPr>
          <w:hyperlink w:anchor="_bookmark3" w:history="1">
            <w:r w:rsidR="00971C44" w:rsidRPr="008F1795">
              <w:rPr>
                <w:lang w:val="tr-TR"/>
              </w:rPr>
              <w:t>İfade Özgürlüğü</w:t>
            </w:r>
            <w:r w:rsidR="00BE381E" w:rsidRPr="008F1795">
              <w:rPr>
                <w:lang w:val="tr-TR"/>
              </w:rPr>
              <w:tab/>
              <w:t>5</w:t>
            </w:r>
          </w:hyperlink>
        </w:p>
        <w:p w14:paraId="0189207A" w14:textId="45B83F8A" w:rsidR="00B74CEA" w:rsidRPr="008F1795" w:rsidRDefault="0084708B">
          <w:pPr>
            <w:pStyle w:val="T2"/>
            <w:numPr>
              <w:ilvl w:val="1"/>
              <w:numId w:val="6"/>
            </w:numPr>
            <w:tabs>
              <w:tab w:val="left" w:pos="858"/>
              <w:tab w:val="left" w:pos="859"/>
              <w:tab w:val="left" w:leader="dot" w:pos="9116"/>
            </w:tabs>
            <w:rPr>
              <w:lang w:val="tr-TR"/>
            </w:rPr>
          </w:pPr>
          <w:r w:rsidRPr="008F1795">
            <w:rPr>
              <w:lang w:val="tr-TR"/>
            </w:rPr>
            <w:t>Türkiye’de İfade Özgürlüğü</w:t>
          </w:r>
          <w:r w:rsidR="005830BA" w:rsidRPr="008F1795">
            <w:rPr>
              <w:lang w:val="tr-TR"/>
            </w:rPr>
            <w:t xml:space="preserve"> Hakkında Kararlar, Raporlar ve Açıklamalar </w:t>
          </w:r>
          <w:hyperlink w:anchor="_bookmark4" w:history="1">
            <w:r w:rsidR="00BE381E" w:rsidRPr="008F1795">
              <w:rPr>
                <w:lang w:val="tr-TR"/>
              </w:rPr>
              <w:tab/>
              <w:t>6</w:t>
            </w:r>
          </w:hyperlink>
        </w:p>
        <w:p w14:paraId="04AFA311" w14:textId="758C30FD" w:rsidR="00B74CEA" w:rsidRPr="008F1795" w:rsidRDefault="0089104D">
          <w:pPr>
            <w:pStyle w:val="T1"/>
            <w:numPr>
              <w:ilvl w:val="0"/>
              <w:numId w:val="6"/>
            </w:numPr>
            <w:tabs>
              <w:tab w:val="left" w:pos="566"/>
              <w:tab w:val="left" w:pos="766"/>
              <w:tab w:val="left" w:leader="dot" w:pos="8898"/>
            </w:tabs>
            <w:spacing w:before="401"/>
            <w:ind w:hanging="766"/>
            <w:rPr>
              <w:lang w:val="tr-TR"/>
            </w:rPr>
          </w:pPr>
          <w:hyperlink w:anchor="_bookmark5" w:history="1">
            <w:r w:rsidR="00BE381E" w:rsidRPr="008F1795">
              <w:rPr>
                <w:spacing w:val="-4"/>
                <w:lang w:val="tr-TR"/>
              </w:rPr>
              <w:t>Anal</w:t>
            </w:r>
            <w:r w:rsidR="00971C44" w:rsidRPr="008F1795">
              <w:rPr>
                <w:spacing w:val="-4"/>
                <w:lang w:val="tr-TR"/>
              </w:rPr>
              <w:t>iz</w:t>
            </w:r>
            <w:r w:rsidR="00BE381E" w:rsidRPr="008F1795">
              <w:rPr>
                <w:spacing w:val="-4"/>
                <w:lang w:val="tr-TR"/>
              </w:rPr>
              <w:tab/>
            </w:r>
            <w:r w:rsidR="00BE381E" w:rsidRPr="008F1795">
              <w:rPr>
                <w:lang w:val="tr-TR"/>
              </w:rPr>
              <w:t>8</w:t>
            </w:r>
          </w:hyperlink>
        </w:p>
        <w:p w14:paraId="610F863C" w14:textId="72359B06" w:rsidR="00B74CEA" w:rsidRPr="008F1795" w:rsidRDefault="0089104D">
          <w:pPr>
            <w:pStyle w:val="T2"/>
            <w:numPr>
              <w:ilvl w:val="1"/>
              <w:numId w:val="6"/>
            </w:numPr>
            <w:tabs>
              <w:tab w:val="left" w:pos="858"/>
              <w:tab w:val="left" w:pos="859"/>
              <w:tab w:val="left" w:leader="dot" w:pos="9116"/>
            </w:tabs>
            <w:spacing w:before="488"/>
            <w:rPr>
              <w:lang w:val="tr-TR"/>
            </w:rPr>
          </w:pPr>
          <w:hyperlink w:anchor="_bookmark6" w:history="1">
            <w:r w:rsidR="0084708B" w:rsidRPr="008F1795">
              <w:rPr>
                <w:lang w:val="tr-TR"/>
              </w:rPr>
              <w:t>Ön Yorum</w:t>
            </w:r>
            <w:r w:rsidR="00BE381E" w:rsidRPr="008F1795">
              <w:rPr>
                <w:lang w:val="tr-TR"/>
              </w:rPr>
              <w:tab/>
              <w:t>8</w:t>
            </w:r>
          </w:hyperlink>
        </w:p>
        <w:p w14:paraId="2B9DA6F0" w14:textId="71C5523D" w:rsidR="00B74CEA" w:rsidRPr="008F1795" w:rsidRDefault="0089104D">
          <w:pPr>
            <w:pStyle w:val="T2"/>
            <w:numPr>
              <w:ilvl w:val="1"/>
              <w:numId w:val="6"/>
            </w:numPr>
            <w:tabs>
              <w:tab w:val="left" w:pos="858"/>
              <w:tab w:val="left" w:pos="859"/>
              <w:tab w:val="left" w:leader="dot" w:pos="9116"/>
            </w:tabs>
            <w:rPr>
              <w:lang w:val="tr-TR"/>
            </w:rPr>
          </w:pPr>
          <w:hyperlink w:anchor="_bookmark7" w:history="1">
            <w:r w:rsidR="00241305" w:rsidRPr="008F1795">
              <w:rPr>
                <w:lang w:val="tr-TR"/>
              </w:rPr>
              <w:t>Madde</w:t>
            </w:r>
            <w:r w:rsidR="00BE381E" w:rsidRPr="008F1795">
              <w:rPr>
                <w:lang w:val="tr-TR"/>
              </w:rPr>
              <w:t xml:space="preserve"> 216 (</w:t>
            </w:r>
            <w:r w:rsidR="004067FC" w:rsidRPr="008F1795">
              <w:rPr>
                <w:lang w:val="tr-TR"/>
              </w:rPr>
              <w:t>Halkı kin ve düşmanlığa tahrik veya aşağılama</w:t>
            </w:r>
            <w:r w:rsidR="00BE381E" w:rsidRPr="008F1795">
              <w:rPr>
                <w:lang w:val="tr-TR"/>
              </w:rPr>
              <w:t>)</w:t>
            </w:r>
            <w:r w:rsidR="00BE381E" w:rsidRPr="008F1795">
              <w:rPr>
                <w:lang w:val="tr-TR"/>
              </w:rPr>
              <w:tab/>
              <w:t>9</w:t>
            </w:r>
          </w:hyperlink>
        </w:p>
        <w:p w14:paraId="5A1A186E" w14:textId="670444D9" w:rsidR="00B74CEA" w:rsidRPr="008F1795" w:rsidRDefault="0089104D">
          <w:pPr>
            <w:pStyle w:val="T2"/>
            <w:numPr>
              <w:ilvl w:val="1"/>
              <w:numId w:val="6"/>
            </w:numPr>
            <w:tabs>
              <w:tab w:val="left" w:pos="858"/>
              <w:tab w:val="left" w:pos="859"/>
              <w:tab w:val="left" w:leader="dot" w:pos="8993"/>
            </w:tabs>
            <w:spacing w:before="139"/>
            <w:rPr>
              <w:lang w:val="tr-TR"/>
            </w:rPr>
          </w:pPr>
          <w:hyperlink w:anchor="_bookmark8" w:history="1">
            <w:r w:rsidR="00241305" w:rsidRPr="008F1795">
              <w:rPr>
                <w:lang w:val="tr-TR"/>
              </w:rPr>
              <w:t>Madde</w:t>
            </w:r>
            <w:r w:rsidR="00FB4BFA" w:rsidRPr="008F1795">
              <w:rPr>
                <w:lang w:val="tr-TR"/>
              </w:rPr>
              <w:t xml:space="preserve"> </w:t>
            </w:r>
            <w:r w:rsidR="00BE381E" w:rsidRPr="008F1795">
              <w:rPr>
                <w:lang w:val="tr-TR"/>
              </w:rPr>
              <w:t>299 (</w:t>
            </w:r>
            <w:r w:rsidR="00A10D6C" w:rsidRPr="008F1795">
              <w:rPr>
                <w:lang w:val="tr-TR"/>
              </w:rPr>
              <w:t>Cumhurbaşkanına Hakaret</w:t>
            </w:r>
            <w:r w:rsidR="00BE381E" w:rsidRPr="008F1795">
              <w:rPr>
                <w:lang w:val="tr-TR"/>
              </w:rPr>
              <w:t>)</w:t>
            </w:r>
            <w:r w:rsidR="00BE381E" w:rsidRPr="008F1795">
              <w:rPr>
                <w:lang w:val="tr-TR"/>
              </w:rPr>
              <w:tab/>
              <w:t>13</w:t>
            </w:r>
          </w:hyperlink>
        </w:p>
        <w:p w14:paraId="36282C99" w14:textId="5FA26BBB" w:rsidR="00B74CEA" w:rsidRPr="008F1795" w:rsidRDefault="0089104D">
          <w:pPr>
            <w:pStyle w:val="T2"/>
            <w:numPr>
              <w:ilvl w:val="1"/>
              <w:numId w:val="6"/>
            </w:numPr>
            <w:tabs>
              <w:tab w:val="left" w:pos="858"/>
              <w:tab w:val="left" w:pos="859"/>
              <w:tab w:val="left" w:leader="dot" w:pos="8993"/>
            </w:tabs>
            <w:spacing w:before="140" w:line="273" w:lineRule="auto"/>
            <w:ind w:left="419" w:right="225" w:firstLine="0"/>
            <w:rPr>
              <w:lang w:val="tr-TR"/>
            </w:rPr>
          </w:pPr>
          <w:hyperlink w:anchor="_bookmark9" w:history="1">
            <w:r w:rsidR="00FB4BFA" w:rsidRPr="008F1795">
              <w:rPr>
                <w:lang w:val="tr-TR"/>
              </w:rPr>
              <w:t xml:space="preserve"> </w:t>
            </w:r>
            <w:r w:rsidR="00241305" w:rsidRPr="008F1795">
              <w:rPr>
                <w:lang w:val="tr-TR"/>
              </w:rPr>
              <w:t>Madde</w:t>
            </w:r>
            <w:r w:rsidR="00FB4BFA" w:rsidRPr="008F1795">
              <w:rPr>
                <w:lang w:val="tr-TR"/>
              </w:rPr>
              <w:t xml:space="preserve"> </w:t>
            </w:r>
            <w:r w:rsidR="00BE381E" w:rsidRPr="008F1795">
              <w:rPr>
                <w:lang w:val="tr-TR"/>
              </w:rPr>
              <w:t>301 (</w:t>
            </w:r>
            <w:r w:rsidR="00124B6E" w:rsidRPr="008F1795">
              <w:rPr>
                <w:lang w:val="tr-TR"/>
              </w:rPr>
              <w:t>Türk Milletini, Türkiye Cumhuriyeti Devletini, Devletin</w:t>
            </w:r>
            <w:r w:rsidR="009C79BE" w:rsidRPr="008F1795">
              <w:rPr>
                <w:lang w:val="tr-TR"/>
              </w:rPr>
              <w:t xml:space="preserve"> K</w:t>
            </w:r>
            <w:r w:rsidR="00124B6E" w:rsidRPr="008F1795">
              <w:rPr>
                <w:lang w:val="tr-TR"/>
              </w:rPr>
              <w:t xml:space="preserve">urum ve </w:t>
            </w:r>
            <w:r w:rsidR="009C79BE" w:rsidRPr="008F1795">
              <w:rPr>
                <w:lang w:val="tr-TR"/>
              </w:rPr>
              <w:t>O</w:t>
            </w:r>
            <w:r w:rsidR="00124B6E" w:rsidRPr="008F1795">
              <w:rPr>
                <w:lang w:val="tr-TR"/>
              </w:rPr>
              <w:t xml:space="preserve">rganlarını </w:t>
            </w:r>
            <w:r w:rsidR="00993D38" w:rsidRPr="008F1795">
              <w:rPr>
                <w:lang w:val="tr-TR"/>
              </w:rPr>
              <w:t>A</w:t>
            </w:r>
            <w:r w:rsidR="00124B6E" w:rsidRPr="008F1795">
              <w:rPr>
                <w:lang w:val="tr-TR"/>
              </w:rPr>
              <w:t xml:space="preserve">şağılama </w:t>
            </w:r>
          </w:hyperlink>
          <w:hyperlink w:anchor="_bookmark9" w:history="1">
            <w:r w:rsidR="00BE381E" w:rsidRPr="008F1795">
              <w:rPr>
                <w:lang w:val="tr-TR"/>
              </w:rPr>
              <w:t>)</w:t>
            </w:r>
            <w:r w:rsidR="00BE381E" w:rsidRPr="008F1795">
              <w:rPr>
                <w:lang w:val="tr-TR"/>
              </w:rPr>
              <w:tab/>
            </w:r>
            <w:r w:rsidR="00BE381E" w:rsidRPr="008F1795">
              <w:rPr>
                <w:spacing w:val="-9"/>
                <w:lang w:val="tr-TR"/>
              </w:rPr>
              <w:t>20</w:t>
            </w:r>
          </w:hyperlink>
        </w:p>
        <w:p w14:paraId="3E43ADFE" w14:textId="4C7530F1" w:rsidR="00B74CEA" w:rsidRPr="008F1795" w:rsidRDefault="0089104D">
          <w:pPr>
            <w:pStyle w:val="T2"/>
            <w:numPr>
              <w:ilvl w:val="1"/>
              <w:numId w:val="6"/>
            </w:numPr>
            <w:tabs>
              <w:tab w:val="left" w:pos="858"/>
              <w:tab w:val="left" w:pos="859"/>
              <w:tab w:val="left" w:leader="dot" w:pos="8993"/>
            </w:tabs>
            <w:spacing w:before="103"/>
            <w:rPr>
              <w:lang w:val="tr-TR"/>
            </w:rPr>
          </w:pPr>
          <w:hyperlink w:anchor="_bookmark10" w:history="1">
            <w:r w:rsidR="00241305" w:rsidRPr="008F1795">
              <w:rPr>
                <w:lang w:val="tr-TR"/>
              </w:rPr>
              <w:t>Madde</w:t>
            </w:r>
            <w:r w:rsidR="00BE381E" w:rsidRPr="008F1795">
              <w:rPr>
                <w:lang w:val="tr-TR"/>
              </w:rPr>
              <w:t xml:space="preserve"> 314</w:t>
            </w:r>
            <w:r w:rsidR="00BE381E" w:rsidRPr="008F1795">
              <w:rPr>
                <w:spacing w:val="-1"/>
                <w:lang w:val="tr-TR"/>
              </w:rPr>
              <w:t xml:space="preserve"> </w:t>
            </w:r>
            <w:r w:rsidR="00BE381E" w:rsidRPr="008F1795">
              <w:rPr>
                <w:lang w:val="tr-TR"/>
              </w:rPr>
              <w:t>(</w:t>
            </w:r>
            <w:r w:rsidR="00A522F4" w:rsidRPr="008F1795">
              <w:rPr>
                <w:lang w:val="tr-TR"/>
              </w:rPr>
              <w:t>S</w:t>
            </w:r>
            <w:r w:rsidR="008D16EC" w:rsidRPr="008F1795">
              <w:rPr>
                <w:lang w:val="tr-TR"/>
              </w:rPr>
              <w:t>ilahl</w:t>
            </w:r>
            <w:r w:rsidR="00D32D0B" w:rsidRPr="008F1795">
              <w:rPr>
                <w:lang w:val="tr-TR"/>
              </w:rPr>
              <w:t>ı</w:t>
            </w:r>
            <w:r w:rsidR="008D16EC" w:rsidRPr="008F1795">
              <w:rPr>
                <w:lang w:val="tr-TR"/>
              </w:rPr>
              <w:t xml:space="preserve"> ö</w:t>
            </w:r>
            <w:r w:rsidR="002716DE" w:rsidRPr="008F1795">
              <w:rPr>
                <w:lang w:val="tr-TR"/>
              </w:rPr>
              <w:t>rgüt</w:t>
            </w:r>
            <w:r w:rsidR="00BE381E" w:rsidRPr="008F1795">
              <w:rPr>
                <w:lang w:val="tr-TR"/>
              </w:rPr>
              <w:t>)</w:t>
            </w:r>
            <w:r w:rsidR="00BE381E" w:rsidRPr="008F1795">
              <w:rPr>
                <w:lang w:val="tr-TR"/>
              </w:rPr>
              <w:tab/>
              <w:t>24</w:t>
            </w:r>
          </w:hyperlink>
        </w:p>
        <w:p w14:paraId="4576BCE5" w14:textId="1D4735E6" w:rsidR="00B74CEA" w:rsidRPr="008F1795" w:rsidRDefault="002E5A39">
          <w:pPr>
            <w:pStyle w:val="T3"/>
            <w:numPr>
              <w:ilvl w:val="2"/>
              <w:numId w:val="6"/>
            </w:numPr>
            <w:tabs>
              <w:tab w:val="left" w:pos="1079"/>
              <w:tab w:val="left" w:pos="1080"/>
              <w:tab w:val="left" w:leader="dot" w:pos="8993"/>
            </w:tabs>
            <w:spacing w:before="138"/>
            <w:rPr>
              <w:lang w:val="tr-TR"/>
            </w:rPr>
          </w:pPr>
          <w:r w:rsidRPr="008F1795">
            <w:rPr>
              <w:lang w:val="tr-TR"/>
            </w:rPr>
            <w:t xml:space="preserve">Silahlı örgüt üyesi olmak </w:t>
          </w:r>
          <w:hyperlink w:anchor="_bookmark11" w:history="1">
            <w:r w:rsidR="00BE381E" w:rsidRPr="008F1795">
              <w:rPr>
                <w:lang w:val="tr-TR"/>
              </w:rPr>
              <w:t>(</w:t>
            </w:r>
            <w:r w:rsidR="00241305" w:rsidRPr="008F1795">
              <w:rPr>
                <w:lang w:val="tr-TR"/>
              </w:rPr>
              <w:t>Madde</w:t>
            </w:r>
            <w:r w:rsidR="00BE381E" w:rsidRPr="008F1795">
              <w:rPr>
                <w:spacing w:val="1"/>
                <w:lang w:val="tr-TR"/>
              </w:rPr>
              <w:t xml:space="preserve"> </w:t>
            </w:r>
            <w:r w:rsidR="00BE381E" w:rsidRPr="008F1795">
              <w:rPr>
                <w:lang w:val="tr-TR"/>
              </w:rPr>
              <w:t>314)</w:t>
            </w:r>
            <w:r w:rsidR="00BE381E" w:rsidRPr="008F1795">
              <w:rPr>
                <w:lang w:val="tr-TR"/>
              </w:rPr>
              <w:tab/>
              <w:t>24</w:t>
            </w:r>
          </w:hyperlink>
        </w:p>
        <w:p w14:paraId="77396BF0" w14:textId="715E6256" w:rsidR="00B74CEA" w:rsidRPr="008F1795" w:rsidRDefault="008C7713">
          <w:pPr>
            <w:pStyle w:val="T3"/>
            <w:numPr>
              <w:ilvl w:val="2"/>
              <w:numId w:val="6"/>
            </w:numPr>
            <w:tabs>
              <w:tab w:val="left" w:pos="1079"/>
              <w:tab w:val="left" w:pos="1080"/>
              <w:tab w:val="left" w:leader="dot" w:pos="8993"/>
            </w:tabs>
            <w:rPr>
              <w:lang w:val="tr-TR"/>
            </w:rPr>
          </w:pPr>
          <w:r w:rsidRPr="008F1795">
            <w:rPr>
              <w:lang w:val="tr-TR"/>
            </w:rPr>
            <w:t xml:space="preserve">314. </w:t>
          </w:r>
          <w:r w:rsidR="00241305" w:rsidRPr="008F1795">
            <w:rPr>
              <w:lang w:val="tr-TR"/>
            </w:rPr>
            <w:t>Madde</w:t>
          </w:r>
          <w:r w:rsidRPr="008F1795">
            <w:rPr>
              <w:lang w:val="tr-TR"/>
            </w:rPr>
            <w:t xml:space="preserve">nin 220. </w:t>
          </w:r>
          <w:r w:rsidR="00241305" w:rsidRPr="008F1795">
            <w:rPr>
              <w:lang w:val="tr-TR"/>
            </w:rPr>
            <w:t>Madde</w:t>
          </w:r>
          <w:r w:rsidRPr="008F1795">
            <w:rPr>
              <w:lang w:val="tr-TR"/>
            </w:rPr>
            <w:t xml:space="preserve"> ile birlikte Uygulanması </w:t>
          </w:r>
          <w:hyperlink w:anchor="_bookmark12" w:history="1">
            <w:r w:rsidR="00BE381E" w:rsidRPr="008F1795">
              <w:rPr>
                <w:lang w:val="tr-TR"/>
              </w:rPr>
              <w:tab/>
              <w:t>27</w:t>
            </w:r>
          </w:hyperlink>
        </w:p>
        <w:p w14:paraId="70EED2B7" w14:textId="6A28C3A4" w:rsidR="00B74CEA" w:rsidRPr="008F1795" w:rsidRDefault="0089104D">
          <w:pPr>
            <w:pStyle w:val="T1"/>
            <w:numPr>
              <w:ilvl w:val="0"/>
              <w:numId w:val="6"/>
            </w:numPr>
            <w:tabs>
              <w:tab w:val="left" w:pos="566"/>
              <w:tab w:val="left" w:pos="766"/>
              <w:tab w:val="left" w:leader="dot" w:pos="8780"/>
            </w:tabs>
            <w:spacing w:before="400"/>
            <w:ind w:hanging="766"/>
            <w:rPr>
              <w:lang w:val="tr-TR"/>
            </w:rPr>
          </w:pPr>
          <w:hyperlink w:anchor="_bookmark13" w:history="1">
            <w:r w:rsidR="008C7713" w:rsidRPr="008F1795">
              <w:rPr>
                <w:spacing w:val="-4"/>
                <w:lang w:val="tr-TR"/>
              </w:rPr>
              <w:t>Sonuçlar</w:t>
            </w:r>
            <w:r w:rsidR="00BE381E" w:rsidRPr="008F1795">
              <w:rPr>
                <w:spacing w:val="-4"/>
                <w:lang w:val="tr-TR"/>
              </w:rPr>
              <w:tab/>
            </w:r>
            <w:r w:rsidR="00BE381E" w:rsidRPr="008F1795">
              <w:rPr>
                <w:spacing w:val="-3"/>
                <w:lang w:val="tr-TR"/>
              </w:rPr>
              <w:t>30</w:t>
            </w:r>
          </w:hyperlink>
        </w:p>
      </w:sdtContent>
    </w:sdt>
    <w:p w14:paraId="1516B27D" w14:textId="77777777" w:rsidR="00B74CEA" w:rsidRPr="008F1795" w:rsidRDefault="00B74CEA">
      <w:pPr>
        <w:rPr>
          <w:lang w:val="tr-TR"/>
        </w:rPr>
        <w:sectPr w:rsidR="00B74CEA" w:rsidRPr="008F1795">
          <w:headerReference w:type="even" r:id="rId9"/>
          <w:headerReference w:type="default" r:id="rId10"/>
          <w:pgSz w:w="11910" w:h="16840"/>
          <w:pgMar w:top="1100" w:right="1220" w:bottom="280" w:left="1220" w:header="712" w:footer="0" w:gutter="0"/>
          <w:pgNumType w:start="2"/>
          <w:cols w:space="720"/>
        </w:sectPr>
      </w:pPr>
    </w:p>
    <w:p w14:paraId="22CA3091" w14:textId="77777777" w:rsidR="00B74CEA" w:rsidRPr="008F1795" w:rsidRDefault="00B74CEA">
      <w:pPr>
        <w:pStyle w:val="GvdeMetni"/>
        <w:spacing w:before="4"/>
        <w:rPr>
          <w:b/>
          <w:sz w:val="33"/>
          <w:lang w:val="tr-TR"/>
        </w:rPr>
      </w:pPr>
    </w:p>
    <w:p w14:paraId="41B5E545" w14:textId="01F5EB28" w:rsidR="00B74CEA" w:rsidRPr="008F1795" w:rsidRDefault="00914594">
      <w:pPr>
        <w:pStyle w:val="Balk1"/>
        <w:numPr>
          <w:ilvl w:val="0"/>
          <w:numId w:val="5"/>
        </w:numPr>
        <w:tabs>
          <w:tab w:val="left" w:pos="919"/>
        </w:tabs>
        <w:ind w:hanging="721"/>
        <w:jc w:val="both"/>
        <w:rPr>
          <w:lang w:val="tr-TR"/>
        </w:rPr>
      </w:pPr>
      <w:bookmarkStart w:id="0" w:name="_bookmark0"/>
      <w:bookmarkEnd w:id="0"/>
      <w:r w:rsidRPr="008F1795">
        <w:rPr>
          <w:lang w:val="tr-TR"/>
        </w:rPr>
        <w:t>Giriş</w:t>
      </w:r>
    </w:p>
    <w:p w14:paraId="7A29638D" w14:textId="77777777" w:rsidR="00B74CEA" w:rsidRPr="008F1795" w:rsidRDefault="00B74CEA">
      <w:pPr>
        <w:pStyle w:val="GvdeMetni"/>
        <w:spacing w:before="3"/>
        <w:rPr>
          <w:b/>
          <w:lang w:val="tr-TR"/>
        </w:rPr>
      </w:pPr>
    </w:p>
    <w:p w14:paraId="2926B412" w14:textId="13477066" w:rsidR="005B586D" w:rsidRPr="008F1795" w:rsidRDefault="003A2B44">
      <w:pPr>
        <w:pStyle w:val="ListeParagraf"/>
        <w:numPr>
          <w:ilvl w:val="0"/>
          <w:numId w:val="4"/>
        </w:numPr>
        <w:tabs>
          <w:tab w:val="left" w:pos="542"/>
        </w:tabs>
        <w:spacing w:before="1"/>
        <w:ind w:right="216" w:firstLine="0"/>
        <w:rPr>
          <w:lang w:val="tr-TR"/>
        </w:rPr>
      </w:pPr>
      <w:r w:rsidRPr="008F1795">
        <w:rPr>
          <w:lang w:val="tr-TR"/>
        </w:rPr>
        <w:t>Avrupa Konseyi Parlamenter Meclisi</w:t>
      </w:r>
      <w:r w:rsidR="00AE0BD3" w:rsidRPr="008F1795">
        <w:rPr>
          <w:lang w:val="tr-TR"/>
        </w:rPr>
        <w:t>,</w:t>
      </w:r>
      <w:r w:rsidRPr="008F1795">
        <w:rPr>
          <w:lang w:val="tr-TR"/>
        </w:rPr>
        <w:t xml:space="preserve"> </w:t>
      </w:r>
      <w:r w:rsidR="005C47E6" w:rsidRPr="008F1795">
        <w:rPr>
          <w:lang w:val="tr-TR"/>
        </w:rPr>
        <w:t xml:space="preserve">Avrupa’da gazetecilerin güvenliği ve medya özgürlüğüne ilişkin 29 Ocak 2015 tarihinde kabul edilen 2035 (2015) sayılı Kararında, </w:t>
      </w:r>
      <w:r w:rsidR="000B11D0" w:rsidRPr="008F1795">
        <w:rPr>
          <w:lang w:val="tr-TR"/>
        </w:rPr>
        <w:t xml:space="preserve">Venedik Komisyonundan </w:t>
      </w:r>
      <w:r w:rsidR="007754C2" w:rsidRPr="008F1795">
        <w:rPr>
          <w:lang w:val="tr-TR"/>
        </w:rPr>
        <w:t>“</w:t>
      </w:r>
      <w:r w:rsidR="007754C2" w:rsidRPr="008F1795">
        <w:rPr>
          <w:i/>
          <w:iCs/>
          <w:lang w:val="tr-TR"/>
        </w:rPr>
        <w:t>Türk Ceza Kanununun</w:t>
      </w:r>
      <w:r w:rsidR="007754C2" w:rsidRPr="008F1795">
        <w:rPr>
          <w:lang w:val="tr-TR"/>
        </w:rPr>
        <w:t xml:space="preserve"> </w:t>
      </w:r>
      <w:r w:rsidR="007754C2" w:rsidRPr="008F1795">
        <w:rPr>
          <w:i/>
          <w:noProof/>
          <w:lang w:val="tr-TR"/>
        </w:rPr>
        <w:t xml:space="preserve">216, 301 ve 314. </w:t>
      </w:r>
      <w:r w:rsidR="00241305" w:rsidRPr="008F1795">
        <w:rPr>
          <w:i/>
          <w:noProof/>
          <w:lang w:val="tr-TR"/>
        </w:rPr>
        <w:t>Madde</w:t>
      </w:r>
      <w:r w:rsidR="007754C2" w:rsidRPr="008F1795">
        <w:rPr>
          <w:i/>
          <w:noProof/>
          <w:lang w:val="tr-TR"/>
        </w:rPr>
        <w:t>leri</w:t>
      </w:r>
      <w:r w:rsidR="00094A6A" w:rsidRPr="008F1795">
        <w:rPr>
          <w:i/>
          <w:noProof/>
          <w:lang w:val="tr-TR"/>
        </w:rPr>
        <w:t>ni</w:t>
      </w:r>
      <w:r w:rsidR="00E41DC6" w:rsidRPr="008F1795">
        <w:rPr>
          <w:i/>
          <w:noProof/>
          <w:lang w:val="tr-TR"/>
        </w:rPr>
        <w:t>n</w:t>
      </w:r>
      <w:r w:rsidR="007754C2" w:rsidRPr="008F1795">
        <w:rPr>
          <w:i/>
          <w:noProof/>
          <w:lang w:val="tr-TR"/>
        </w:rPr>
        <w:t xml:space="preserve"> ve </w:t>
      </w:r>
      <w:r w:rsidRPr="008F1795">
        <w:rPr>
          <w:i/>
          <w:noProof/>
          <w:lang w:val="tr-TR"/>
        </w:rPr>
        <w:t xml:space="preserve">bu </w:t>
      </w:r>
      <w:r w:rsidR="00241305" w:rsidRPr="008F1795">
        <w:rPr>
          <w:i/>
          <w:noProof/>
          <w:lang w:val="tr-TR"/>
        </w:rPr>
        <w:t>madde</w:t>
      </w:r>
      <w:r w:rsidRPr="008F1795">
        <w:rPr>
          <w:i/>
          <w:noProof/>
          <w:lang w:val="tr-TR"/>
        </w:rPr>
        <w:t xml:space="preserve">lerin </w:t>
      </w:r>
      <w:r w:rsidR="007754C2" w:rsidRPr="008F1795">
        <w:rPr>
          <w:i/>
          <w:noProof/>
          <w:lang w:val="tr-TR"/>
        </w:rPr>
        <w:t>uygula</w:t>
      </w:r>
      <w:r w:rsidR="00094A6A" w:rsidRPr="008F1795">
        <w:rPr>
          <w:i/>
          <w:noProof/>
          <w:lang w:val="tr-TR"/>
        </w:rPr>
        <w:t>nış</w:t>
      </w:r>
      <w:r w:rsidRPr="008F1795">
        <w:rPr>
          <w:i/>
          <w:noProof/>
          <w:lang w:val="tr-TR"/>
        </w:rPr>
        <w:t>ını</w:t>
      </w:r>
      <w:r w:rsidR="00E41DC6" w:rsidRPr="008F1795">
        <w:rPr>
          <w:i/>
          <w:noProof/>
          <w:lang w:val="tr-TR"/>
        </w:rPr>
        <w:t>n</w:t>
      </w:r>
      <w:r w:rsidR="00094A6A" w:rsidRPr="008F1795">
        <w:rPr>
          <w:i/>
          <w:noProof/>
          <w:lang w:val="tr-TR"/>
        </w:rPr>
        <w:t xml:space="preserve"> Avrupa insan hakları standartları</w:t>
      </w:r>
      <w:r w:rsidR="00AC479B" w:rsidRPr="008F1795">
        <w:rPr>
          <w:i/>
          <w:noProof/>
          <w:lang w:val="tr-TR"/>
        </w:rPr>
        <w:t>na uygunlu</w:t>
      </w:r>
      <w:r w:rsidR="00E41DC6" w:rsidRPr="008F1795">
        <w:rPr>
          <w:i/>
          <w:noProof/>
          <w:lang w:val="tr-TR"/>
        </w:rPr>
        <w:t xml:space="preserve">ğunu </w:t>
      </w:r>
      <w:r w:rsidR="00AC479B" w:rsidRPr="008F1795">
        <w:rPr>
          <w:i/>
          <w:noProof/>
          <w:lang w:val="tr-TR"/>
        </w:rPr>
        <w:t xml:space="preserve">analiz etmesini” </w:t>
      </w:r>
      <w:r w:rsidR="00AC479B" w:rsidRPr="008F1795">
        <w:rPr>
          <w:iCs/>
          <w:noProof/>
          <w:lang w:val="tr-TR"/>
        </w:rPr>
        <w:t>talep etmiştir</w:t>
      </w:r>
      <w:r w:rsidR="00AC479B" w:rsidRPr="008F1795">
        <w:rPr>
          <w:i/>
          <w:noProof/>
          <w:lang w:val="tr-TR"/>
        </w:rPr>
        <w:t xml:space="preserve">. </w:t>
      </w:r>
      <w:r w:rsidRPr="008F1795">
        <w:rPr>
          <w:i/>
          <w:noProof/>
          <w:lang w:val="tr-TR"/>
        </w:rPr>
        <w:t xml:space="preserve"> </w:t>
      </w:r>
      <w:r w:rsidR="00AD0BBE" w:rsidRPr="008F1795">
        <w:rPr>
          <w:iCs/>
          <w:noProof/>
          <w:lang w:val="tr-TR"/>
        </w:rPr>
        <w:t>Parlamenter Meclisi İzleme Komitesi</w:t>
      </w:r>
      <w:r w:rsidR="00F63A56" w:rsidRPr="008F1795">
        <w:rPr>
          <w:iCs/>
          <w:noProof/>
          <w:lang w:val="tr-TR"/>
        </w:rPr>
        <w:t xml:space="preserve">, 3 Kasım 2015 tarihli toplantısında </w:t>
      </w:r>
      <w:r w:rsidR="005478CE" w:rsidRPr="008F1795">
        <w:rPr>
          <w:iCs/>
          <w:noProof/>
          <w:lang w:val="tr-TR"/>
        </w:rPr>
        <w:t>Venedik Komisyonun</w:t>
      </w:r>
      <w:r w:rsidR="004D36FF" w:rsidRPr="008F1795">
        <w:rPr>
          <w:iCs/>
          <w:noProof/>
          <w:lang w:val="tr-TR"/>
        </w:rPr>
        <w:t>un</w:t>
      </w:r>
      <w:r w:rsidR="005478CE" w:rsidRPr="008F1795">
        <w:rPr>
          <w:iCs/>
          <w:noProof/>
          <w:lang w:val="tr-TR"/>
        </w:rPr>
        <w:t xml:space="preserve"> </w:t>
      </w:r>
      <w:r w:rsidR="00CA5FC0" w:rsidRPr="008F1795">
        <w:rPr>
          <w:iCs/>
          <w:noProof/>
          <w:lang w:val="tr-TR"/>
        </w:rPr>
        <w:t xml:space="preserve">söz konusu analize Türk Ceza Kanununun 299. </w:t>
      </w:r>
      <w:r w:rsidR="00241305" w:rsidRPr="008F1795">
        <w:rPr>
          <w:iCs/>
          <w:noProof/>
          <w:lang w:val="tr-TR"/>
        </w:rPr>
        <w:t>Madde</w:t>
      </w:r>
      <w:r w:rsidR="00CA5FC0" w:rsidRPr="008F1795">
        <w:rPr>
          <w:iCs/>
          <w:noProof/>
          <w:lang w:val="tr-TR"/>
        </w:rPr>
        <w:t xml:space="preserve">si ve uygulanışını da dahil etmesini </w:t>
      </w:r>
      <w:r w:rsidR="004954E8" w:rsidRPr="008F1795">
        <w:rPr>
          <w:iCs/>
          <w:noProof/>
          <w:lang w:val="tr-TR"/>
        </w:rPr>
        <w:t xml:space="preserve">istemiştir. </w:t>
      </w:r>
    </w:p>
    <w:p w14:paraId="6AE22127" w14:textId="77777777" w:rsidR="005B586D" w:rsidRPr="008F1795" w:rsidRDefault="005B586D" w:rsidP="005B586D">
      <w:pPr>
        <w:pStyle w:val="ListeParagraf"/>
        <w:tabs>
          <w:tab w:val="left" w:pos="542"/>
        </w:tabs>
        <w:spacing w:before="1"/>
        <w:ind w:right="216"/>
        <w:jc w:val="left"/>
        <w:rPr>
          <w:lang w:val="tr-TR"/>
        </w:rPr>
      </w:pPr>
    </w:p>
    <w:p w14:paraId="1F0B4A10" w14:textId="42602D45" w:rsidR="004954E8" w:rsidRPr="008F1795" w:rsidRDefault="004954E8">
      <w:pPr>
        <w:pStyle w:val="ListeParagraf"/>
        <w:numPr>
          <w:ilvl w:val="0"/>
          <w:numId w:val="4"/>
        </w:numPr>
        <w:tabs>
          <w:tab w:val="left" w:pos="528"/>
        </w:tabs>
        <w:ind w:firstLine="0"/>
        <w:rPr>
          <w:noProof/>
          <w:lang w:val="tr-TR"/>
        </w:rPr>
      </w:pPr>
      <w:r w:rsidRPr="008F1795">
        <w:rPr>
          <w:noProof/>
          <w:lang w:val="tr-TR"/>
        </w:rPr>
        <w:t xml:space="preserve">Venedik Komisyonu, </w:t>
      </w:r>
      <w:r w:rsidR="00F5188A" w:rsidRPr="008F1795">
        <w:rPr>
          <w:noProof/>
          <w:lang w:val="tr-TR"/>
        </w:rPr>
        <w:t>Sayın</w:t>
      </w:r>
      <w:r w:rsidRPr="008F1795">
        <w:rPr>
          <w:noProof/>
          <w:lang w:val="tr-TR"/>
        </w:rPr>
        <w:t xml:space="preserve"> Veronika Bílková, </w:t>
      </w:r>
      <w:r w:rsidR="00F5188A" w:rsidRPr="008F1795">
        <w:rPr>
          <w:noProof/>
          <w:lang w:val="tr-TR"/>
        </w:rPr>
        <w:t>Sayın</w:t>
      </w:r>
      <w:r w:rsidRPr="008F1795">
        <w:rPr>
          <w:noProof/>
          <w:lang w:val="tr-TR"/>
        </w:rPr>
        <w:t xml:space="preserve"> Sarah Cleveland, </w:t>
      </w:r>
      <w:r w:rsidR="00F5188A" w:rsidRPr="008F1795">
        <w:rPr>
          <w:noProof/>
          <w:lang w:val="tr-TR"/>
        </w:rPr>
        <w:t>Sayın</w:t>
      </w:r>
      <w:r w:rsidRPr="008F1795">
        <w:rPr>
          <w:noProof/>
          <w:lang w:val="tr-TR"/>
        </w:rPr>
        <w:t xml:space="preserve"> Pieter van Dijk, </w:t>
      </w:r>
      <w:r w:rsidR="00F5188A" w:rsidRPr="008F1795">
        <w:rPr>
          <w:noProof/>
          <w:lang w:val="tr-TR"/>
        </w:rPr>
        <w:t>Sayın</w:t>
      </w:r>
      <w:r w:rsidRPr="008F1795">
        <w:rPr>
          <w:noProof/>
          <w:lang w:val="tr-TR"/>
        </w:rPr>
        <w:t xml:space="preserve"> Jorgen Steen Sørensen </w:t>
      </w:r>
      <w:r w:rsidR="00F5188A" w:rsidRPr="008F1795">
        <w:rPr>
          <w:noProof/>
          <w:lang w:val="tr-TR"/>
        </w:rPr>
        <w:t>ve Sayın</w:t>
      </w:r>
      <w:r w:rsidRPr="008F1795">
        <w:rPr>
          <w:noProof/>
          <w:lang w:val="tr-TR"/>
        </w:rPr>
        <w:t xml:space="preserve"> Ms Herdis Kjerulf Thorgeirsdottir</w:t>
      </w:r>
      <w:r w:rsidR="00F5188A" w:rsidRPr="008F1795">
        <w:rPr>
          <w:noProof/>
          <w:lang w:val="tr-TR"/>
        </w:rPr>
        <w:t xml:space="preserve">’i raportör olarak atamıştır. </w:t>
      </w:r>
    </w:p>
    <w:p w14:paraId="19FF8997" w14:textId="77777777" w:rsidR="004954E8" w:rsidRPr="008F1795" w:rsidRDefault="004954E8" w:rsidP="004954E8">
      <w:pPr>
        <w:pStyle w:val="ListeParagraf"/>
        <w:tabs>
          <w:tab w:val="left" w:pos="528"/>
        </w:tabs>
        <w:jc w:val="left"/>
        <w:rPr>
          <w:noProof/>
          <w:lang w:val="tr-TR"/>
        </w:rPr>
      </w:pPr>
    </w:p>
    <w:p w14:paraId="62ACEE84" w14:textId="1DF0E673" w:rsidR="00F5188A" w:rsidRPr="008F1795" w:rsidRDefault="00106E21">
      <w:pPr>
        <w:pStyle w:val="ListeParagraf"/>
        <w:numPr>
          <w:ilvl w:val="0"/>
          <w:numId w:val="4"/>
        </w:numPr>
        <w:tabs>
          <w:tab w:val="left" w:pos="523"/>
        </w:tabs>
        <w:ind w:right="216" w:firstLine="0"/>
        <w:rPr>
          <w:lang w:val="tr-TR"/>
        </w:rPr>
      </w:pPr>
      <w:r w:rsidRPr="008F1795">
        <w:rPr>
          <w:lang w:val="tr-TR"/>
        </w:rPr>
        <w:t xml:space="preserve">13-14 Ocak 2016 tarihinde Venedik Komisyonundan bir heyet Ankara’yı ziyaret ederek, </w:t>
      </w:r>
      <w:r w:rsidR="00BB5C89" w:rsidRPr="008F1795">
        <w:rPr>
          <w:lang w:val="tr-TR"/>
        </w:rPr>
        <w:t xml:space="preserve">Adalet Bakanlığı, Cumhuriyet Başsavcılığı, Yargıtay Başkanlığı, Türk Barolar Birliği, </w:t>
      </w:r>
      <w:r w:rsidR="001F4805" w:rsidRPr="008F1795">
        <w:rPr>
          <w:lang w:val="tr-TR"/>
        </w:rPr>
        <w:t>Kamu Denetçiliği Kurumu, Anayasa Mahkemesi, TBMM’de temsil edilen siyasi partiler</w:t>
      </w:r>
      <w:r w:rsidR="008C4ACC" w:rsidRPr="008F1795">
        <w:rPr>
          <w:lang w:val="tr-TR"/>
        </w:rPr>
        <w:t xml:space="preserve">, </w:t>
      </w:r>
      <w:r w:rsidR="00A77590" w:rsidRPr="008F1795">
        <w:rPr>
          <w:lang w:val="tr-TR"/>
        </w:rPr>
        <w:t>T.C. Cumhurbaşkanlığı tems</w:t>
      </w:r>
      <w:r w:rsidR="006A7C6B" w:rsidRPr="008F1795">
        <w:rPr>
          <w:lang w:val="tr-TR"/>
        </w:rPr>
        <w:t xml:space="preserve">ilcileri </w:t>
      </w:r>
      <w:r w:rsidR="008C4ACC" w:rsidRPr="008F1795">
        <w:rPr>
          <w:lang w:val="tr-TR"/>
        </w:rPr>
        <w:t>ve</w:t>
      </w:r>
      <w:r w:rsidR="006A7C6B" w:rsidRPr="008F1795">
        <w:rPr>
          <w:lang w:val="tr-TR"/>
        </w:rPr>
        <w:t xml:space="preserve"> bazı sivil toplum örgütleri</w:t>
      </w:r>
      <w:r w:rsidR="008C4ACC" w:rsidRPr="008F1795">
        <w:rPr>
          <w:lang w:val="tr-TR"/>
        </w:rPr>
        <w:t>nin</w:t>
      </w:r>
      <w:r w:rsidR="006A7C6B" w:rsidRPr="008F1795">
        <w:rPr>
          <w:lang w:val="tr-TR"/>
        </w:rPr>
        <w:t xml:space="preserve"> temsilcileri ile görüşm</w:t>
      </w:r>
      <w:r w:rsidR="00260F7D" w:rsidRPr="008F1795">
        <w:rPr>
          <w:lang w:val="tr-TR"/>
        </w:rPr>
        <w:t xml:space="preserve">elerde bulunmuştur. </w:t>
      </w:r>
      <w:r w:rsidR="008C4ACC" w:rsidRPr="008F1795">
        <w:rPr>
          <w:lang w:val="tr-TR"/>
        </w:rPr>
        <w:t xml:space="preserve"> </w:t>
      </w:r>
    </w:p>
    <w:p w14:paraId="05713809" w14:textId="77777777" w:rsidR="00F5188A" w:rsidRPr="008F1795" w:rsidRDefault="00F5188A" w:rsidP="00F5188A">
      <w:pPr>
        <w:pStyle w:val="ListeParagraf"/>
        <w:tabs>
          <w:tab w:val="left" w:pos="523"/>
        </w:tabs>
        <w:ind w:right="216"/>
        <w:jc w:val="left"/>
        <w:rPr>
          <w:noProof/>
          <w:lang w:val="tr-TR"/>
        </w:rPr>
      </w:pPr>
    </w:p>
    <w:p w14:paraId="590B7148" w14:textId="38A1EA59" w:rsidR="00260F7D" w:rsidRPr="008F1795" w:rsidRDefault="00260F7D">
      <w:pPr>
        <w:pStyle w:val="ListeParagraf"/>
        <w:numPr>
          <w:ilvl w:val="0"/>
          <w:numId w:val="4"/>
        </w:numPr>
        <w:tabs>
          <w:tab w:val="left" w:pos="506"/>
        </w:tabs>
        <w:ind w:right="214" w:firstLine="0"/>
        <w:rPr>
          <w:lang w:val="tr-TR"/>
        </w:rPr>
      </w:pPr>
      <w:r w:rsidRPr="008F1795">
        <w:rPr>
          <w:lang w:val="tr-TR"/>
        </w:rPr>
        <w:t xml:space="preserve">Venedik Komisyonu </w:t>
      </w:r>
      <w:r w:rsidR="00072A31" w:rsidRPr="008F1795">
        <w:rPr>
          <w:lang w:val="tr-TR"/>
        </w:rPr>
        <w:t>bu ziyaret süresince gösterilen mükemmel işbirliği için Türk makamlarına ve diğer paydaşlara şükranların</w:t>
      </w:r>
      <w:r w:rsidR="008F1795" w:rsidRPr="008F1795">
        <w:rPr>
          <w:lang w:val="tr-TR"/>
        </w:rPr>
        <w:t>ı</w:t>
      </w:r>
      <w:r w:rsidR="00072A31" w:rsidRPr="008F1795">
        <w:rPr>
          <w:lang w:val="tr-TR"/>
        </w:rPr>
        <w:t xml:space="preserve"> sunar. </w:t>
      </w:r>
    </w:p>
    <w:p w14:paraId="20A8F535" w14:textId="77777777" w:rsidR="00260F7D" w:rsidRPr="008F1795" w:rsidRDefault="00260F7D" w:rsidP="00260F7D">
      <w:pPr>
        <w:pStyle w:val="ListeParagraf"/>
        <w:tabs>
          <w:tab w:val="left" w:pos="506"/>
        </w:tabs>
        <w:ind w:right="214"/>
        <w:jc w:val="left"/>
        <w:rPr>
          <w:lang w:val="tr-TR"/>
        </w:rPr>
      </w:pPr>
    </w:p>
    <w:p w14:paraId="7EF45AF8" w14:textId="0A28530B" w:rsidR="00FD349B" w:rsidRPr="008F1795" w:rsidRDefault="008D770D">
      <w:pPr>
        <w:pStyle w:val="ListeParagraf"/>
        <w:numPr>
          <w:ilvl w:val="0"/>
          <w:numId w:val="4"/>
        </w:numPr>
        <w:tabs>
          <w:tab w:val="left" w:pos="531"/>
        </w:tabs>
        <w:ind w:right="216" w:firstLine="0"/>
        <w:rPr>
          <w:lang w:val="tr-TR"/>
        </w:rPr>
      </w:pPr>
      <w:r w:rsidRPr="008F1795">
        <w:rPr>
          <w:lang w:val="tr-TR"/>
        </w:rPr>
        <w:t xml:space="preserve">Bu Görüş, Temel </w:t>
      </w:r>
      <w:r w:rsidR="00851CEF" w:rsidRPr="008F1795">
        <w:rPr>
          <w:lang w:val="tr-TR"/>
        </w:rPr>
        <w:t>H</w:t>
      </w:r>
      <w:r w:rsidRPr="008F1795">
        <w:rPr>
          <w:lang w:val="tr-TR"/>
        </w:rPr>
        <w:t>aklar ve Demokratik Kuruluşlar Alt Komisyonunda görüşülerek</w:t>
      </w:r>
      <w:r w:rsidR="00851CEF" w:rsidRPr="008F1795">
        <w:rPr>
          <w:lang w:val="tr-TR"/>
        </w:rPr>
        <w:t>, Venedik Komisyonunun 106. Genel Oturumunda kabul edilmiştir (Venedik, 11-12 Mart 2016).</w:t>
      </w:r>
    </w:p>
    <w:p w14:paraId="2A2D5219" w14:textId="77777777" w:rsidR="00FD349B" w:rsidRPr="008F1795" w:rsidRDefault="00FD349B" w:rsidP="00FD349B">
      <w:pPr>
        <w:pStyle w:val="ListeParagraf"/>
        <w:tabs>
          <w:tab w:val="left" w:pos="531"/>
        </w:tabs>
        <w:ind w:right="216"/>
        <w:jc w:val="left"/>
        <w:rPr>
          <w:lang w:val="tr-TR"/>
        </w:rPr>
      </w:pPr>
    </w:p>
    <w:p w14:paraId="17B55121" w14:textId="77777777" w:rsidR="00B74CEA" w:rsidRPr="008F1795" w:rsidRDefault="00B74CEA">
      <w:pPr>
        <w:pStyle w:val="GvdeMetni"/>
        <w:spacing w:before="9"/>
        <w:rPr>
          <w:sz w:val="21"/>
          <w:lang w:val="tr-TR"/>
        </w:rPr>
      </w:pPr>
    </w:p>
    <w:p w14:paraId="21F62EDD" w14:textId="21BB50E8" w:rsidR="00B74CEA" w:rsidRPr="008F1795" w:rsidRDefault="00FD349B">
      <w:pPr>
        <w:pStyle w:val="Balk1"/>
        <w:numPr>
          <w:ilvl w:val="0"/>
          <w:numId w:val="5"/>
        </w:numPr>
        <w:tabs>
          <w:tab w:val="left" w:pos="919"/>
        </w:tabs>
        <w:spacing w:before="1"/>
        <w:ind w:hanging="721"/>
        <w:jc w:val="both"/>
        <w:rPr>
          <w:lang w:val="tr-TR"/>
        </w:rPr>
      </w:pPr>
      <w:bookmarkStart w:id="1" w:name="_bookmark1"/>
      <w:bookmarkEnd w:id="1"/>
      <w:r w:rsidRPr="008F1795">
        <w:rPr>
          <w:lang w:val="tr-TR"/>
        </w:rPr>
        <w:t>İlgili Hükümler</w:t>
      </w:r>
    </w:p>
    <w:p w14:paraId="7C709FE2" w14:textId="77777777" w:rsidR="00B74CEA" w:rsidRPr="008F1795" w:rsidRDefault="00B74CEA">
      <w:pPr>
        <w:pStyle w:val="GvdeMetni"/>
        <w:rPr>
          <w:b/>
          <w:lang w:val="tr-TR"/>
        </w:rPr>
      </w:pPr>
    </w:p>
    <w:p w14:paraId="2B24D067" w14:textId="25442E6C" w:rsidR="00102100" w:rsidRPr="008F1795" w:rsidRDefault="00102100">
      <w:pPr>
        <w:pStyle w:val="ListeParagraf"/>
        <w:numPr>
          <w:ilvl w:val="0"/>
          <w:numId w:val="4"/>
        </w:numPr>
        <w:tabs>
          <w:tab w:val="left" w:pos="581"/>
        </w:tabs>
        <w:spacing w:before="1"/>
        <w:ind w:firstLine="0"/>
        <w:rPr>
          <w:lang w:val="tr-TR"/>
        </w:rPr>
      </w:pPr>
      <w:r w:rsidRPr="008F1795">
        <w:rPr>
          <w:lang w:val="tr-TR"/>
        </w:rPr>
        <w:t>T.C. Anayasası</w:t>
      </w:r>
      <w:r w:rsidR="002000D0" w:rsidRPr="008F1795">
        <w:rPr>
          <w:lang w:val="tr-TR"/>
        </w:rPr>
        <w:t xml:space="preserve">, </w:t>
      </w:r>
      <w:r w:rsidR="00182B91" w:rsidRPr="008F1795">
        <w:rPr>
          <w:lang w:val="tr-TR"/>
        </w:rPr>
        <w:t>kişinin hakları ve ödevleri</w:t>
      </w:r>
      <w:r w:rsidR="000E41EA" w:rsidRPr="008F1795">
        <w:rPr>
          <w:lang w:val="tr-TR"/>
        </w:rPr>
        <w:t>ne ilişkin bir bölüm içermektedir (</w:t>
      </w:r>
      <w:r w:rsidR="00241305" w:rsidRPr="008F1795">
        <w:rPr>
          <w:lang w:val="tr-TR"/>
        </w:rPr>
        <w:t>Madde</w:t>
      </w:r>
      <w:r w:rsidR="000E41EA" w:rsidRPr="008F1795">
        <w:rPr>
          <w:lang w:val="tr-TR"/>
        </w:rPr>
        <w:t>ler 17-40).</w:t>
      </w:r>
      <w:r w:rsidR="004E0B07" w:rsidRPr="008F1795">
        <w:rPr>
          <w:lang w:val="tr-TR"/>
        </w:rPr>
        <w:t xml:space="preserve"> Bu Bölümde </w:t>
      </w:r>
      <w:r w:rsidR="00B5594C" w:rsidRPr="008F1795">
        <w:rPr>
          <w:lang w:val="tr-TR"/>
        </w:rPr>
        <w:t>belirtilen</w:t>
      </w:r>
      <w:r w:rsidR="004E0B07" w:rsidRPr="008F1795">
        <w:rPr>
          <w:lang w:val="tr-TR"/>
        </w:rPr>
        <w:t xml:space="preserve"> </w:t>
      </w:r>
      <w:r w:rsidR="0047499F" w:rsidRPr="008F1795">
        <w:rPr>
          <w:lang w:val="tr-TR"/>
        </w:rPr>
        <w:t>haklar arasında, haberleşme hürriyeti (</w:t>
      </w:r>
      <w:r w:rsidR="00241305" w:rsidRPr="008F1795">
        <w:rPr>
          <w:lang w:val="tr-TR"/>
        </w:rPr>
        <w:t>Madde</w:t>
      </w:r>
      <w:r w:rsidR="0047499F" w:rsidRPr="008F1795">
        <w:rPr>
          <w:lang w:val="tr-TR"/>
        </w:rPr>
        <w:t xml:space="preserve"> 22), </w:t>
      </w:r>
      <w:r w:rsidR="00012C65" w:rsidRPr="008F1795">
        <w:rPr>
          <w:lang w:val="tr-TR"/>
        </w:rPr>
        <w:t>d</w:t>
      </w:r>
      <w:r w:rsidR="0047499F" w:rsidRPr="008F1795">
        <w:rPr>
          <w:lang w:val="tr-TR"/>
        </w:rPr>
        <w:t>in ve vicdan hürriyeti</w:t>
      </w:r>
      <w:r w:rsidR="00012C65" w:rsidRPr="008F1795">
        <w:rPr>
          <w:lang w:val="tr-TR"/>
        </w:rPr>
        <w:t xml:space="preserve"> (</w:t>
      </w:r>
      <w:r w:rsidR="00241305" w:rsidRPr="008F1795">
        <w:rPr>
          <w:lang w:val="tr-TR"/>
        </w:rPr>
        <w:t>Madde</w:t>
      </w:r>
      <w:r w:rsidR="00012C65" w:rsidRPr="008F1795">
        <w:rPr>
          <w:lang w:val="tr-TR"/>
        </w:rPr>
        <w:t xml:space="preserve"> 24)</w:t>
      </w:r>
      <w:r w:rsidR="00F6532C" w:rsidRPr="008F1795">
        <w:rPr>
          <w:lang w:val="tr-TR"/>
        </w:rPr>
        <w:t>, düşünce ve kanaat hürriyeti (</w:t>
      </w:r>
      <w:r w:rsidR="00241305" w:rsidRPr="008F1795">
        <w:rPr>
          <w:lang w:val="tr-TR"/>
        </w:rPr>
        <w:t>madde</w:t>
      </w:r>
      <w:r w:rsidR="00F6532C" w:rsidRPr="008F1795">
        <w:rPr>
          <w:lang w:val="tr-TR"/>
        </w:rPr>
        <w:t xml:space="preserve"> 25)</w:t>
      </w:r>
      <w:r w:rsidR="008175E2" w:rsidRPr="008F1795">
        <w:rPr>
          <w:lang w:val="tr-TR"/>
        </w:rPr>
        <w:t xml:space="preserve">, </w:t>
      </w:r>
      <w:r w:rsidR="003D6F33" w:rsidRPr="008F1795">
        <w:rPr>
          <w:lang w:val="tr-TR"/>
        </w:rPr>
        <w:t>düşünceyi açıklama ve yayma hürriyeti (</w:t>
      </w:r>
      <w:r w:rsidR="00241305" w:rsidRPr="008F1795">
        <w:rPr>
          <w:lang w:val="tr-TR"/>
        </w:rPr>
        <w:t>Madde</w:t>
      </w:r>
      <w:r w:rsidR="003D6F33" w:rsidRPr="008F1795">
        <w:rPr>
          <w:lang w:val="tr-TR"/>
        </w:rPr>
        <w:t xml:space="preserve"> 26)</w:t>
      </w:r>
      <w:r w:rsidR="005B51C3" w:rsidRPr="008F1795">
        <w:rPr>
          <w:lang w:val="tr-TR"/>
        </w:rPr>
        <w:t>, basın hürriyeti (</w:t>
      </w:r>
      <w:r w:rsidR="00241305" w:rsidRPr="008F1795">
        <w:rPr>
          <w:lang w:val="tr-TR"/>
        </w:rPr>
        <w:t>Madde</w:t>
      </w:r>
      <w:r w:rsidR="005B51C3" w:rsidRPr="008F1795">
        <w:rPr>
          <w:lang w:val="tr-TR"/>
        </w:rPr>
        <w:t xml:space="preserve"> 28), </w:t>
      </w:r>
      <w:r w:rsidR="00D66EBD" w:rsidRPr="008F1795">
        <w:rPr>
          <w:lang w:val="tr-TR"/>
        </w:rPr>
        <w:t>d</w:t>
      </w:r>
      <w:r w:rsidR="001F331C" w:rsidRPr="008F1795">
        <w:rPr>
          <w:lang w:val="tr-TR"/>
        </w:rPr>
        <w:t>ernek kurma hürriyeti</w:t>
      </w:r>
      <w:r w:rsidR="00D66EBD" w:rsidRPr="008F1795">
        <w:rPr>
          <w:lang w:val="tr-TR"/>
        </w:rPr>
        <w:t xml:space="preserve"> (</w:t>
      </w:r>
      <w:r w:rsidR="00241305" w:rsidRPr="008F1795">
        <w:rPr>
          <w:lang w:val="tr-TR"/>
        </w:rPr>
        <w:t>Madde</w:t>
      </w:r>
      <w:r w:rsidR="00D66EBD" w:rsidRPr="008F1795">
        <w:rPr>
          <w:lang w:val="tr-TR"/>
        </w:rPr>
        <w:t xml:space="preserve"> 33) ve </w:t>
      </w:r>
      <w:r w:rsidR="00D96F97" w:rsidRPr="008F1795">
        <w:rPr>
          <w:lang w:val="tr-TR"/>
        </w:rPr>
        <w:t xml:space="preserve">toplantı ve gösteri yürüyüşü düzenleme hakkı </w:t>
      </w:r>
      <w:r w:rsidR="0021669F">
        <w:rPr>
          <w:lang w:val="tr-TR"/>
        </w:rPr>
        <w:t>(</w:t>
      </w:r>
      <w:r w:rsidR="00241305" w:rsidRPr="008F1795">
        <w:rPr>
          <w:lang w:val="tr-TR"/>
        </w:rPr>
        <w:t>Madde</w:t>
      </w:r>
      <w:r w:rsidR="00D96F97" w:rsidRPr="008F1795">
        <w:rPr>
          <w:lang w:val="tr-TR"/>
        </w:rPr>
        <w:t xml:space="preserve"> 34)</w:t>
      </w:r>
      <w:r w:rsidR="00B5594C" w:rsidRPr="008F1795">
        <w:rPr>
          <w:lang w:val="tr-TR"/>
        </w:rPr>
        <w:t xml:space="preserve"> yer almaktadır. </w:t>
      </w:r>
    </w:p>
    <w:p w14:paraId="7D0691FF" w14:textId="77777777" w:rsidR="00102100" w:rsidRPr="008F1795" w:rsidRDefault="00102100" w:rsidP="00102100">
      <w:pPr>
        <w:pStyle w:val="ListeParagraf"/>
        <w:tabs>
          <w:tab w:val="left" w:pos="581"/>
        </w:tabs>
        <w:spacing w:before="1"/>
        <w:jc w:val="left"/>
        <w:rPr>
          <w:lang w:val="tr-TR"/>
        </w:rPr>
      </w:pPr>
    </w:p>
    <w:p w14:paraId="6D4018E4" w14:textId="129E0AF6" w:rsidR="00B5594C" w:rsidRPr="008F1795" w:rsidRDefault="00C16111">
      <w:pPr>
        <w:pStyle w:val="ListeParagraf"/>
        <w:numPr>
          <w:ilvl w:val="0"/>
          <w:numId w:val="4"/>
        </w:numPr>
        <w:tabs>
          <w:tab w:val="left" w:pos="545"/>
        </w:tabs>
        <w:ind w:right="215" w:firstLine="0"/>
        <w:rPr>
          <w:lang w:val="tr-TR"/>
        </w:rPr>
      </w:pPr>
      <w:r w:rsidRPr="008F1795">
        <w:rPr>
          <w:lang w:val="tr-TR"/>
        </w:rPr>
        <w:t>Mevcut Türk Ceza Kanunu</w:t>
      </w:r>
      <w:r w:rsidR="00CF6D5D" w:rsidRPr="008F1795">
        <w:rPr>
          <w:lang w:val="tr-TR"/>
        </w:rPr>
        <w:t xml:space="preserve"> </w:t>
      </w:r>
      <w:r w:rsidRPr="008F1795">
        <w:rPr>
          <w:lang w:val="tr-TR"/>
        </w:rPr>
        <w:t>(5237 sayılı Kanun)</w:t>
      </w:r>
      <w:r w:rsidR="00CF6D5D" w:rsidRPr="008F1795">
        <w:rPr>
          <w:lang w:val="tr-TR"/>
        </w:rPr>
        <w:t>,</w:t>
      </w:r>
      <w:r w:rsidR="00515BA6" w:rsidRPr="008F1795">
        <w:rPr>
          <w:rStyle w:val="DipnotBavurusu"/>
          <w:lang w:val="tr-TR"/>
        </w:rPr>
        <w:footnoteReference w:id="1"/>
      </w:r>
      <w:r w:rsidRPr="008F1795">
        <w:rPr>
          <w:lang w:val="tr-TR"/>
        </w:rPr>
        <w:t xml:space="preserve"> 26 Eylül 2004 tarihinde Türk Büyük Millet Meclisi </w:t>
      </w:r>
      <w:r w:rsidR="00CF6D5D" w:rsidRPr="008F1795">
        <w:rPr>
          <w:lang w:val="tr-TR"/>
        </w:rPr>
        <w:t xml:space="preserve">(“Millet Meclisi”) </w:t>
      </w:r>
      <w:r w:rsidRPr="008F1795">
        <w:rPr>
          <w:lang w:val="tr-TR"/>
        </w:rPr>
        <w:t xml:space="preserve">tarafından kabul edilerek, 1 Haziran 2005 tarihinde yürürlüğe girmiştir. </w:t>
      </w:r>
      <w:r w:rsidR="0012139E" w:rsidRPr="008F1795">
        <w:rPr>
          <w:lang w:val="tr-TR"/>
        </w:rPr>
        <w:t xml:space="preserve">Kanun, </w:t>
      </w:r>
      <w:proofErr w:type="gramStart"/>
      <w:r w:rsidR="00E301F6" w:rsidRPr="008F1795">
        <w:rPr>
          <w:lang w:val="tr-TR"/>
        </w:rPr>
        <w:t>340’dan</w:t>
      </w:r>
      <w:proofErr w:type="gramEnd"/>
      <w:r w:rsidR="00E301F6" w:rsidRPr="008F1795">
        <w:rPr>
          <w:lang w:val="tr-TR"/>
        </w:rPr>
        <w:t xml:space="preserve"> fazla </w:t>
      </w:r>
      <w:r w:rsidR="00515BA6" w:rsidRPr="008F1795">
        <w:rPr>
          <w:lang w:val="tr-TR"/>
        </w:rPr>
        <w:t xml:space="preserve">hüküm içeren kompleks bir mevzuattır. </w:t>
      </w:r>
    </w:p>
    <w:p w14:paraId="355AA0C7" w14:textId="77777777" w:rsidR="00B5594C" w:rsidRPr="008F1795" w:rsidRDefault="00B5594C" w:rsidP="00B5594C">
      <w:pPr>
        <w:pStyle w:val="ListeParagraf"/>
        <w:tabs>
          <w:tab w:val="left" w:pos="545"/>
        </w:tabs>
        <w:ind w:right="215"/>
        <w:jc w:val="left"/>
        <w:rPr>
          <w:lang w:val="tr-TR"/>
        </w:rPr>
      </w:pPr>
    </w:p>
    <w:p w14:paraId="45246D9B" w14:textId="489BBC8E" w:rsidR="0012139E" w:rsidRPr="008F1795" w:rsidRDefault="008B2747">
      <w:pPr>
        <w:pStyle w:val="ListeParagraf"/>
        <w:numPr>
          <w:ilvl w:val="0"/>
          <w:numId w:val="4"/>
        </w:numPr>
        <w:tabs>
          <w:tab w:val="left" w:pos="537"/>
        </w:tabs>
        <w:ind w:right="225" w:firstLine="0"/>
        <w:rPr>
          <w:lang w:val="tr-TR"/>
        </w:rPr>
      </w:pPr>
      <w:r>
        <w:rPr>
          <w:lang w:val="tr-TR"/>
        </w:rPr>
        <w:t>H</w:t>
      </w:r>
      <w:r w:rsidR="00A17427" w:rsidRPr="008F1795">
        <w:rPr>
          <w:lang w:val="tr-TR"/>
        </w:rPr>
        <w:t xml:space="preserve">alkı kin ve düşmanlığa tahrik </w:t>
      </w:r>
      <w:r w:rsidR="00E62902" w:rsidRPr="008F1795">
        <w:rPr>
          <w:lang w:val="tr-TR"/>
        </w:rPr>
        <w:t xml:space="preserve">etmeyi </w:t>
      </w:r>
      <w:r w:rsidR="00A17427" w:rsidRPr="008F1795">
        <w:rPr>
          <w:lang w:val="tr-TR"/>
        </w:rPr>
        <w:t xml:space="preserve">veya </w:t>
      </w:r>
      <w:r w:rsidR="00FA0701" w:rsidRPr="008F1795">
        <w:rPr>
          <w:lang w:val="tr-TR"/>
        </w:rPr>
        <w:t>halkı</w:t>
      </w:r>
      <w:r w:rsidR="00D423DF" w:rsidRPr="008F1795">
        <w:rPr>
          <w:lang w:val="tr-TR"/>
        </w:rPr>
        <w:t xml:space="preserve"> </w:t>
      </w:r>
      <w:r w:rsidR="00A17427" w:rsidRPr="008F1795">
        <w:rPr>
          <w:lang w:val="tr-TR"/>
        </w:rPr>
        <w:t>aşağılama</w:t>
      </w:r>
      <w:r w:rsidR="00E62902" w:rsidRPr="008F1795">
        <w:rPr>
          <w:lang w:val="tr-TR"/>
        </w:rPr>
        <w:t xml:space="preserve">yı suç </w:t>
      </w:r>
      <w:r>
        <w:rPr>
          <w:lang w:val="tr-TR"/>
        </w:rPr>
        <w:t>sayan</w:t>
      </w:r>
      <w:r w:rsidR="00485A94" w:rsidRPr="008F1795">
        <w:rPr>
          <w:lang w:val="tr-TR"/>
        </w:rPr>
        <w:t xml:space="preserve"> </w:t>
      </w:r>
      <w:r>
        <w:rPr>
          <w:lang w:val="tr-TR"/>
        </w:rPr>
        <w:t>Ceza Kanununun</w:t>
      </w:r>
      <w:r w:rsidRPr="008F1795">
        <w:rPr>
          <w:lang w:val="tr-TR"/>
        </w:rPr>
        <w:t xml:space="preserve"> 216</w:t>
      </w:r>
      <w:r>
        <w:rPr>
          <w:lang w:val="tr-TR"/>
        </w:rPr>
        <w:t>. maddesi</w:t>
      </w:r>
      <w:r w:rsidRPr="008F1795">
        <w:rPr>
          <w:lang w:val="tr-TR"/>
        </w:rPr>
        <w:t xml:space="preserve"> </w:t>
      </w:r>
      <w:r w:rsidR="00485A94" w:rsidRPr="008F1795">
        <w:rPr>
          <w:lang w:val="tr-TR"/>
        </w:rPr>
        <w:t>aşağıdaki hükümleri içermektedir:</w:t>
      </w:r>
    </w:p>
    <w:p w14:paraId="525546B1" w14:textId="77777777" w:rsidR="0012139E" w:rsidRPr="008F1795" w:rsidRDefault="0012139E" w:rsidP="0012139E">
      <w:pPr>
        <w:pStyle w:val="ListeParagraf"/>
        <w:tabs>
          <w:tab w:val="left" w:pos="537"/>
        </w:tabs>
        <w:ind w:right="225"/>
        <w:jc w:val="left"/>
        <w:rPr>
          <w:lang w:val="tr-TR"/>
        </w:rPr>
      </w:pPr>
    </w:p>
    <w:p w14:paraId="4FCF85CF" w14:textId="0670FA14" w:rsidR="0009419A" w:rsidRPr="008F1795" w:rsidRDefault="0009419A">
      <w:pPr>
        <w:pStyle w:val="ListeParagraf"/>
        <w:numPr>
          <w:ilvl w:val="1"/>
          <w:numId w:val="4"/>
        </w:numPr>
        <w:tabs>
          <w:tab w:val="left" w:pos="1639"/>
        </w:tabs>
        <w:ind w:left="906" w:right="220" w:firstLine="0"/>
        <w:rPr>
          <w:i/>
          <w:lang w:val="tr-TR"/>
        </w:rPr>
      </w:pPr>
      <w:r w:rsidRPr="008F1795">
        <w:rPr>
          <w:i/>
          <w:lang w:val="tr-TR"/>
        </w:rPr>
        <w:t xml:space="preserve">Halkın sosyal sınıf, ırk, din, mezhep veya bölge bakımından farklı özelliklere sahip bir kesimini, diğer bir kesimi aleyhine kin ve düşmanlığa alenen tahrik eden kimse, bu nedenle kamu güvenliği açısından açık ve yakın bir tehlikenin ortaya çıkması halinde, bir yıldan üç yıla kadar hapis cezası ile cezalandırılır. </w:t>
      </w:r>
    </w:p>
    <w:p w14:paraId="16446C4D" w14:textId="77777777" w:rsidR="0009419A" w:rsidRPr="008F1795" w:rsidRDefault="0009419A" w:rsidP="0009419A">
      <w:pPr>
        <w:pStyle w:val="ListeParagraf"/>
        <w:tabs>
          <w:tab w:val="left" w:pos="1639"/>
        </w:tabs>
        <w:ind w:left="906" w:right="220"/>
        <w:jc w:val="left"/>
        <w:rPr>
          <w:i/>
          <w:lang w:val="tr-TR"/>
        </w:rPr>
      </w:pPr>
    </w:p>
    <w:p w14:paraId="0629BE32" w14:textId="4AAA0F6E" w:rsidR="00B74CEA" w:rsidRPr="008F1795" w:rsidRDefault="003523F6">
      <w:pPr>
        <w:pStyle w:val="ListeParagraf"/>
        <w:numPr>
          <w:ilvl w:val="1"/>
          <w:numId w:val="4"/>
        </w:numPr>
        <w:tabs>
          <w:tab w:val="left" w:pos="1639"/>
        </w:tabs>
        <w:ind w:left="906" w:firstLine="0"/>
        <w:rPr>
          <w:i/>
          <w:lang w:val="tr-TR"/>
        </w:rPr>
      </w:pPr>
      <w:r w:rsidRPr="008F1795">
        <w:rPr>
          <w:i/>
          <w:lang w:val="tr-TR"/>
        </w:rPr>
        <w:t>Halkın bir kesimini, sosyal sınıf, ırk, din, mezhep, cinsiyet veya bölge farklılığına dayanarak alenen aşağılayan kişi, altı aydan bir yıla kadar hapis cezası ile cezalandırılır.</w:t>
      </w:r>
    </w:p>
    <w:p w14:paraId="0670B17F" w14:textId="5E4CDF9D" w:rsidR="00B74CEA" w:rsidRPr="008F1795" w:rsidRDefault="00FD3CE6">
      <w:pPr>
        <w:pStyle w:val="ListeParagraf"/>
        <w:numPr>
          <w:ilvl w:val="1"/>
          <w:numId w:val="4"/>
        </w:numPr>
        <w:tabs>
          <w:tab w:val="left" w:pos="1639"/>
        </w:tabs>
        <w:spacing w:before="110"/>
        <w:ind w:left="906" w:right="224" w:firstLine="0"/>
        <w:rPr>
          <w:lang w:val="tr-TR"/>
        </w:rPr>
      </w:pPr>
      <w:r w:rsidRPr="008F1795">
        <w:rPr>
          <w:i/>
          <w:lang w:val="tr-TR"/>
        </w:rPr>
        <w:t>Halkın bir kesiminin benimsediği dini değerleri alenen aşağılayan kişi, fiilin kamu barışını bozmaya elverişli olması halinde, altı aydan bir yıla kadar hapis cezası ile cezalandırılır.</w:t>
      </w:r>
    </w:p>
    <w:p w14:paraId="2C561607" w14:textId="77777777" w:rsidR="00B74CEA" w:rsidRPr="008F1795" w:rsidRDefault="00B74CEA">
      <w:pPr>
        <w:pStyle w:val="GvdeMetni"/>
        <w:spacing w:before="1"/>
        <w:rPr>
          <w:lang w:val="tr-TR"/>
        </w:rPr>
      </w:pPr>
    </w:p>
    <w:p w14:paraId="1EB9FDCE" w14:textId="1A562271" w:rsidR="00711081" w:rsidRPr="008F1795" w:rsidRDefault="00711081">
      <w:pPr>
        <w:pStyle w:val="ListeParagraf"/>
        <w:numPr>
          <w:ilvl w:val="0"/>
          <w:numId w:val="4"/>
        </w:numPr>
        <w:tabs>
          <w:tab w:val="left" w:pos="571"/>
        </w:tabs>
        <w:ind w:right="219" w:firstLine="0"/>
        <w:rPr>
          <w:lang w:val="tr-TR"/>
        </w:rPr>
      </w:pPr>
      <w:r w:rsidRPr="008F1795">
        <w:rPr>
          <w:lang w:val="tr-TR"/>
        </w:rPr>
        <w:t xml:space="preserve">5377 sayılı Kanun </w:t>
      </w:r>
      <w:r w:rsidR="00560B9F" w:rsidRPr="008F1795">
        <w:rPr>
          <w:lang w:val="tr-TR"/>
        </w:rPr>
        <w:t>ile (35</w:t>
      </w:r>
      <w:r w:rsidR="00E1685F">
        <w:rPr>
          <w:lang w:val="tr-TR"/>
        </w:rPr>
        <w:t>. Madde</w:t>
      </w:r>
      <w:r w:rsidR="00560B9F" w:rsidRPr="008F1795">
        <w:rPr>
          <w:lang w:val="tr-TR"/>
        </w:rPr>
        <w:t xml:space="preserve">) 29 Haziran 2005 tarihinde değiştirilen </w:t>
      </w:r>
      <w:r w:rsidR="00287C53" w:rsidRPr="008F1795">
        <w:rPr>
          <w:lang w:val="tr-TR"/>
        </w:rPr>
        <w:t xml:space="preserve">299. </w:t>
      </w:r>
      <w:r w:rsidR="00241305" w:rsidRPr="008F1795">
        <w:rPr>
          <w:lang w:val="tr-TR"/>
        </w:rPr>
        <w:t>Madde</w:t>
      </w:r>
      <w:r w:rsidR="00287C53" w:rsidRPr="008F1795">
        <w:rPr>
          <w:lang w:val="tr-TR"/>
        </w:rPr>
        <w:t>de Cumhurbaşkanına hakaret</w:t>
      </w:r>
      <w:r w:rsidR="00CC336F">
        <w:rPr>
          <w:lang w:val="tr-TR"/>
        </w:rPr>
        <w:t xml:space="preserve"> </w:t>
      </w:r>
      <w:r w:rsidR="00DE09B2" w:rsidRPr="008F1795">
        <w:rPr>
          <w:lang w:val="tr-TR"/>
        </w:rPr>
        <w:t>için cezai sorumluluk</w:t>
      </w:r>
      <w:r w:rsidR="00D74717" w:rsidRPr="008F1795">
        <w:rPr>
          <w:lang w:val="tr-TR"/>
        </w:rPr>
        <w:t xml:space="preserve"> öngörülmektedir.</w:t>
      </w:r>
      <w:r w:rsidR="00AF2A6E" w:rsidRPr="008F1795">
        <w:rPr>
          <w:lang w:val="tr-TR"/>
        </w:rPr>
        <w:t xml:space="preserve"> Hüküm aşağıdaki gibidir: </w:t>
      </w:r>
    </w:p>
    <w:p w14:paraId="276EBAF3" w14:textId="77777777" w:rsidR="00711081" w:rsidRPr="008F1795" w:rsidRDefault="00711081" w:rsidP="00711081">
      <w:pPr>
        <w:pStyle w:val="ListeParagraf"/>
        <w:tabs>
          <w:tab w:val="left" w:pos="571"/>
        </w:tabs>
        <w:ind w:right="219"/>
        <w:jc w:val="left"/>
        <w:rPr>
          <w:lang w:val="tr-TR"/>
        </w:rPr>
      </w:pPr>
    </w:p>
    <w:p w14:paraId="431C4392" w14:textId="77777777" w:rsidR="00B74CEA" w:rsidRPr="008F1795" w:rsidRDefault="00B74CEA">
      <w:pPr>
        <w:pStyle w:val="GvdeMetni"/>
        <w:spacing w:before="10"/>
        <w:rPr>
          <w:sz w:val="21"/>
          <w:lang w:val="tr-TR"/>
        </w:rPr>
      </w:pPr>
    </w:p>
    <w:p w14:paraId="2E5922F7" w14:textId="2B500F47" w:rsidR="00B74CEA" w:rsidRPr="008F1795" w:rsidRDefault="005904C0">
      <w:pPr>
        <w:pStyle w:val="ListeParagraf"/>
        <w:numPr>
          <w:ilvl w:val="1"/>
          <w:numId w:val="4"/>
        </w:numPr>
        <w:tabs>
          <w:tab w:val="left" w:pos="1639"/>
        </w:tabs>
        <w:ind w:right="219" w:firstLine="0"/>
        <w:rPr>
          <w:i/>
          <w:lang w:val="tr-TR"/>
        </w:rPr>
      </w:pPr>
      <w:r w:rsidRPr="008F1795">
        <w:rPr>
          <w:i/>
          <w:lang w:val="tr-TR"/>
        </w:rPr>
        <w:t>Cumhurbaşkanına hakaret eden kişi, bir yıldan dört yıla kadar hapis cezası ile cezalandırılır</w:t>
      </w:r>
      <w:r w:rsidR="00BE381E" w:rsidRPr="008F1795">
        <w:rPr>
          <w:i/>
          <w:lang w:val="tr-TR"/>
        </w:rPr>
        <w:t>.</w:t>
      </w:r>
    </w:p>
    <w:p w14:paraId="2C9F18ED" w14:textId="77777777" w:rsidR="00B74CEA" w:rsidRPr="008F1795" w:rsidRDefault="00B74CEA">
      <w:pPr>
        <w:pStyle w:val="GvdeMetni"/>
        <w:spacing w:before="2"/>
        <w:rPr>
          <w:i/>
          <w:lang w:val="tr-TR"/>
        </w:rPr>
      </w:pPr>
    </w:p>
    <w:p w14:paraId="6E8C029A" w14:textId="74BA5A8D" w:rsidR="00B74CEA" w:rsidRPr="008F1795" w:rsidRDefault="00174DF7">
      <w:pPr>
        <w:pStyle w:val="ListeParagraf"/>
        <w:numPr>
          <w:ilvl w:val="1"/>
          <w:numId w:val="4"/>
        </w:numPr>
        <w:tabs>
          <w:tab w:val="left" w:pos="1639"/>
        </w:tabs>
        <w:ind w:right="220" w:firstLine="0"/>
        <w:rPr>
          <w:i/>
          <w:lang w:val="tr-TR"/>
        </w:rPr>
      </w:pPr>
      <w:r w:rsidRPr="008F1795">
        <w:rPr>
          <w:i/>
          <w:lang w:val="tr-TR"/>
        </w:rPr>
        <w:t>Suçun alenen işlenmesi hâlinde, verilecek ceza altıda biri oranında artırılır</w:t>
      </w:r>
      <w:r w:rsidR="00BE381E" w:rsidRPr="008F1795">
        <w:rPr>
          <w:i/>
          <w:lang w:val="tr-TR"/>
        </w:rPr>
        <w:t>.</w:t>
      </w:r>
    </w:p>
    <w:p w14:paraId="0C4CCB3B" w14:textId="77777777" w:rsidR="00B74CEA" w:rsidRPr="008F1795" w:rsidRDefault="00B74CEA">
      <w:pPr>
        <w:pStyle w:val="GvdeMetni"/>
        <w:rPr>
          <w:i/>
          <w:lang w:val="tr-TR"/>
        </w:rPr>
      </w:pPr>
    </w:p>
    <w:p w14:paraId="791D3E84" w14:textId="10DD9721" w:rsidR="00B74CEA" w:rsidRPr="008F1795" w:rsidRDefault="00CD2496">
      <w:pPr>
        <w:pStyle w:val="ListeParagraf"/>
        <w:numPr>
          <w:ilvl w:val="1"/>
          <w:numId w:val="4"/>
        </w:numPr>
        <w:tabs>
          <w:tab w:val="left" w:pos="1639"/>
        </w:tabs>
        <w:ind w:right="217" w:firstLine="0"/>
        <w:rPr>
          <w:i/>
          <w:lang w:val="tr-TR"/>
        </w:rPr>
      </w:pPr>
      <w:r w:rsidRPr="008F1795">
        <w:rPr>
          <w:i/>
          <w:lang w:val="tr-TR"/>
        </w:rPr>
        <w:t>Bu suçtan dolayı kovuşturma yapılması, Adalet Bakanının iznine bağlıdır</w:t>
      </w:r>
      <w:r w:rsidR="00BE381E" w:rsidRPr="008F1795">
        <w:rPr>
          <w:i/>
          <w:lang w:val="tr-TR"/>
        </w:rPr>
        <w:t>.</w:t>
      </w:r>
    </w:p>
    <w:p w14:paraId="71F454F9" w14:textId="77777777" w:rsidR="00B74CEA" w:rsidRPr="008F1795" w:rsidRDefault="00B74CEA">
      <w:pPr>
        <w:pStyle w:val="GvdeMetni"/>
        <w:rPr>
          <w:i/>
          <w:lang w:val="tr-TR"/>
        </w:rPr>
      </w:pPr>
    </w:p>
    <w:p w14:paraId="33458DA5" w14:textId="06F54CB4" w:rsidR="008C37AF" w:rsidRPr="008F1795" w:rsidRDefault="00824045">
      <w:pPr>
        <w:pStyle w:val="ListeParagraf"/>
        <w:numPr>
          <w:ilvl w:val="0"/>
          <w:numId w:val="4"/>
        </w:numPr>
        <w:tabs>
          <w:tab w:val="left" w:pos="631"/>
        </w:tabs>
        <w:ind w:right="217" w:firstLine="0"/>
        <w:rPr>
          <w:lang w:val="tr-TR"/>
        </w:rPr>
      </w:pPr>
      <w:r w:rsidRPr="008F1795">
        <w:rPr>
          <w:lang w:val="tr-TR"/>
        </w:rPr>
        <w:t xml:space="preserve">29 Nisan 2008 tarihinde </w:t>
      </w:r>
      <w:r w:rsidR="006C6ABB" w:rsidRPr="008F1795">
        <w:rPr>
          <w:lang w:val="tr-TR"/>
        </w:rPr>
        <w:t>kabul edilen</w:t>
      </w:r>
      <w:r w:rsidR="00C56AA8" w:rsidRPr="008F1795">
        <w:rPr>
          <w:lang w:val="tr-TR"/>
        </w:rPr>
        <w:t xml:space="preserve"> (5759 sayılı Kanun)</w:t>
      </w:r>
      <w:r w:rsidR="00C165C3" w:rsidRPr="008F1795">
        <w:rPr>
          <w:rStyle w:val="DipnotBavurusu"/>
          <w:lang w:val="tr-TR"/>
        </w:rPr>
        <w:footnoteReference w:id="2"/>
      </w:r>
      <w:r w:rsidR="00DD6421" w:rsidRPr="008F1795">
        <w:rPr>
          <w:lang w:val="tr-TR"/>
        </w:rPr>
        <w:t xml:space="preserve"> değişiklik ile 301. </w:t>
      </w:r>
      <w:r w:rsidR="00241305" w:rsidRPr="008F1795">
        <w:rPr>
          <w:lang w:val="tr-TR"/>
        </w:rPr>
        <w:t>Madde</w:t>
      </w:r>
      <w:r w:rsidR="00AA10C6">
        <w:rPr>
          <w:lang w:val="tr-TR"/>
        </w:rPr>
        <w:t>ye göre,</w:t>
      </w:r>
      <w:r w:rsidR="00DD6421" w:rsidRPr="008F1795">
        <w:rPr>
          <w:lang w:val="tr-TR"/>
        </w:rPr>
        <w:t xml:space="preserve"> Türk Milletini, Türkiye Cumhuriyeti Devletini, Devletin kurum ve organlarını aşağıl</w:t>
      </w:r>
      <w:r w:rsidR="00426AE9" w:rsidRPr="008F1795">
        <w:rPr>
          <w:lang w:val="tr-TR"/>
        </w:rPr>
        <w:t>amak</w:t>
      </w:r>
      <w:r w:rsidR="00D138ED" w:rsidRPr="008F1795">
        <w:rPr>
          <w:lang w:val="tr-TR"/>
        </w:rPr>
        <w:t xml:space="preserve"> suç say</w:t>
      </w:r>
      <w:r w:rsidR="008C383D" w:rsidRPr="008F1795">
        <w:rPr>
          <w:lang w:val="tr-TR"/>
        </w:rPr>
        <w:t>ıl</w:t>
      </w:r>
      <w:r w:rsidR="00D138ED" w:rsidRPr="008F1795">
        <w:rPr>
          <w:lang w:val="tr-TR"/>
        </w:rPr>
        <w:t>maktadır</w:t>
      </w:r>
      <w:r w:rsidR="00C165C3" w:rsidRPr="008F1795">
        <w:rPr>
          <w:lang w:val="tr-TR"/>
        </w:rPr>
        <w:t xml:space="preserve">. Hüküm aşağıdaki gibidir: </w:t>
      </w:r>
    </w:p>
    <w:p w14:paraId="5607EC7A" w14:textId="77777777" w:rsidR="008C37AF" w:rsidRPr="008F1795" w:rsidRDefault="008C37AF" w:rsidP="008C37AF">
      <w:pPr>
        <w:pStyle w:val="ListeParagraf"/>
        <w:tabs>
          <w:tab w:val="left" w:pos="631"/>
        </w:tabs>
        <w:ind w:right="217"/>
        <w:jc w:val="left"/>
        <w:rPr>
          <w:lang w:val="tr-TR"/>
        </w:rPr>
      </w:pPr>
    </w:p>
    <w:p w14:paraId="773ED625" w14:textId="77777777" w:rsidR="00B74CEA" w:rsidRPr="008F1795" w:rsidRDefault="00B74CEA">
      <w:pPr>
        <w:pStyle w:val="GvdeMetni"/>
        <w:spacing w:before="1"/>
        <w:rPr>
          <w:lang w:val="tr-TR"/>
        </w:rPr>
      </w:pPr>
    </w:p>
    <w:p w14:paraId="47412F8E" w14:textId="0EFC1612" w:rsidR="00F058B5" w:rsidRPr="008F1795" w:rsidRDefault="00F058B5">
      <w:pPr>
        <w:pStyle w:val="ListeParagraf"/>
        <w:numPr>
          <w:ilvl w:val="1"/>
          <w:numId w:val="4"/>
        </w:numPr>
        <w:tabs>
          <w:tab w:val="left" w:pos="1639"/>
        </w:tabs>
        <w:ind w:right="218" w:firstLine="0"/>
        <w:rPr>
          <w:i/>
          <w:lang w:val="tr-TR"/>
        </w:rPr>
      </w:pPr>
      <w:r w:rsidRPr="008F1795">
        <w:rPr>
          <w:i/>
          <w:lang w:val="tr-TR"/>
        </w:rPr>
        <w:t>Türk Milletini, Türkiye Cumhuriyeti Devletini, Türkiye Büyük Millet Meclisini, Türkiye Cumhuriyeti Hükümetini ve Devletin yargı organlarını alenen aşağılayan kişi, altı aydan iki yıla kadar hapis cezası ile cezalandırılır.</w:t>
      </w:r>
    </w:p>
    <w:p w14:paraId="27D1A7B9" w14:textId="77777777" w:rsidR="00F058B5" w:rsidRPr="008F1795" w:rsidRDefault="00F058B5" w:rsidP="00F058B5">
      <w:pPr>
        <w:pStyle w:val="ListeParagraf"/>
        <w:tabs>
          <w:tab w:val="left" w:pos="1639"/>
        </w:tabs>
        <w:ind w:left="918" w:right="218"/>
        <w:jc w:val="left"/>
        <w:rPr>
          <w:i/>
          <w:lang w:val="tr-TR"/>
        </w:rPr>
      </w:pPr>
    </w:p>
    <w:p w14:paraId="5A0B3734" w14:textId="64FA771D" w:rsidR="00B74CEA" w:rsidRPr="008F1795" w:rsidRDefault="009632B8">
      <w:pPr>
        <w:pStyle w:val="ListeParagraf"/>
        <w:numPr>
          <w:ilvl w:val="1"/>
          <w:numId w:val="4"/>
        </w:numPr>
        <w:tabs>
          <w:tab w:val="left" w:pos="1639"/>
        </w:tabs>
        <w:ind w:right="218" w:firstLine="0"/>
        <w:rPr>
          <w:i/>
          <w:lang w:val="tr-TR"/>
        </w:rPr>
      </w:pPr>
      <w:r w:rsidRPr="008F1795">
        <w:rPr>
          <w:i/>
          <w:lang w:val="tr-TR"/>
        </w:rPr>
        <w:t xml:space="preserve">Devletin askerî veya emniyet teşkilatını alenen aşağılayan kişi, birinci </w:t>
      </w:r>
      <w:r w:rsidR="00EC6225" w:rsidRPr="008F1795">
        <w:rPr>
          <w:i/>
          <w:lang w:val="tr-TR"/>
        </w:rPr>
        <w:t>fıkra</w:t>
      </w:r>
      <w:r w:rsidRPr="008F1795">
        <w:rPr>
          <w:i/>
          <w:lang w:val="tr-TR"/>
        </w:rPr>
        <w:t xml:space="preserve"> hükmüne göre cezalandırılır.</w:t>
      </w:r>
    </w:p>
    <w:p w14:paraId="7B51A92B" w14:textId="77777777" w:rsidR="00B74CEA" w:rsidRPr="008F1795" w:rsidRDefault="00B74CEA">
      <w:pPr>
        <w:pStyle w:val="GvdeMetni"/>
        <w:spacing w:before="11"/>
        <w:rPr>
          <w:i/>
          <w:sz w:val="21"/>
          <w:lang w:val="tr-TR"/>
        </w:rPr>
      </w:pPr>
    </w:p>
    <w:p w14:paraId="06D3CA50" w14:textId="55FE3FF3" w:rsidR="00B74CEA" w:rsidRPr="008F1795" w:rsidRDefault="00B60BD3">
      <w:pPr>
        <w:pStyle w:val="ListeParagraf"/>
        <w:numPr>
          <w:ilvl w:val="1"/>
          <w:numId w:val="4"/>
        </w:numPr>
        <w:tabs>
          <w:tab w:val="left" w:pos="1639"/>
        </w:tabs>
        <w:ind w:right="219" w:firstLine="0"/>
        <w:rPr>
          <w:i/>
          <w:lang w:val="tr-TR"/>
        </w:rPr>
      </w:pPr>
      <w:r w:rsidRPr="008F1795">
        <w:rPr>
          <w:i/>
          <w:lang w:val="tr-TR"/>
        </w:rPr>
        <w:t>Eleştiri amacıyla yapılan düşünce açıklamaları suç oluşturmaz</w:t>
      </w:r>
      <w:r w:rsidR="00BE381E" w:rsidRPr="008F1795">
        <w:rPr>
          <w:i/>
          <w:lang w:val="tr-TR"/>
        </w:rPr>
        <w:t>.</w:t>
      </w:r>
    </w:p>
    <w:p w14:paraId="060523ED" w14:textId="77777777" w:rsidR="00B74CEA" w:rsidRPr="008F1795" w:rsidRDefault="00B74CEA">
      <w:pPr>
        <w:pStyle w:val="GvdeMetni"/>
        <w:rPr>
          <w:i/>
          <w:lang w:val="tr-TR"/>
        </w:rPr>
      </w:pPr>
    </w:p>
    <w:p w14:paraId="0E3FEBCE" w14:textId="64554C24" w:rsidR="00B74CEA" w:rsidRPr="008F1795" w:rsidRDefault="006C11F0">
      <w:pPr>
        <w:pStyle w:val="ListeParagraf"/>
        <w:numPr>
          <w:ilvl w:val="1"/>
          <w:numId w:val="4"/>
        </w:numPr>
        <w:tabs>
          <w:tab w:val="left" w:pos="1639"/>
        </w:tabs>
        <w:ind w:right="221" w:firstLine="0"/>
        <w:rPr>
          <w:i/>
          <w:lang w:val="tr-TR"/>
        </w:rPr>
      </w:pPr>
      <w:r w:rsidRPr="008F1795">
        <w:rPr>
          <w:i/>
          <w:lang w:val="tr-TR"/>
        </w:rPr>
        <w:t>Bu suçtan dolayı soruşturma yapılması, Adalet Bakanının iznine bağlıdır.</w:t>
      </w:r>
    </w:p>
    <w:p w14:paraId="4545F3DC" w14:textId="77777777" w:rsidR="00B74CEA" w:rsidRPr="008F1795" w:rsidRDefault="00B74CEA">
      <w:pPr>
        <w:pStyle w:val="GvdeMetni"/>
        <w:spacing w:before="2"/>
        <w:rPr>
          <w:i/>
          <w:lang w:val="tr-TR"/>
        </w:rPr>
      </w:pPr>
    </w:p>
    <w:p w14:paraId="265B21C4" w14:textId="48D98CE4" w:rsidR="00A37040" w:rsidRPr="008F1795" w:rsidRDefault="004172C1">
      <w:pPr>
        <w:pStyle w:val="ListeParagraf"/>
        <w:numPr>
          <w:ilvl w:val="0"/>
          <w:numId w:val="4"/>
        </w:numPr>
        <w:tabs>
          <w:tab w:val="left" w:pos="751"/>
        </w:tabs>
        <w:ind w:firstLine="0"/>
        <w:rPr>
          <w:lang w:val="tr-TR"/>
        </w:rPr>
      </w:pPr>
      <w:r w:rsidRPr="008F1795">
        <w:rPr>
          <w:lang w:val="tr-TR"/>
        </w:rPr>
        <w:t xml:space="preserve">314. </w:t>
      </w:r>
      <w:r w:rsidR="00241305" w:rsidRPr="008F1795">
        <w:rPr>
          <w:lang w:val="tr-TR"/>
        </w:rPr>
        <w:t>Madde</w:t>
      </w:r>
      <w:r w:rsidRPr="008F1795">
        <w:rPr>
          <w:lang w:val="tr-TR"/>
        </w:rPr>
        <w:t xml:space="preserve">, </w:t>
      </w:r>
      <w:r w:rsidR="00E654F9" w:rsidRPr="008F1795">
        <w:rPr>
          <w:lang w:val="tr-TR"/>
        </w:rPr>
        <w:t xml:space="preserve">silahlı örgüt kurma, yönetme ya da üyesi olmayı suç saymaktadır. </w:t>
      </w:r>
      <w:r w:rsidR="00655915" w:rsidRPr="008F1795">
        <w:rPr>
          <w:lang w:val="tr-TR"/>
        </w:rPr>
        <w:t xml:space="preserve">Hüküm aşağıdaki gibidir: </w:t>
      </w:r>
    </w:p>
    <w:p w14:paraId="1CF124F9" w14:textId="77777777" w:rsidR="00B74CEA" w:rsidRPr="008F1795" w:rsidRDefault="00B74CEA">
      <w:pPr>
        <w:pStyle w:val="GvdeMetni"/>
        <w:spacing w:before="11"/>
        <w:rPr>
          <w:sz w:val="21"/>
          <w:lang w:val="tr-TR"/>
        </w:rPr>
      </w:pPr>
    </w:p>
    <w:p w14:paraId="2C5D42B0" w14:textId="46A304A3" w:rsidR="00471B12" w:rsidRPr="008F1795" w:rsidRDefault="00471B12">
      <w:pPr>
        <w:pStyle w:val="ListeParagraf"/>
        <w:numPr>
          <w:ilvl w:val="1"/>
          <w:numId w:val="4"/>
        </w:numPr>
        <w:tabs>
          <w:tab w:val="left" w:pos="1639"/>
        </w:tabs>
        <w:ind w:firstLine="0"/>
        <w:rPr>
          <w:i/>
          <w:lang w:val="tr-TR"/>
        </w:rPr>
      </w:pPr>
      <w:r w:rsidRPr="008F1795">
        <w:rPr>
          <w:i/>
          <w:lang w:val="tr-TR"/>
        </w:rPr>
        <w:t xml:space="preserve">Bu kısmın dördüncü ve beşinci bölümlerinde yer alan suçları işlemek amacıyla, silahlı örgüt kuran veya yöneten kişi, on yıldan </w:t>
      </w:r>
      <w:r w:rsidR="000D450A" w:rsidRPr="008F1795">
        <w:rPr>
          <w:i/>
          <w:lang w:val="tr-TR"/>
        </w:rPr>
        <w:t>on beş</w:t>
      </w:r>
      <w:r w:rsidRPr="008F1795">
        <w:rPr>
          <w:i/>
          <w:lang w:val="tr-TR"/>
        </w:rPr>
        <w:t xml:space="preserve"> yıla kadar hapis cezası ile cezalandırılır. </w:t>
      </w:r>
    </w:p>
    <w:p w14:paraId="358E8517" w14:textId="77777777" w:rsidR="00471B12" w:rsidRPr="008F1795" w:rsidRDefault="00471B12" w:rsidP="00471B12">
      <w:pPr>
        <w:pStyle w:val="ListeParagraf"/>
        <w:tabs>
          <w:tab w:val="left" w:pos="1639"/>
        </w:tabs>
        <w:ind w:left="918"/>
        <w:jc w:val="left"/>
        <w:rPr>
          <w:i/>
          <w:lang w:val="tr-TR"/>
        </w:rPr>
      </w:pPr>
    </w:p>
    <w:p w14:paraId="4E47FEE3" w14:textId="7B0099C2" w:rsidR="00B74CEA" w:rsidRPr="008F1795" w:rsidRDefault="00B65EC2">
      <w:pPr>
        <w:pStyle w:val="ListeParagraf"/>
        <w:numPr>
          <w:ilvl w:val="1"/>
          <w:numId w:val="4"/>
        </w:numPr>
        <w:tabs>
          <w:tab w:val="left" w:pos="1639"/>
        </w:tabs>
        <w:ind w:right="221" w:firstLine="0"/>
        <w:rPr>
          <w:i/>
          <w:lang w:val="tr-TR"/>
        </w:rPr>
      </w:pPr>
      <w:r w:rsidRPr="008F1795">
        <w:rPr>
          <w:i/>
          <w:lang w:val="tr-TR"/>
        </w:rPr>
        <w:t xml:space="preserve">Birinci </w:t>
      </w:r>
      <w:r w:rsidR="00EC6225" w:rsidRPr="008F1795">
        <w:rPr>
          <w:i/>
          <w:lang w:val="tr-TR"/>
        </w:rPr>
        <w:t>fıkra</w:t>
      </w:r>
      <w:r w:rsidRPr="008F1795">
        <w:rPr>
          <w:i/>
          <w:lang w:val="tr-TR"/>
        </w:rPr>
        <w:t>da tanımlanan örgüte üye olanlara, beş yıldan on yıla kadar hapis cezası verilir.</w:t>
      </w:r>
    </w:p>
    <w:p w14:paraId="3B0A1E4F" w14:textId="77777777" w:rsidR="00B74CEA" w:rsidRPr="008F1795" w:rsidRDefault="00B74CEA">
      <w:pPr>
        <w:pStyle w:val="GvdeMetni"/>
        <w:spacing w:before="2"/>
        <w:rPr>
          <w:i/>
          <w:lang w:val="tr-TR"/>
        </w:rPr>
      </w:pPr>
    </w:p>
    <w:p w14:paraId="0E39A05B" w14:textId="6C578149" w:rsidR="00B74CEA" w:rsidRPr="008F1795" w:rsidRDefault="000C354F">
      <w:pPr>
        <w:pStyle w:val="ListeParagraf"/>
        <w:numPr>
          <w:ilvl w:val="1"/>
          <w:numId w:val="4"/>
        </w:numPr>
        <w:tabs>
          <w:tab w:val="left" w:pos="1639"/>
        </w:tabs>
        <w:ind w:right="221" w:firstLine="0"/>
        <w:rPr>
          <w:i/>
          <w:lang w:val="tr-TR"/>
        </w:rPr>
      </w:pPr>
      <w:r w:rsidRPr="008F1795">
        <w:rPr>
          <w:i/>
          <w:lang w:val="tr-TR"/>
        </w:rPr>
        <w:t>Suç işlemek amacıyla örgüt kurma suçuna ilişkin diğer hükümler, bu suç açısından aynen uygulanır.</w:t>
      </w:r>
    </w:p>
    <w:p w14:paraId="53C98CDD" w14:textId="77777777" w:rsidR="00B74CEA" w:rsidRPr="008F1795" w:rsidRDefault="00B74CEA">
      <w:pPr>
        <w:pStyle w:val="GvdeMetni"/>
        <w:spacing w:before="11"/>
        <w:rPr>
          <w:i/>
          <w:sz w:val="21"/>
          <w:lang w:val="tr-TR"/>
        </w:rPr>
      </w:pPr>
    </w:p>
    <w:p w14:paraId="7FF344DE" w14:textId="114F86A2" w:rsidR="00611109" w:rsidRPr="008F1795" w:rsidRDefault="00962E76">
      <w:pPr>
        <w:pStyle w:val="ListeParagraf"/>
        <w:numPr>
          <w:ilvl w:val="0"/>
          <w:numId w:val="4"/>
        </w:numPr>
        <w:tabs>
          <w:tab w:val="left" w:pos="804"/>
        </w:tabs>
        <w:ind w:firstLine="0"/>
        <w:rPr>
          <w:lang w:val="tr-TR"/>
        </w:rPr>
      </w:pPr>
      <w:r w:rsidRPr="008F1795">
        <w:rPr>
          <w:lang w:val="tr-TR"/>
        </w:rPr>
        <w:t xml:space="preserve">Türk Ceza Kanununun 220. </w:t>
      </w:r>
      <w:r w:rsidR="00241305" w:rsidRPr="008F1795">
        <w:rPr>
          <w:lang w:val="tr-TR"/>
        </w:rPr>
        <w:t>Madde</w:t>
      </w:r>
      <w:r w:rsidRPr="008F1795">
        <w:rPr>
          <w:lang w:val="tr-TR"/>
        </w:rPr>
        <w:t>si (Suç İşlemek Amacıyla Örgüt Kurma)</w:t>
      </w:r>
      <w:r w:rsidR="00EA4830" w:rsidRPr="008F1795">
        <w:rPr>
          <w:lang w:val="tr-TR"/>
        </w:rPr>
        <w:t xml:space="preserve">, 314. </w:t>
      </w:r>
      <w:r w:rsidR="00241305" w:rsidRPr="008F1795">
        <w:rPr>
          <w:lang w:val="tr-TR"/>
        </w:rPr>
        <w:t>Madde</w:t>
      </w:r>
      <w:r w:rsidR="00EA4830" w:rsidRPr="008F1795">
        <w:rPr>
          <w:lang w:val="tr-TR"/>
        </w:rPr>
        <w:t>nin uygulanışı bakımından bilhassa önemlidir.</w:t>
      </w:r>
      <w:r w:rsidR="005E4C49" w:rsidRPr="008F1795">
        <w:rPr>
          <w:lang w:val="tr-TR"/>
        </w:rPr>
        <w:t xml:space="preserve"> 314. </w:t>
      </w:r>
      <w:r w:rsidR="00241305" w:rsidRPr="008F1795">
        <w:rPr>
          <w:lang w:val="tr-TR"/>
        </w:rPr>
        <w:t>Madde</w:t>
      </w:r>
      <w:r w:rsidR="00C74ABC" w:rsidRPr="008F1795">
        <w:rPr>
          <w:lang w:val="tr-TR"/>
        </w:rPr>
        <w:t>nin</w:t>
      </w:r>
      <w:r w:rsidR="005E4C49" w:rsidRPr="008F1795">
        <w:rPr>
          <w:lang w:val="tr-TR"/>
        </w:rPr>
        <w:t xml:space="preserve"> </w:t>
      </w:r>
      <w:r w:rsidR="00F50900" w:rsidRPr="008F1795">
        <w:rPr>
          <w:lang w:val="tr-TR"/>
        </w:rPr>
        <w:t xml:space="preserve">üçüncü </w:t>
      </w:r>
      <w:r w:rsidR="00EC6225" w:rsidRPr="008F1795">
        <w:rPr>
          <w:lang w:val="tr-TR"/>
        </w:rPr>
        <w:t>fıkra</w:t>
      </w:r>
      <w:r w:rsidR="00F50900" w:rsidRPr="008F1795">
        <w:rPr>
          <w:lang w:val="tr-TR"/>
        </w:rPr>
        <w:t>sında “örgüt kurma suçuna ilişkin diğer hükümler</w:t>
      </w:r>
      <w:r w:rsidR="00C74ABC" w:rsidRPr="008F1795">
        <w:rPr>
          <w:lang w:val="tr-TR"/>
        </w:rPr>
        <w:t>e” atıfta bulunulması nedeniyle</w:t>
      </w:r>
      <w:r w:rsidR="00F96DC8">
        <w:rPr>
          <w:lang w:val="tr-TR"/>
        </w:rPr>
        <w:t>,</w:t>
      </w:r>
      <w:r w:rsidR="00C74ABC" w:rsidRPr="008F1795">
        <w:rPr>
          <w:lang w:val="tr-TR"/>
        </w:rPr>
        <w:t xml:space="preserve"> </w:t>
      </w:r>
      <w:r w:rsidR="00DC6D00" w:rsidRPr="008F1795">
        <w:rPr>
          <w:lang w:val="tr-TR"/>
        </w:rPr>
        <w:t>Yargıtay’ın</w:t>
      </w:r>
      <w:r w:rsidR="00C74ABC" w:rsidRPr="008F1795">
        <w:rPr>
          <w:lang w:val="tr-TR"/>
        </w:rPr>
        <w:t xml:space="preserve"> yakın tarihli bazı kararlarınd</w:t>
      </w:r>
      <w:r w:rsidR="00934065" w:rsidRPr="008F1795">
        <w:rPr>
          <w:lang w:val="tr-TR"/>
        </w:rPr>
        <w:t xml:space="preserve">a 314. </w:t>
      </w:r>
      <w:r w:rsidR="00241305" w:rsidRPr="008F1795">
        <w:rPr>
          <w:lang w:val="tr-TR"/>
        </w:rPr>
        <w:t>Madde</w:t>
      </w:r>
      <w:r w:rsidR="00934065" w:rsidRPr="008F1795">
        <w:rPr>
          <w:lang w:val="tr-TR"/>
        </w:rPr>
        <w:t xml:space="preserve">, 220. </w:t>
      </w:r>
      <w:r w:rsidR="00241305" w:rsidRPr="008F1795">
        <w:rPr>
          <w:lang w:val="tr-TR"/>
        </w:rPr>
        <w:t>Madde</w:t>
      </w:r>
      <w:r w:rsidR="00934065" w:rsidRPr="008F1795">
        <w:rPr>
          <w:lang w:val="tr-TR"/>
        </w:rPr>
        <w:t xml:space="preserve"> (</w:t>
      </w:r>
      <w:r w:rsidR="00F96DC8">
        <w:rPr>
          <w:lang w:val="tr-TR"/>
        </w:rPr>
        <w:t xml:space="preserve">Maddenin </w:t>
      </w:r>
      <w:r w:rsidR="00934065" w:rsidRPr="008F1795">
        <w:rPr>
          <w:lang w:val="tr-TR"/>
        </w:rPr>
        <w:t xml:space="preserve">özellikle (6). </w:t>
      </w:r>
      <w:proofErr w:type="gramStart"/>
      <w:r w:rsidR="00934065" w:rsidRPr="008F1795">
        <w:rPr>
          <w:lang w:val="tr-TR"/>
        </w:rPr>
        <w:t>ve</w:t>
      </w:r>
      <w:proofErr w:type="gramEnd"/>
      <w:r w:rsidR="00934065" w:rsidRPr="008F1795">
        <w:rPr>
          <w:lang w:val="tr-TR"/>
        </w:rPr>
        <w:t xml:space="preserve"> (7). </w:t>
      </w:r>
      <w:proofErr w:type="gramStart"/>
      <w:r w:rsidR="00EC6225" w:rsidRPr="008F1795">
        <w:rPr>
          <w:lang w:val="tr-TR"/>
        </w:rPr>
        <w:t>fıkra</w:t>
      </w:r>
      <w:r w:rsidR="00934065" w:rsidRPr="008F1795">
        <w:rPr>
          <w:lang w:val="tr-TR"/>
        </w:rPr>
        <w:t>lar</w:t>
      </w:r>
      <w:r w:rsidR="00F96DC8">
        <w:rPr>
          <w:lang w:val="tr-TR"/>
        </w:rPr>
        <w:t>ı</w:t>
      </w:r>
      <w:proofErr w:type="gramEnd"/>
      <w:r w:rsidR="00934065" w:rsidRPr="008F1795">
        <w:rPr>
          <w:lang w:val="tr-TR"/>
        </w:rPr>
        <w:t xml:space="preserve">) ile birlikte uygulanmıştır. </w:t>
      </w:r>
      <w:r w:rsidR="00DC6D00" w:rsidRPr="008F1795">
        <w:rPr>
          <w:lang w:val="tr-TR"/>
        </w:rPr>
        <w:t xml:space="preserve">220. </w:t>
      </w:r>
      <w:r w:rsidR="00241305" w:rsidRPr="008F1795">
        <w:rPr>
          <w:lang w:val="tr-TR"/>
        </w:rPr>
        <w:t>Madde</w:t>
      </w:r>
      <w:r w:rsidR="00DC6D00" w:rsidRPr="008F1795">
        <w:rPr>
          <w:lang w:val="tr-TR"/>
        </w:rPr>
        <w:t xml:space="preserve"> aşağıdaki gibidir: </w:t>
      </w:r>
    </w:p>
    <w:p w14:paraId="22F28442" w14:textId="77777777" w:rsidR="00611109" w:rsidRPr="008F1795" w:rsidRDefault="00611109" w:rsidP="00611109">
      <w:pPr>
        <w:pStyle w:val="ListeParagraf"/>
        <w:tabs>
          <w:tab w:val="left" w:pos="804"/>
        </w:tabs>
        <w:jc w:val="left"/>
        <w:rPr>
          <w:lang w:val="tr-TR"/>
        </w:rPr>
      </w:pPr>
    </w:p>
    <w:p w14:paraId="156FE9DC" w14:textId="7DA51C65" w:rsidR="00B74CEA" w:rsidRPr="008F1795" w:rsidRDefault="006C7A51">
      <w:pPr>
        <w:pStyle w:val="ListeParagraf"/>
        <w:numPr>
          <w:ilvl w:val="1"/>
          <w:numId w:val="4"/>
        </w:numPr>
        <w:tabs>
          <w:tab w:val="left" w:pos="1639"/>
        </w:tabs>
        <w:spacing w:before="94"/>
        <w:ind w:right="214" w:firstLine="0"/>
        <w:rPr>
          <w:i/>
          <w:lang w:val="tr-TR"/>
        </w:rPr>
      </w:pPr>
      <w:r w:rsidRPr="008F1795">
        <w:rPr>
          <w:i/>
          <w:lang w:val="tr-TR"/>
        </w:rPr>
        <w:t>Kanunun suç saydığı fiilleri işlemek amacıyla örgüt kuranlar veya yönetenler, örgütün yapısı, sahip bulunduğu üye sayısı ile araç ve gereç bakımından amaç suçları işlemeye elverişli olması halinde, dört yıldan sekiz yıla kadar hapis cezası ile cezalandırılır. Ancak, örgütün varlığı için üye sayısının en az üç kişi olması gerekir.</w:t>
      </w:r>
    </w:p>
    <w:p w14:paraId="016B501A" w14:textId="77777777" w:rsidR="00B74CEA" w:rsidRPr="008F1795" w:rsidRDefault="00B74CEA">
      <w:pPr>
        <w:pStyle w:val="GvdeMetni"/>
        <w:rPr>
          <w:i/>
          <w:lang w:val="tr-TR"/>
        </w:rPr>
      </w:pPr>
    </w:p>
    <w:p w14:paraId="18A8AEF6" w14:textId="5742DFF0" w:rsidR="00A174A4" w:rsidRPr="008F1795" w:rsidRDefault="00A174A4">
      <w:pPr>
        <w:pStyle w:val="ListeParagraf"/>
        <w:numPr>
          <w:ilvl w:val="1"/>
          <w:numId w:val="4"/>
        </w:numPr>
        <w:tabs>
          <w:tab w:val="left" w:pos="1639"/>
        </w:tabs>
        <w:ind w:firstLine="0"/>
        <w:rPr>
          <w:i/>
          <w:lang w:val="tr-TR"/>
        </w:rPr>
      </w:pPr>
      <w:r w:rsidRPr="008F1795">
        <w:rPr>
          <w:i/>
          <w:lang w:val="tr-TR"/>
        </w:rPr>
        <w:t>Suç işlemek amacıyla kurulmuş olan örgüte üye olanlar, iki yıldan dört yıla kadar hapis cezası ile cezalandırılır.</w:t>
      </w:r>
    </w:p>
    <w:p w14:paraId="12FB8A06" w14:textId="77777777" w:rsidR="00A174A4" w:rsidRPr="008F1795" w:rsidRDefault="00A174A4" w:rsidP="00A174A4">
      <w:pPr>
        <w:pStyle w:val="ListeParagraf"/>
        <w:tabs>
          <w:tab w:val="left" w:pos="1639"/>
        </w:tabs>
        <w:ind w:left="918"/>
        <w:jc w:val="left"/>
        <w:rPr>
          <w:i/>
          <w:lang w:val="tr-TR"/>
        </w:rPr>
      </w:pPr>
    </w:p>
    <w:p w14:paraId="32F64849" w14:textId="513739CA" w:rsidR="00B74CEA" w:rsidRPr="008F1795" w:rsidRDefault="00BF088A">
      <w:pPr>
        <w:pStyle w:val="ListeParagraf"/>
        <w:numPr>
          <w:ilvl w:val="1"/>
          <w:numId w:val="4"/>
        </w:numPr>
        <w:tabs>
          <w:tab w:val="left" w:pos="1639"/>
        </w:tabs>
        <w:ind w:right="220" w:firstLine="0"/>
        <w:rPr>
          <w:i/>
          <w:lang w:val="tr-TR"/>
        </w:rPr>
      </w:pPr>
      <w:r w:rsidRPr="008F1795">
        <w:rPr>
          <w:i/>
          <w:lang w:val="tr-TR"/>
        </w:rPr>
        <w:t xml:space="preserve">Örgütün silahlı olması halinde, yukarıdaki </w:t>
      </w:r>
      <w:r w:rsidR="00EC6225" w:rsidRPr="008F1795">
        <w:rPr>
          <w:i/>
          <w:lang w:val="tr-TR"/>
        </w:rPr>
        <w:t>fıkra</w:t>
      </w:r>
      <w:r w:rsidRPr="008F1795">
        <w:rPr>
          <w:i/>
          <w:lang w:val="tr-TR"/>
        </w:rPr>
        <w:t>lara göre verilecek ceza dörtte birinden yarısına kadar artırılır</w:t>
      </w:r>
      <w:r w:rsidR="00BE381E" w:rsidRPr="008F1795">
        <w:rPr>
          <w:i/>
          <w:lang w:val="tr-TR"/>
        </w:rPr>
        <w:t>.</w:t>
      </w:r>
    </w:p>
    <w:p w14:paraId="2D3FDAAF" w14:textId="77777777" w:rsidR="00B74CEA" w:rsidRPr="008F1795" w:rsidRDefault="00B74CEA">
      <w:pPr>
        <w:pStyle w:val="GvdeMetni"/>
        <w:rPr>
          <w:i/>
          <w:lang w:val="tr-TR"/>
        </w:rPr>
      </w:pPr>
    </w:p>
    <w:p w14:paraId="553251CD" w14:textId="1D2575D6" w:rsidR="007867FB" w:rsidRPr="008F1795" w:rsidRDefault="007867FB">
      <w:pPr>
        <w:pStyle w:val="ListeParagraf"/>
        <w:numPr>
          <w:ilvl w:val="1"/>
          <w:numId w:val="4"/>
        </w:numPr>
        <w:tabs>
          <w:tab w:val="left" w:pos="1639"/>
        </w:tabs>
        <w:ind w:right="219" w:firstLine="0"/>
        <w:rPr>
          <w:i/>
          <w:lang w:val="tr-TR"/>
        </w:rPr>
      </w:pPr>
      <w:r w:rsidRPr="008F1795">
        <w:rPr>
          <w:i/>
          <w:lang w:val="tr-TR"/>
        </w:rPr>
        <w:t>Örgütün faaliyeti çerçevesinde suç işlenmesi halinde, ayrıca bu suçlardan dolayı da cezaya hükmolunur</w:t>
      </w:r>
    </w:p>
    <w:p w14:paraId="6BEFE5D6" w14:textId="77777777" w:rsidR="007867FB" w:rsidRPr="008F1795" w:rsidRDefault="007867FB" w:rsidP="007867FB">
      <w:pPr>
        <w:pStyle w:val="ListeParagraf"/>
        <w:tabs>
          <w:tab w:val="left" w:pos="1639"/>
        </w:tabs>
        <w:ind w:left="918" w:right="219"/>
        <w:jc w:val="left"/>
        <w:rPr>
          <w:i/>
          <w:lang w:val="tr-TR"/>
        </w:rPr>
      </w:pPr>
    </w:p>
    <w:p w14:paraId="5EAD00A0" w14:textId="61832DC2" w:rsidR="00C706AD" w:rsidRPr="008F1795" w:rsidRDefault="00C706AD">
      <w:pPr>
        <w:pStyle w:val="ListeParagraf"/>
        <w:numPr>
          <w:ilvl w:val="1"/>
          <w:numId w:val="4"/>
        </w:numPr>
        <w:tabs>
          <w:tab w:val="left" w:pos="1639"/>
        </w:tabs>
        <w:ind w:right="218" w:firstLine="0"/>
        <w:rPr>
          <w:i/>
          <w:lang w:val="tr-TR"/>
        </w:rPr>
      </w:pPr>
      <w:r w:rsidRPr="008F1795">
        <w:rPr>
          <w:i/>
          <w:lang w:val="tr-TR"/>
        </w:rPr>
        <w:lastRenderedPageBreak/>
        <w:t>Örgüt yöneticileri, örgütün faaliyeti çerçevesinde işlenen bütün suçlardan dolayı ayrıca fail olarak cezalandırılır</w:t>
      </w:r>
    </w:p>
    <w:p w14:paraId="00431F2E" w14:textId="77777777" w:rsidR="00C706AD" w:rsidRPr="008F1795" w:rsidRDefault="00C706AD" w:rsidP="00C706AD">
      <w:pPr>
        <w:pStyle w:val="ListeParagraf"/>
        <w:tabs>
          <w:tab w:val="left" w:pos="1639"/>
        </w:tabs>
        <w:ind w:left="918" w:right="218"/>
        <w:jc w:val="left"/>
        <w:rPr>
          <w:i/>
          <w:lang w:val="tr-TR"/>
        </w:rPr>
      </w:pPr>
    </w:p>
    <w:p w14:paraId="3B691E18" w14:textId="7B7AEA21" w:rsidR="00164E8E" w:rsidRPr="008F1795" w:rsidRDefault="00265C37">
      <w:pPr>
        <w:pStyle w:val="ListeParagraf"/>
        <w:numPr>
          <w:ilvl w:val="1"/>
          <w:numId w:val="4"/>
        </w:numPr>
        <w:tabs>
          <w:tab w:val="left" w:pos="1639"/>
        </w:tabs>
        <w:ind w:right="214" w:firstLine="0"/>
        <w:rPr>
          <w:i/>
          <w:lang w:val="tr-TR"/>
        </w:rPr>
      </w:pPr>
      <w:r w:rsidRPr="008F1795">
        <w:rPr>
          <w:i/>
          <w:lang w:val="tr-TR"/>
        </w:rPr>
        <w:t>(Değişik: 2/7/2012 – 6352</w:t>
      </w:r>
      <w:r w:rsidR="006040D6" w:rsidRPr="008F1795">
        <w:rPr>
          <w:i/>
          <w:lang w:val="tr-TR"/>
        </w:rPr>
        <w:t xml:space="preserve"> sayılı Kanunun </w:t>
      </w:r>
      <w:r w:rsidRPr="008F1795">
        <w:rPr>
          <w:i/>
          <w:lang w:val="tr-TR"/>
        </w:rPr>
        <w:t>85</w:t>
      </w:r>
      <w:r w:rsidR="006040D6" w:rsidRPr="008F1795">
        <w:rPr>
          <w:i/>
          <w:lang w:val="tr-TR"/>
        </w:rPr>
        <w:t>.</w:t>
      </w:r>
      <w:r w:rsidRPr="008F1795">
        <w:rPr>
          <w:i/>
          <w:lang w:val="tr-TR"/>
        </w:rPr>
        <w:t xml:space="preserve"> </w:t>
      </w:r>
      <w:r w:rsidR="00241305" w:rsidRPr="008F1795">
        <w:rPr>
          <w:i/>
          <w:lang w:val="tr-TR"/>
        </w:rPr>
        <w:t>madde</w:t>
      </w:r>
      <w:r w:rsidR="006040D6" w:rsidRPr="008F1795">
        <w:rPr>
          <w:i/>
          <w:lang w:val="tr-TR"/>
        </w:rPr>
        <w:t>si</w:t>
      </w:r>
      <w:r w:rsidRPr="008F1795">
        <w:rPr>
          <w:i/>
          <w:lang w:val="tr-TR"/>
        </w:rPr>
        <w:t>) Örgüte üye olmamakla birlikte örgüt adına suç işleyen kişi, ayrıca örgüte üye olmak suçundan da cezalandırılır. Örgüte üye olmak suçundan dolayı verilecek ceza yarısına kadar indirilebilir.(Ek cümle: 11/4/2013-6459</w:t>
      </w:r>
      <w:r w:rsidR="00B02409" w:rsidRPr="008F1795">
        <w:rPr>
          <w:i/>
          <w:lang w:val="tr-TR"/>
        </w:rPr>
        <w:t xml:space="preserve"> sayılı Kanunun </w:t>
      </w:r>
      <w:r w:rsidRPr="008F1795">
        <w:rPr>
          <w:i/>
          <w:lang w:val="tr-TR"/>
        </w:rPr>
        <w:t xml:space="preserve">11 </w:t>
      </w:r>
      <w:r w:rsidR="00241305" w:rsidRPr="008F1795">
        <w:rPr>
          <w:i/>
          <w:lang w:val="tr-TR"/>
        </w:rPr>
        <w:t>madde</w:t>
      </w:r>
      <w:r w:rsidR="00B02409" w:rsidRPr="008F1795">
        <w:rPr>
          <w:i/>
          <w:lang w:val="tr-TR"/>
        </w:rPr>
        <w:t>si</w:t>
      </w:r>
      <w:r w:rsidRPr="008F1795">
        <w:rPr>
          <w:i/>
          <w:lang w:val="tr-TR"/>
        </w:rPr>
        <w:t xml:space="preserve">) Bu </w:t>
      </w:r>
      <w:r w:rsidR="00EC6225" w:rsidRPr="008F1795">
        <w:rPr>
          <w:i/>
          <w:lang w:val="tr-TR"/>
        </w:rPr>
        <w:t>fıkra</w:t>
      </w:r>
      <w:r w:rsidRPr="008F1795">
        <w:rPr>
          <w:i/>
          <w:lang w:val="tr-TR"/>
        </w:rPr>
        <w:t xml:space="preserve"> hükmü sadece silahlı örgütler hakkında uygulanır.</w:t>
      </w:r>
    </w:p>
    <w:p w14:paraId="043791CE" w14:textId="77777777" w:rsidR="00164E8E" w:rsidRPr="008F1795" w:rsidRDefault="00164E8E" w:rsidP="00164E8E">
      <w:pPr>
        <w:pStyle w:val="ListeParagraf"/>
        <w:tabs>
          <w:tab w:val="left" w:pos="1639"/>
        </w:tabs>
        <w:ind w:left="918" w:right="214"/>
        <w:jc w:val="left"/>
        <w:rPr>
          <w:i/>
          <w:lang w:val="tr-TR"/>
        </w:rPr>
      </w:pPr>
    </w:p>
    <w:p w14:paraId="5D0ABDDC" w14:textId="64301D4E" w:rsidR="008339C2" w:rsidRPr="008F1795" w:rsidRDefault="008339C2">
      <w:pPr>
        <w:pStyle w:val="ListeParagraf"/>
        <w:numPr>
          <w:ilvl w:val="1"/>
          <w:numId w:val="4"/>
        </w:numPr>
        <w:tabs>
          <w:tab w:val="left" w:pos="1639"/>
        </w:tabs>
        <w:ind w:right="214" w:firstLine="0"/>
        <w:rPr>
          <w:i/>
          <w:lang w:val="tr-TR"/>
        </w:rPr>
      </w:pPr>
      <w:r w:rsidRPr="008F1795">
        <w:rPr>
          <w:i/>
          <w:lang w:val="tr-TR"/>
        </w:rPr>
        <w:t xml:space="preserve">(Değişik: 2/7/2012 – </w:t>
      </w:r>
      <w:r w:rsidR="00684CC7" w:rsidRPr="008F1795">
        <w:rPr>
          <w:i/>
          <w:lang w:val="tr-TR"/>
        </w:rPr>
        <w:t xml:space="preserve">6352 sayılı Kanunun 85. </w:t>
      </w:r>
      <w:r w:rsidR="00241305" w:rsidRPr="008F1795">
        <w:rPr>
          <w:i/>
          <w:lang w:val="tr-TR"/>
        </w:rPr>
        <w:t>madde</w:t>
      </w:r>
      <w:r w:rsidR="00684CC7" w:rsidRPr="008F1795">
        <w:rPr>
          <w:i/>
          <w:lang w:val="tr-TR"/>
        </w:rPr>
        <w:t>si</w:t>
      </w:r>
      <w:r w:rsidRPr="008F1795">
        <w:rPr>
          <w:i/>
          <w:lang w:val="tr-TR"/>
        </w:rPr>
        <w:t>) Örgüt içindeki hiyerarşik yapıya dahil olmamakla birlikte, örgüte bilerek ve isteyerek yardım eden kişi, örgüt üyesi olarak cezalandırılır. Örgüt üyeliğinden dolayı verilecek ceza, yapılan yardımın niteliğine göre üçte birine kadar indirilebilir.</w:t>
      </w:r>
    </w:p>
    <w:p w14:paraId="47A3C74D" w14:textId="77777777" w:rsidR="008339C2" w:rsidRPr="008F1795" w:rsidRDefault="008339C2" w:rsidP="008339C2">
      <w:pPr>
        <w:pStyle w:val="ListeParagraf"/>
        <w:tabs>
          <w:tab w:val="left" w:pos="1639"/>
        </w:tabs>
        <w:ind w:left="918" w:right="214"/>
        <w:jc w:val="left"/>
        <w:rPr>
          <w:i/>
          <w:lang w:val="tr-TR"/>
        </w:rPr>
      </w:pPr>
    </w:p>
    <w:p w14:paraId="21B82AB0" w14:textId="02E3EE5D" w:rsidR="00BD0045" w:rsidRPr="008F1795" w:rsidRDefault="00BD0045">
      <w:pPr>
        <w:pStyle w:val="ListeParagraf"/>
        <w:numPr>
          <w:ilvl w:val="1"/>
          <w:numId w:val="4"/>
        </w:numPr>
        <w:tabs>
          <w:tab w:val="left" w:pos="1639"/>
        </w:tabs>
        <w:ind w:right="216" w:firstLine="0"/>
        <w:rPr>
          <w:i/>
          <w:lang w:val="tr-TR"/>
        </w:rPr>
      </w:pPr>
      <w:r w:rsidRPr="008F1795">
        <w:rPr>
          <w:i/>
          <w:lang w:val="tr-TR"/>
        </w:rPr>
        <w:t>Örgütün cebir, şiddet veya tehdit içeren yöntemlerini meşru gösterecek veya övecek ya da bu yöntemlere başvurmayı teşvik edecek şekilde propagandasını yapan kişi, bir yıldan üç yıla kadar hapis cezası ile cezalandırılır. Bu suçun basın ve yayın yolu ile işlenmesi halinde, verilecek ceza yarı oranında artırılır</w:t>
      </w:r>
      <w:r w:rsidR="007B51AC" w:rsidRPr="008F1795">
        <w:rPr>
          <w:i/>
          <w:lang w:val="tr-TR"/>
        </w:rPr>
        <w:t>.</w:t>
      </w:r>
      <w:r w:rsidR="007B51AC" w:rsidRPr="008F1795">
        <w:rPr>
          <w:rStyle w:val="DipnotBavurusu"/>
          <w:i/>
          <w:lang w:val="tr-TR"/>
        </w:rPr>
        <w:footnoteReference w:id="3"/>
      </w:r>
    </w:p>
    <w:p w14:paraId="106FFEFF" w14:textId="77777777" w:rsidR="00BD0045" w:rsidRPr="008F1795" w:rsidRDefault="00BD0045" w:rsidP="00BD0045">
      <w:pPr>
        <w:pStyle w:val="ListeParagraf"/>
        <w:tabs>
          <w:tab w:val="left" w:pos="1639"/>
        </w:tabs>
        <w:ind w:left="918" w:right="216"/>
        <w:jc w:val="left"/>
        <w:rPr>
          <w:i/>
          <w:lang w:val="tr-TR"/>
        </w:rPr>
      </w:pPr>
    </w:p>
    <w:p w14:paraId="697578D5" w14:textId="77777777" w:rsidR="00B74CEA" w:rsidRPr="008F1795" w:rsidRDefault="00B74CEA">
      <w:pPr>
        <w:pStyle w:val="GvdeMetni"/>
        <w:spacing w:before="9"/>
        <w:rPr>
          <w:i/>
          <w:sz w:val="21"/>
          <w:lang w:val="tr-TR"/>
        </w:rPr>
      </w:pPr>
    </w:p>
    <w:p w14:paraId="5AA965C2" w14:textId="17DD09B5" w:rsidR="00B74CEA" w:rsidRPr="008F1795" w:rsidRDefault="0039702E">
      <w:pPr>
        <w:pStyle w:val="Balk1"/>
        <w:numPr>
          <w:ilvl w:val="0"/>
          <w:numId w:val="5"/>
        </w:numPr>
        <w:tabs>
          <w:tab w:val="left" w:pos="919"/>
        </w:tabs>
        <w:ind w:hanging="721"/>
        <w:jc w:val="both"/>
        <w:rPr>
          <w:lang w:val="tr-TR"/>
        </w:rPr>
      </w:pPr>
      <w:bookmarkStart w:id="2" w:name="_bookmark2"/>
      <w:bookmarkEnd w:id="2"/>
      <w:r w:rsidRPr="008F1795">
        <w:rPr>
          <w:lang w:val="tr-TR"/>
        </w:rPr>
        <w:t xml:space="preserve">Uluslararası </w:t>
      </w:r>
      <w:r w:rsidR="00684CC7" w:rsidRPr="008F1795">
        <w:rPr>
          <w:lang w:val="tr-TR"/>
        </w:rPr>
        <w:t xml:space="preserve">ve Avrupa İnsan Hakları Standartları </w:t>
      </w:r>
    </w:p>
    <w:p w14:paraId="2FB1B046" w14:textId="77777777" w:rsidR="00B74CEA" w:rsidRPr="008F1795" w:rsidRDefault="00B74CEA">
      <w:pPr>
        <w:pStyle w:val="GvdeMetni"/>
        <w:spacing w:before="1"/>
        <w:rPr>
          <w:b/>
          <w:lang w:val="tr-TR"/>
        </w:rPr>
      </w:pPr>
    </w:p>
    <w:p w14:paraId="4EC43D61" w14:textId="586774F9" w:rsidR="00B74CEA" w:rsidRPr="008F1795" w:rsidRDefault="00684CC7">
      <w:pPr>
        <w:pStyle w:val="Balk1"/>
        <w:numPr>
          <w:ilvl w:val="1"/>
          <w:numId w:val="5"/>
        </w:numPr>
        <w:tabs>
          <w:tab w:val="left" w:pos="1332"/>
        </w:tabs>
        <w:ind w:hanging="426"/>
        <w:jc w:val="both"/>
        <w:rPr>
          <w:lang w:val="tr-TR"/>
        </w:rPr>
      </w:pPr>
      <w:bookmarkStart w:id="3" w:name="_bookmark3"/>
      <w:bookmarkEnd w:id="3"/>
      <w:r w:rsidRPr="008F1795">
        <w:rPr>
          <w:lang w:val="tr-TR"/>
        </w:rPr>
        <w:t>İfade Özgürlüğü</w:t>
      </w:r>
    </w:p>
    <w:p w14:paraId="597384CF" w14:textId="77777777" w:rsidR="00B74CEA" w:rsidRPr="008F1795" w:rsidRDefault="00B74CEA">
      <w:pPr>
        <w:pStyle w:val="GvdeMetni"/>
        <w:spacing w:before="3"/>
        <w:rPr>
          <w:b/>
          <w:lang w:val="tr-TR"/>
        </w:rPr>
      </w:pPr>
    </w:p>
    <w:p w14:paraId="715A3FE8" w14:textId="1630D212" w:rsidR="00D03598" w:rsidRPr="008F1795" w:rsidRDefault="000B3203" w:rsidP="007B10BE">
      <w:pPr>
        <w:pStyle w:val="ListeParagraf"/>
        <w:numPr>
          <w:ilvl w:val="0"/>
          <w:numId w:val="4"/>
        </w:numPr>
        <w:tabs>
          <w:tab w:val="left" w:pos="645"/>
        </w:tabs>
        <w:ind w:right="221" w:hanging="56"/>
        <w:rPr>
          <w:lang w:val="tr-TR"/>
        </w:rPr>
      </w:pPr>
      <w:r w:rsidRPr="008F1795">
        <w:rPr>
          <w:lang w:val="tr-TR"/>
        </w:rPr>
        <w:t xml:space="preserve">Türkiye, Medeni ve Siyasi Haklara İlişkin Uluslararası Sözleşme (ICCPR) </w:t>
      </w:r>
      <w:r w:rsidR="00806E02" w:rsidRPr="008F1795">
        <w:rPr>
          <w:lang w:val="tr-TR"/>
        </w:rPr>
        <w:t xml:space="preserve">ve İnsan Hakları ve Temel Özgürlüklerin Korunmasına İlişkin </w:t>
      </w:r>
      <w:r w:rsidR="00DF5E66" w:rsidRPr="008F1795">
        <w:rPr>
          <w:lang w:val="tr-TR"/>
        </w:rPr>
        <w:t xml:space="preserve">Avrupa </w:t>
      </w:r>
      <w:r w:rsidR="00806E02" w:rsidRPr="008F1795">
        <w:rPr>
          <w:lang w:val="tr-TR"/>
        </w:rPr>
        <w:t>Sözleşme</w:t>
      </w:r>
      <w:r w:rsidR="00DF5E66" w:rsidRPr="008F1795">
        <w:rPr>
          <w:lang w:val="tr-TR"/>
        </w:rPr>
        <w:t>si</w:t>
      </w:r>
      <w:r w:rsidR="00236B66" w:rsidRPr="008F1795">
        <w:rPr>
          <w:lang w:val="tr-TR"/>
        </w:rPr>
        <w:t xml:space="preserve"> </w:t>
      </w:r>
      <w:r w:rsidR="00806E02" w:rsidRPr="008F1795">
        <w:rPr>
          <w:lang w:val="tr-TR"/>
        </w:rPr>
        <w:t>(</w:t>
      </w:r>
      <w:r w:rsidR="00C86736" w:rsidRPr="008F1795">
        <w:rPr>
          <w:lang w:val="tr-TR"/>
        </w:rPr>
        <w:t>AİHS</w:t>
      </w:r>
      <w:r w:rsidR="00806E02" w:rsidRPr="008F1795">
        <w:rPr>
          <w:lang w:val="tr-TR"/>
        </w:rPr>
        <w:t>)</w:t>
      </w:r>
      <w:r w:rsidR="008D2469" w:rsidRPr="008F1795">
        <w:rPr>
          <w:lang w:val="tr-TR"/>
        </w:rPr>
        <w:t xml:space="preserve"> dahil</w:t>
      </w:r>
      <w:r w:rsidR="007B10BE" w:rsidRPr="008F1795">
        <w:rPr>
          <w:lang w:val="tr-TR"/>
        </w:rPr>
        <w:t xml:space="preserve">, </w:t>
      </w:r>
      <w:r w:rsidR="008D2469" w:rsidRPr="008F1795">
        <w:rPr>
          <w:lang w:val="tr-TR"/>
        </w:rPr>
        <w:t xml:space="preserve">tüm önemli uluslararası insan hakları belgelerine Taraf Devlettir. </w:t>
      </w:r>
    </w:p>
    <w:p w14:paraId="342C6F01" w14:textId="77777777" w:rsidR="00D03598" w:rsidRPr="008F1795" w:rsidRDefault="00D03598" w:rsidP="00D03598">
      <w:pPr>
        <w:pStyle w:val="ListeParagraf"/>
        <w:tabs>
          <w:tab w:val="left" w:pos="645"/>
        </w:tabs>
        <w:ind w:right="221"/>
        <w:jc w:val="left"/>
        <w:rPr>
          <w:lang w:val="tr-TR"/>
        </w:rPr>
      </w:pPr>
    </w:p>
    <w:p w14:paraId="2DA661D3" w14:textId="14C983F8" w:rsidR="00013957" w:rsidRPr="008F1795" w:rsidRDefault="00013957">
      <w:pPr>
        <w:pStyle w:val="ListeParagraf"/>
        <w:numPr>
          <w:ilvl w:val="0"/>
          <w:numId w:val="4"/>
        </w:numPr>
        <w:tabs>
          <w:tab w:val="left" w:pos="727"/>
        </w:tabs>
        <w:ind w:right="224" w:firstLine="0"/>
        <w:rPr>
          <w:lang w:val="tr-TR"/>
        </w:rPr>
      </w:pPr>
      <w:r w:rsidRPr="008F1795">
        <w:rPr>
          <w:lang w:val="tr-TR"/>
        </w:rPr>
        <w:t xml:space="preserve">İfade özgürlüğü, Evrensel İnsan </w:t>
      </w:r>
      <w:r w:rsidR="00855194" w:rsidRPr="008F1795">
        <w:rPr>
          <w:lang w:val="tr-TR"/>
        </w:rPr>
        <w:t>H</w:t>
      </w:r>
      <w:r w:rsidRPr="008F1795">
        <w:rPr>
          <w:lang w:val="tr-TR"/>
        </w:rPr>
        <w:t xml:space="preserve">akları </w:t>
      </w:r>
      <w:r w:rsidR="00855194" w:rsidRPr="008F1795">
        <w:rPr>
          <w:lang w:val="tr-TR"/>
        </w:rPr>
        <w:t>B</w:t>
      </w:r>
      <w:r w:rsidRPr="008F1795">
        <w:rPr>
          <w:lang w:val="tr-TR"/>
        </w:rPr>
        <w:t>ildirgesin</w:t>
      </w:r>
      <w:r w:rsidR="00CE1A35">
        <w:rPr>
          <w:lang w:val="tr-TR"/>
        </w:rPr>
        <w:t>in</w:t>
      </w:r>
      <w:r w:rsidRPr="008F1795">
        <w:rPr>
          <w:lang w:val="tr-TR"/>
        </w:rPr>
        <w:t xml:space="preserve"> 19. </w:t>
      </w:r>
      <w:r w:rsidR="00241305" w:rsidRPr="008F1795">
        <w:rPr>
          <w:lang w:val="tr-TR"/>
        </w:rPr>
        <w:t>Madde</w:t>
      </w:r>
      <w:r w:rsidR="00FF5E8D" w:rsidRPr="008F1795">
        <w:rPr>
          <w:lang w:val="tr-TR"/>
        </w:rPr>
        <w:t>si</w:t>
      </w:r>
      <w:r w:rsidRPr="008F1795">
        <w:rPr>
          <w:lang w:val="tr-TR"/>
        </w:rPr>
        <w:t>, ICCPR</w:t>
      </w:r>
      <w:r w:rsidR="00EF67F0" w:rsidRPr="008F1795">
        <w:rPr>
          <w:lang w:val="tr-TR"/>
        </w:rPr>
        <w:t xml:space="preserve"> 19. </w:t>
      </w:r>
      <w:r w:rsidR="00241305" w:rsidRPr="008F1795">
        <w:rPr>
          <w:lang w:val="tr-TR"/>
        </w:rPr>
        <w:t>Madde</w:t>
      </w:r>
      <w:r w:rsidR="00FF5E8D" w:rsidRPr="008F1795">
        <w:rPr>
          <w:lang w:val="tr-TR"/>
        </w:rPr>
        <w:t>si</w:t>
      </w:r>
      <w:r w:rsidR="00EF67F0" w:rsidRPr="008F1795">
        <w:rPr>
          <w:lang w:val="tr-TR"/>
        </w:rPr>
        <w:t xml:space="preserve"> ve </w:t>
      </w:r>
      <w:r w:rsidR="00BA5AB8" w:rsidRPr="008F1795">
        <w:rPr>
          <w:lang w:val="tr-TR"/>
        </w:rPr>
        <w:t xml:space="preserve">AİHS </w:t>
      </w:r>
      <w:r w:rsidR="00EF67F0" w:rsidRPr="008F1795">
        <w:rPr>
          <w:lang w:val="tr-TR"/>
        </w:rPr>
        <w:t xml:space="preserve">10. </w:t>
      </w:r>
      <w:r w:rsidR="00241305" w:rsidRPr="008F1795">
        <w:rPr>
          <w:lang w:val="tr-TR"/>
        </w:rPr>
        <w:t>Madde</w:t>
      </w:r>
      <w:r w:rsidR="00FF5E8D" w:rsidRPr="008F1795">
        <w:rPr>
          <w:lang w:val="tr-TR"/>
        </w:rPr>
        <w:t>si</w:t>
      </w:r>
      <w:r w:rsidR="00EF67F0" w:rsidRPr="008F1795">
        <w:rPr>
          <w:lang w:val="tr-TR"/>
        </w:rPr>
        <w:t xml:space="preserve"> ile güvence </w:t>
      </w:r>
      <w:r w:rsidR="001B08CB" w:rsidRPr="008F1795">
        <w:rPr>
          <w:lang w:val="tr-TR"/>
        </w:rPr>
        <w:t xml:space="preserve">altına </w:t>
      </w:r>
      <w:r w:rsidR="00855194" w:rsidRPr="008F1795">
        <w:rPr>
          <w:lang w:val="tr-TR"/>
        </w:rPr>
        <w:t xml:space="preserve">alınmıştır. </w:t>
      </w:r>
    </w:p>
    <w:p w14:paraId="20A6F0D4" w14:textId="77777777" w:rsidR="00013957" w:rsidRPr="008F1795" w:rsidRDefault="00013957" w:rsidP="00013957">
      <w:pPr>
        <w:pStyle w:val="ListeParagraf"/>
        <w:tabs>
          <w:tab w:val="left" w:pos="727"/>
        </w:tabs>
        <w:ind w:right="224"/>
        <w:jc w:val="left"/>
        <w:rPr>
          <w:lang w:val="tr-TR"/>
        </w:rPr>
      </w:pPr>
    </w:p>
    <w:p w14:paraId="46F2B0B6" w14:textId="21F00E46" w:rsidR="00AC4D9C" w:rsidRPr="008F1795" w:rsidRDefault="00FF3E74" w:rsidP="00FE3334">
      <w:pPr>
        <w:pStyle w:val="ListeParagraf"/>
        <w:numPr>
          <w:ilvl w:val="0"/>
          <w:numId w:val="4"/>
        </w:numPr>
        <w:tabs>
          <w:tab w:val="left" w:pos="658"/>
        </w:tabs>
        <w:spacing w:before="110"/>
        <w:ind w:right="214" w:firstLine="0"/>
        <w:rPr>
          <w:lang w:val="tr-TR"/>
        </w:rPr>
      </w:pPr>
      <w:r w:rsidRPr="008F1795">
        <w:rPr>
          <w:lang w:val="tr-TR"/>
        </w:rPr>
        <w:t xml:space="preserve">İfade özgürlüğünün kullanımı kısıtlamalara tabi olabilir. Bu kısıtlamaların, </w:t>
      </w:r>
      <w:r w:rsidR="00BA5AB8" w:rsidRPr="008F1795">
        <w:rPr>
          <w:lang w:val="tr-TR"/>
        </w:rPr>
        <w:t xml:space="preserve">AİHS </w:t>
      </w:r>
      <w:r w:rsidRPr="008F1795">
        <w:rPr>
          <w:lang w:val="tr-TR"/>
        </w:rPr>
        <w:t>10(2)</w:t>
      </w:r>
      <w:r w:rsidR="00C51275" w:rsidRPr="008F1795">
        <w:rPr>
          <w:lang w:val="tr-TR"/>
        </w:rPr>
        <w:t>.</w:t>
      </w:r>
      <w:r w:rsidR="00F016DF" w:rsidRPr="008F1795">
        <w:rPr>
          <w:lang w:val="tr-TR"/>
        </w:rPr>
        <w:t xml:space="preserve"> </w:t>
      </w:r>
      <w:r w:rsidR="00241305" w:rsidRPr="008F1795">
        <w:rPr>
          <w:lang w:val="tr-TR"/>
        </w:rPr>
        <w:t>Madde</w:t>
      </w:r>
      <w:r w:rsidR="00FF5E8D" w:rsidRPr="008F1795">
        <w:rPr>
          <w:lang w:val="tr-TR"/>
        </w:rPr>
        <w:t>si</w:t>
      </w:r>
      <w:r w:rsidR="00F8343F" w:rsidRPr="008F1795">
        <w:rPr>
          <w:lang w:val="tr-TR"/>
        </w:rPr>
        <w:t xml:space="preserve"> ile ICCPR 19. </w:t>
      </w:r>
      <w:r w:rsidR="00241305" w:rsidRPr="008F1795">
        <w:rPr>
          <w:lang w:val="tr-TR"/>
        </w:rPr>
        <w:t>Madde</w:t>
      </w:r>
      <w:r w:rsidR="00FF5E8D" w:rsidRPr="008F1795">
        <w:rPr>
          <w:lang w:val="tr-TR"/>
        </w:rPr>
        <w:t>si</w:t>
      </w:r>
      <w:r w:rsidR="00F8343F" w:rsidRPr="008F1795">
        <w:rPr>
          <w:lang w:val="tr-TR"/>
        </w:rPr>
        <w:t xml:space="preserve">nin 3. </w:t>
      </w:r>
      <w:r w:rsidR="00EC6225" w:rsidRPr="008F1795">
        <w:rPr>
          <w:lang w:val="tr-TR"/>
        </w:rPr>
        <w:t>fıkra</w:t>
      </w:r>
      <w:r w:rsidR="00F8343F" w:rsidRPr="008F1795">
        <w:rPr>
          <w:lang w:val="tr-TR"/>
        </w:rPr>
        <w:t xml:space="preserve">sının (a) ve (b) </w:t>
      </w:r>
      <w:r w:rsidR="005375CF">
        <w:rPr>
          <w:lang w:val="tr-TR"/>
        </w:rPr>
        <w:t>bentlerinde</w:t>
      </w:r>
      <w:r w:rsidR="00CA5192" w:rsidRPr="008F1795">
        <w:rPr>
          <w:lang w:val="tr-TR"/>
        </w:rPr>
        <w:t xml:space="preserve"> öngörülen şartlara uygun olması gerekmektedir. </w:t>
      </w:r>
      <w:r w:rsidR="00314FDE" w:rsidRPr="008F1795">
        <w:rPr>
          <w:lang w:val="tr-TR"/>
        </w:rPr>
        <w:t>a</w:t>
      </w:r>
      <w:r w:rsidR="00837541" w:rsidRPr="008F1795">
        <w:rPr>
          <w:lang w:val="tr-TR"/>
        </w:rPr>
        <w:t xml:space="preserve">) </w:t>
      </w:r>
      <w:r w:rsidR="002F4554">
        <w:rPr>
          <w:lang w:val="tr-TR"/>
        </w:rPr>
        <w:t>Yasallık</w:t>
      </w:r>
      <w:r w:rsidR="00837541" w:rsidRPr="008F1795">
        <w:rPr>
          <w:lang w:val="tr-TR"/>
        </w:rPr>
        <w:t xml:space="preserve">: </w:t>
      </w:r>
      <w:r w:rsidR="002F3ED6" w:rsidRPr="008F1795">
        <w:rPr>
          <w:lang w:val="tr-TR"/>
        </w:rPr>
        <w:t xml:space="preserve">bu kısıtlamaların </w:t>
      </w:r>
      <w:r w:rsidR="00E6015C" w:rsidRPr="008F1795">
        <w:rPr>
          <w:lang w:val="tr-TR"/>
        </w:rPr>
        <w:t>“kanun” ile</w:t>
      </w:r>
      <w:r w:rsidR="002F3ED6" w:rsidRPr="008F1795">
        <w:rPr>
          <w:lang w:val="tr-TR"/>
        </w:rPr>
        <w:t xml:space="preserve"> öngörülmüş olması</w:t>
      </w:r>
      <w:r w:rsidR="00E6015C" w:rsidRPr="008F1795">
        <w:rPr>
          <w:lang w:val="tr-TR"/>
        </w:rPr>
        <w:t xml:space="preserve"> gerekir (</w:t>
      </w:r>
      <w:r w:rsidR="00BA5AB8" w:rsidRPr="008F1795">
        <w:rPr>
          <w:lang w:val="tr-TR"/>
        </w:rPr>
        <w:t xml:space="preserve">AİHS </w:t>
      </w:r>
      <w:r w:rsidR="00E6015C" w:rsidRPr="008F1795">
        <w:rPr>
          <w:lang w:val="tr-TR"/>
        </w:rPr>
        <w:t xml:space="preserve">10(2). </w:t>
      </w:r>
      <w:r w:rsidR="00241305" w:rsidRPr="008F1795">
        <w:rPr>
          <w:lang w:val="tr-TR"/>
        </w:rPr>
        <w:t>Madde</w:t>
      </w:r>
      <w:r w:rsidR="00E6015C" w:rsidRPr="008F1795">
        <w:rPr>
          <w:lang w:val="tr-TR"/>
        </w:rPr>
        <w:t xml:space="preserve"> ve ICCPR 19. </w:t>
      </w:r>
      <w:r w:rsidR="00241305" w:rsidRPr="008F1795">
        <w:rPr>
          <w:lang w:val="tr-TR"/>
        </w:rPr>
        <w:t>Madde</w:t>
      </w:r>
      <w:r w:rsidR="00E6015C" w:rsidRPr="008F1795">
        <w:rPr>
          <w:lang w:val="tr-TR"/>
        </w:rPr>
        <w:t>)</w:t>
      </w:r>
      <w:r w:rsidR="00314FDE" w:rsidRPr="008F1795">
        <w:rPr>
          <w:lang w:val="tr-TR"/>
        </w:rPr>
        <w:t xml:space="preserve">. </w:t>
      </w:r>
      <w:r w:rsidR="0037454C" w:rsidRPr="008F1795">
        <w:rPr>
          <w:lang w:val="tr-TR"/>
        </w:rPr>
        <w:t>Kanun</w:t>
      </w:r>
      <w:r w:rsidR="000C3538" w:rsidRPr="008F1795">
        <w:rPr>
          <w:lang w:val="tr-TR"/>
        </w:rPr>
        <w:t xml:space="preserve">lar yeterli </w:t>
      </w:r>
      <w:r w:rsidR="00250961" w:rsidRPr="008F1795">
        <w:rPr>
          <w:lang w:val="tr-TR"/>
        </w:rPr>
        <w:t>derecede</w:t>
      </w:r>
      <w:r w:rsidR="000C3538" w:rsidRPr="008F1795">
        <w:rPr>
          <w:lang w:val="tr-TR"/>
        </w:rPr>
        <w:t xml:space="preserve"> erişilebilir ve öngörülebilir olmalıdır</w:t>
      </w:r>
      <w:r w:rsidR="00BF1D83" w:rsidRPr="008F1795">
        <w:rPr>
          <w:lang w:val="tr-TR"/>
        </w:rPr>
        <w:t>, yani</w:t>
      </w:r>
      <w:r w:rsidR="00250961" w:rsidRPr="008F1795">
        <w:rPr>
          <w:lang w:val="tr-TR"/>
        </w:rPr>
        <w:t>, “</w:t>
      </w:r>
      <w:r w:rsidR="00250961" w:rsidRPr="008F1795">
        <w:rPr>
          <w:i/>
          <w:iCs/>
          <w:lang w:val="tr-TR"/>
        </w:rPr>
        <w:t xml:space="preserve">vatandaşın davranışını düzenlemesine </w:t>
      </w:r>
      <w:r w:rsidR="00DC360E" w:rsidRPr="008F1795">
        <w:rPr>
          <w:i/>
          <w:iCs/>
          <w:lang w:val="tr-TR"/>
        </w:rPr>
        <w:t>olanak sağlayacak biçimde</w:t>
      </w:r>
      <w:r w:rsidR="00250961" w:rsidRPr="008F1795">
        <w:rPr>
          <w:i/>
          <w:iCs/>
          <w:lang w:val="tr-TR"/>
        </w:rPr>
        <w:t xml:space="preserve"> </w:t>
      </w:r>
      <w:r w:rsidR="00E83FBA" w:rsidRPr="008F1795">
        <w:rPr>
          <w:i/>
          <w:iCs/>
          <w:lang w:val="tr-TR"/>
        </w:rPr>
        <w:t xml:space="preserve">yeterli </w:t>
      </w:r>
      <w:r w:rsidR="0032563B" w:rsidRPr="008F1795">
        <w:rPr>
          <w:i/>
          <w:iCs/>
          <w:lang w:val="tr-TR"/>
        </w:rPr>
        <w:t>açıklıkta</w:t>
      </w:r>
      <w:r w:rsidR="00E83FBA" w:rsidRPr="008F1795">
        <w:rPr>
          <w:i/>
          <w:iCs/>
          <w:lang w:val="tr-TR"/>
        </w:rPr>
        <w:t xml:space="preserve"> formüle </w:t>
      </w:r>
      <w:r w:rsidR="00BF1D83" w:rsidRPr="008F1795">
        <w:rPr>
          <w:i/>
          <w:iCs/>
          <w:lang w:val="tr-TR"/>
        </w:rPr>
        <w:t>edilmiş</w:t>
      </w:r>
      <w:r w:rsidR="00BF1D83" w:rsidRPr="008F1795">
        <w:rPr>
          <w:lang w:val="tr-TR"/>
        </w:rPr>
        <w:t>”</w:t>
      </w:r>
      <w:r w:rsidR="00642C0F" w:rsidRPr="008F1795">
        <w:rPr>
          <w:rStyle w:val="DipnotBavurusu"/>
          <w:lang w:val="tr-TR"/>
        </w:rPr>
        <w:footnoteReference w:id="4"/>
      </w:r>
      <w:r w:rsidR="00BF1D83" w:rsidRPr="008F1795">
        <w:rPr>
          <w:lang w:val="tr-TR"/>
        </w:rPr>
        <w:t xml:space="preserve"> olmalıdır</w:t>
      </w:r>
      <w:r w:rsidR="0032563B" w:rsidRPr="008F1795">
        <w:rPr>
          <w:lang w:val="tr-TR"/>
        </w:rPr>
        <w:t xml:space="preserve">. </w:t>
      </w:r>
      <w:r w:rsidR="002C3366" w:rsidRPr="008F1795">
        <w:rPr>
          <w:lang w:val="tr-TR"/>
        </w:rPr>
        <w:t>“</w:t>
      </w:r>
      <w:r w:rsidR="00B53E74" w:rsidRPr="008F1795">
        <w:rPr>
          <w:i/>
          <w:iCs/>
          <w:lang w:val="tr-TR"/>
        </w:rPr>
        <w:t>Kamu makamlarının Sözleşme</w:t>
      </w:r>
      <w:r w:rsidR="00BA5AB8" w:rsidRPr="008F1795">
        <w:rPr>
          <w:i/>
          <w:iCs/>
          <w:lang w:val="tr-TR"/>
        </w:rPr>
        <w:t xml:space="preserve"> ile</w:t>
      </w:r>
      <w:r w:rsidR="00B53E74" w:rsidRPr="008F1795">
        <w:rPr>
          <w:i/>
          <w:iCs/>
          <w:lang w:val="tr-TR"/>
        </w:rPr>
        <w:t xml:space="preserve"> güvence altına </w:t>
      </w:r>
      <w:r w:rsidR="00BA5AB8" w:rsidRPr="008F1795">
        <w:rPr>
          <w:i/>
          <w:iCs/>
          <w:lang w:val="tr-TR"/>
        </w:rPr>
        <w:t>alınan</w:t>
      </w:r>
      <w:r w:rsidR="00B53E74" w:rsidRPr="008F1795">
        <w:rPr>
          <w:i/>
          <w:iCs/>
          <w:lang w:val="tr-TR"/>
        </w:rPr>
        <w:t xml:space="preserve"> haklara keyfi müdahale</w:t>
      </w:r>
      <w:r w:rsidR="00062E7E" w:rsidRPr="008F1795">
        <w:rPr>
          <w:i/>
          <w:iCs/>
          <w:lang w:val="tr-TR"/>
        </w:rPr>
        <w:t xml:space="preserve"> etmesine karşı yerel hukukta yasal koruma olmalıdır</w:t>
      </w:r>
      <w:r w:rsidR="002C3366" w:rsidRPr="008F1795">
        <w:rPr>
          <w:lang w:val="tr-TR"/>
        </w:rPr>
        <w:t>”</w:t>
      </w:r>
      <w:r w:rsidR="000E6D78" w:rsidRPr="008F1795">
        <w:rPr>
          <w:rStyle w:val="DipnotBavurusu"/>
          <w:lang w:val="tr-TR"/>
        </w:rPr>
        <w:footnoteReference w:id="5"/>
      </w:r>
    </w:p>
    <w:p w14:paraId="6DCC24ED" w14:textId="42548E34" w:rsidR="000E6D78" w:rsidRPr="008F1795" w:rsidRDefault="000E6D78" w:rsidP="000E6D78">
      <w:pPr>
        <w:pStyle w:val="ListeParagraf"/>
        <w:tabs>
          <w:tab w:val="left" w:pos="658"/>
        </w:tabs>
        <w:spacing w:before="110"/>
        <w:ind w:right="214"/>
        <w:rPr>
          <w:lang w:val="tr-TR"/>
        </w:rPr>
      </w:pPr>
      <w:r w:rsidRPr="008F1795">
        <w:rPr>
          <w:lang w:val="tr-TR"/>
        </w:rPr>
        <w:t>b)</w:t>
      </w:r>
      <w:r w:rsidR="00593563" w:rsidRPr="008F1795">
        <w:rPr>
          <w:lang w:val="tr-TR"/>
        </w:rPr>
        <w:t xml:space="preserve"> Meşruiyet: </w:t>
      </w:r>
      <w:r w:rsidR="007C61F8" w:rsidRPr="008F1795">
        <w:rPr>
          <w:lang w:val="tr-TR"/>
        </w:rPr>
        <w:t xml:space="preserve">kısıtlamanın meşru bir amaç doğrultusunda </w:t>
      </w:r>
      <w:r w:rsidR="000821DE">
        <w:rPr>
          <w:lang w:val="tr-TR"/>
        </w:rPr>
        <w:t>yapılması</w:t>
      </w:r>
      <w:r w:rsidR="007C61F8" w:rsidRPr="008F1795">
        <w:rPr>
          <w:lang w:val="tr-TR"/>
        </w:rPr>
        <w:t xml:space="preserve"> gerekir. </w:t>
      </w:r>
      <w:r w:rsidR="00FF5E8D" w:rsidRPr="008F1795">
        <w:rPr>
          <w:lang w:val="tr-TR"/>
        </w:rPr>
        <w:t xml:space="preserve">AİHS 10(22). </w:t>
      </w:r>
      <w:r w:rsidR="00241305" w:rsidRPr="008F1795">
        <w:rPr>
          <w:lang w:val="tr-TR"/>
        </w:rPr>
        <w:t>Madde</w:t>
      </w:r>
      <w:r w:rsidR="00FF5E8D" w:rsidRPr="008F1795">
        <w:rPr>
          <w:lang w:val="tr-TR"/>
        </w:rPr>
        <w:t xml:space="preserve">si ve ICCPR 19(3). </w:t>
      </w:r>
      <w:r w:rsidR="00241305" w:rsidRPr="008F1795">
        <w:rPr>
          <w:lang w:val="tr-TR"/>
        </w:rPr>
        <w:t>Madde</w:t>
      </w:r>
      <w:r w:rsidR="00FF5E8D" w:rsidRPr="008F1795">
        <w:rPr>
          <w:lang w:val="tr-TR"/>
        </w:rPr>
        <w:t>si</w:t>
      </w:r>
      <w:r w:rsidR="003724AE" w:rsidRPr="008F1795">
        <w:rPr>
          <w:lang w:val="tr-TR"/>
        </w:rPr>
        <w:t xml:space="preserve">nde </w:t>
      </w:r>
      <w:r w:rsidR="001E6EFA" w:rsidRPr="008F1795">
        <w:rPr>
          <w:lang w:val="tr-TR"/>
        </w:rPr>
        <w:t>kısıtlamaya uygun</w:t>
      </w:r>
      <w:r w:rsidR="00F97704" w:rsidRPr="008F1795">
        <w:rPr>
          <w:lang w:val="tr-TR"/>
        </w:rPr>
        <w:t xml:space="preserve"> meşru amaçların </w:t>
      </w:r>
      <w:r w:rsidR="001E6EFA" w:rsidRPr="008F1795">
        <w:rPr>
          <w:lang w:val="tr-TR"/>
        </w:rPr>
        <w:t xml:space="preserve">kapsamlı bir listesi yer almaktadır. </w:t>
      </w:r>
      <w:r w:rsidR="00543547">
        <w:rPr>
          <w:lang w:val="tr-TR"/>
        </w:rPr>
        <w:t>c</w:t>
      </w:r>
      <w:r w:rsidR="001C6C9C" w:rsidRPr="008F1795">
        <w:rPr>
          <w:lang w:val="tr-TR"/>
        </w:rPr>
        <w:t>) Demokratik bir toplumda gereklilik: kısıtlamanın “</w:t>
      </w:r>
      <w:r w:rsidR="001C6C9C" w:rsidRPr="008F1795">
        <w:rPr>
          <w:i/>
          <w:iCs/>
          <w:lang w:val="tr-TR"/>
        </w:rPr>
        <w:t xml:space="preserve">açık, </w:t>
      </w:r>
      <w:r w:rsidR="005D0C32">
        <w:rPr>
          <w:i/>
          <w:iCs/>
          <w:lang w:val="tr-TR"/>
        </w:rPr>
        <w:t>zorlayıcı</w:t>
      </w:r>
      <w:r w:rsidR="001C6C9C" w:rsidRPr="008F1795">
        <w:rPr>
          <w:i/>
          <w:iCs/>
          <w:lang w:val="tr-TR"/>
        </w:rPr>
        <w:t xml:space="preserve"> ve bel</w:t>
      </w:r>
      <w:r w:rsidR="001D1B2E">
        <w:rPr>
          <w:i/>
          <w:iCs/>
          <w:lang w:val="tr-TR"/>
        </w:rPr>
        <w:t>li</w:t>
      </w:r>
      <w:r w:rsidR="001C6C9C" w:rsidRPr="008F1795">
        <w:rPr>
          <w:i/>
          <w:iCs/>
          <w:lang w:val="tr-TR"/>
        </w:rPr>
        <w:t xml:space="preserve"> bir </w:t>
      </w:r>
      <w:r w:rsidR="001D1B2E">
        <w:rPr>
          <w:i/>
          <w:iCs/>
          <w:lang w:val="tr-TR"/>
        </w:rPr>
        <w:t>toplumsal</w:t>
      </w:r>
      <w:r w:rsidR="001C6C9C" w:rsidRPr="008F1795">
        <w:rPr>
          <w:i/>
          <w:iCs/>
          <w:lang w:val="tr-TR"/>
        </w:rPr>
        <w:t xml:space="preserve"> </w:t>
      </w:r>
      <w:r w:rsidR="001C7304" w:rsidRPr="008F1795">
        <w:rPr>
          <w:i/>
          <w:iCs/>
          <w:lang w:val="tr-TR"/>
        </w:rPr>
        <w:t>ihtiyaca</w:t>
      </w:r>
      <w:r w:rsidR="001C6C9C" w:rsidRPr="008F1795">
        <w:rPr>
          <w:lang w:val="tr-TR"/>
        </w:rPr>
        <w:t>”</w:t>
      </w:r>
      <w:r w:rsidR="00B90201" w:rsidRPr="008F1795">
        <w:rPr>
          <w:rStyle w:val="DipnotBavurusu"/>
          <w:lang w:val="tr-TR"/>
        </w:rPr>
        <w:footnoteReference w:id="6"/>
      </w:r>
      <w:r w:rsidR="001C6C9C" w:rsidRPr="008F1795">
        <w:rPr>
          <w:lang w:val="tr-TR"/>
        </w:rPr>
        <w:t xml:space="preserve"> </w:t>
      </w:r>
      <w:r w:rsidR="0084264B" w:rsidRPr="008F1795">
        <w:rPr>
          <w:lang w:val="tr-TR"/>
        </w:rPr>
        <w:t>karşılık</w:t>
      </w:r>
      <w:r w:rsidR="007D758C" w:rsidRPr="008F1795">
        <w:rPr>
          <w:lang w:val="tr-TR"/>
        </w:rPr>
        <w:t xml:space="preserve"> vermesi ve “ulaşılmak istenen meşru amaç ile orantılı”</w:t>
      </w:r>
      <w:r w:rsidR="005008DE" w:rsidRPr="008F1795">
        <w:rPr>
          <w:rStyle w:val="DipnotBavurusu"/>
          <w:lang w:val="tr-TR"/>
        </w:rPr>
        <w:footnoteReference w:id="7"/>
      </w:r>
      <w:r w:rsidR="007D758C" w:rsidRPr="008F1795">
        <w:rPr>
          <w:lang w:val="tr-TR"/>
        </w:rPr>
        <w:t xml:space="preserve"> olması gerekir. </w:t>
      </w:r>
    </w:p>
    <w:p w14:paraId="6F5B1629" w14:textId="77777777" w:rsidR="00D6388A" w:rsidRPr="008F1795" w:rsidRDefault="00D6388A">
      <w:pPr>
        <w:pStyle w:val="GvdeMetni"/>
        <w:rPr>
          <w:lang w:val="tr-TR"/>
        </w:rPr>
      </w:pPr>
    </w:p>
    <w:p w14:paraId="79370EE6" w14:textId="0982A36D" w:rsidR="00471187" w:rsidRPr="008F1795" w:rsidRDefault="00471187">
      <w:pPr>
        <w:pStyle w:val="ListeParagraf"/>
        <w:numPr>
          <w:ilvl w:val="0"/>
          <w:numId w:val="4"/>
        </w:numPr>
        <w:tabs>
          <w:tab w:val="left" w:pos="686"/>
        </w:tabs>
        <w:ind w:right="215" w:firstLine="0"/>
        <w:rPr>
          <w:lang w:val="tr-TR"/>
        </w:rPr>
      </w:pPr>
      <w:r w:rsidRPr="008F1795">
        <w:rPr>
          <w:lang w:val="tr-TR"/>
        </w:rPr>
        <w:t xml:space="preserve">Avrupa İnsan Hakları Mahkemesi </w:t>
      </w:r>
      <w:r w:rsidR="00F314E4" w:rsidRPr="008F1795">
        <w:rPr>
          <w:lang w:val="tr-TR"/>
        </w:rPr>
        <w:t xml:space="preserve">(AİHM) </w:t>
      </w:r>
      <w:r w:rsidRPr="008F1795">
        <w:rPr>
          <w:lang w:val="tr-TR"/>
        </w:rPr>
        <w:t>ve BM İnsan Hakları Komitesi</w:t>
      </w:r>
      <w:r w:rsidR="00F314E4" w:rsidRPr="008F1795">
        <w:rPr>
          <w:lang w:val="tr-TR"/>
        </w:rPr>
        <w:t xml:space="preserve">, AİHS 10(2). </w:t>
      </w:r>
      <w:r w:rsidR="00241305" w:rsidRPr="008F1795">
        <w:rPr>
          <w:lang w:val="tr-TR"/>
        </w:rPr>
        <w:t>Madde</w:t>
      </w:r>
      <w:r w:rsidR="00F314E4" w:rsidRPr="008F1795">
        <w:rPr>
          <w:lang w:val="tr-TR"/>
        </w:rPr>
        <w:t xml:space="preserve">si ile ICCPR 19. </w:t>
      </w:r>
      <w:r w:rsidR="00241305" w:rsidRPr="008F1795">
        <w:rPr>
          <w:lang w:val="tr-TR"/>
        </w:rPr>
        <w:t>Madde</w:t>
      </w:r>
      <w:r w:rsidR="00F314E4" w:rsidRPr="008F1795">
        <w:rPr>
          <w:lang w:val="tr-TR"/>
        </w:rPr>
        <w:t>sinin yorumlanışı ve uygulanışı hakkında</w:t>
      </w:r>
      <w:r w:rsidR="00C07C14" w:rsidRPr="008F1795">
        <w:rPr>
          <w:lang w:val="tr-TR"/>
        </w:rPr>
        <w:t xml:space="preserve"> çok zengin bir içtihata sahiptir. </w:t>
      </w:r>
      <w:r w:rsidR="00E75EDA" w:rsidRPr="008F1795">
        <w:rPr>
          <w:lang w:val="tr-TR"/>
        </w:rPr>
        <w:t>AİHM</w:t>
      </w:r>
      <w:r w:rsidR="0039099C" w:rsidRPr="008F1795">
        <w:rPr>
          <w:lang w:val="tr-TR"/>
        </w:rPr>
        <w:t xml:space="preserve">, bu görüşte incelenen dört </w:t>
      </w:r>
      <w:r w:rsidR="00241305" w:rsidRPr="008F1795">
        <w:rPr>
          <w:lang w:val="tr-TR"/>
        </w:rPr>
        <w:t>madde</w:t>
      </w:r>
      <w:r w:rsidR="0039099C" w:rsidRPr="008F1795">
        <w:rPr>
          <w:lang w:val="tr-TR"/>
        </w:rPr>
        <w:t xml:space="preserve"> dahil olmak üzere</w:t>
      </w:r>
      <w:r w:rsidR="00E564B3" w:rsidRPr="008F1795">
        <w:rPr>
          <w:lang w:val="tr-TR"/>
        </w:rPr>
        <w:t>,</w:t>
      </w:r>
      <w:r w:rsidR="0039099C" w:rsidRPr="008F1795">
        <w:rPr>
          <w:lang w:val="tr-TR"/>
        </w:rPr>
        <w:t xml:space="preserve"> Türk Ceza Kanunu</w:t>
      </w:r>
      <w:r w:rsidR="00D854DA" w:rsidRPr="008F1795">
        <w:rPr>
          <w:lang w:val="tr-TR"/>
        </w:rPr>
        <w:t xml:space="preserve"> hükümlerini (mevcut ve eski hükümler) defalarca değerlendirmiştir.</w:t>
      </w:r>
      <w:r w:rsidR="00E564B3" w:rsidRPr="008F1795">
        <w:rPr>
          <w:rStyle w:val="DipnotBavurusu"/>
          <w:lang w:val="tr-TR"/>
        </w:rPr>
        <w:footnoteReference w:id="8"/>
      </w:r>
      <w:r w:rsidR="00D854DA" w:rsidRPr="008F1795">
        <w:rPr>
          <w:lang w:val="tr-TR"/>
        </w:rPr>
        <w:t xml:space="preserve"> </w:t>
      </w:r>
    </w:p>
    <w:p w14:paraId="4A1DE32C" w14:textId="77777777" w:rsidR="00471187" w:rsidRPr="008F1795" w:rsidRDefault="00471187" w:rsidP="00471187">
      <w:pPr>
        <w:pStyle w:val="ListeParagraf"/>
        <w:tabs>
          <w:tab w:val="left" w:pos="686"/>
        </w:tabs>
        <w:ind w:right="215"/>
        <w:jc w:val="left"/>
        <w:rPr>
          <w:lang w:val="tr-TR"/>
        </w:rPr>
      </w:pPr>
    </w:p>
    <w:p w14:paraId="73B490F3" w14:textId="77777777" w:rsidR="00471187" w:rsidRPr="008F1795" w:rsidRDefault="00471187" w:rsidP="00471187">
      <w:pPr>
        <w:pStyle w:val="ListeParagraf"/>
        <w:tabs>
          <w:tab w:val="left" w:pos="686"/>
        </w:tabs>
        <w:ind w:right="215"/>
        <w:jc w:val="left"/>
        <w:rPr>
          <w:lang w:val="tr-TR"/>
        </w:rPr>
      </w:pPr>
    </w:p>
    <w:p w14:paraId="1BC88BE1" w14:textId="3F5CD379" w:rsidR="00FE3914" w:rsidRPr="008F1795" w:rsidRDefault="00BC5E45">
      <w:pPr>
        <w:pStyle w:val="ListeParagraf"/>
        <w:numPr>
          <w:ilvl w:val="0"/>
          <w:numId w:val="4"/>
        </w:numPr>
        <w:tabs>
          <w:tab w:val="left" w:pos="650"/>
        </w:tabs>
        <w:ind w:right="214" w:firstLine="0"/>
        <w:rPr>
          <w:lang w:val="tr-TR"/>
        </w:rPr>
      </w:pPr>
      <w:r w:rsidRPr="008F1795">
        <w:rPr>
          <w:lang w:val="tr-TR"/>
        </w:rPr>
        <w:t>Avrupa Konseyi Parlamenter Meclisi</w:t>
      </w:r>
      <w:r w:rsidR="00734893" w:rsidRPr="008F1795">
        <w:rPr>
          <w:lang w:val="tr-TR"/>
        </w:rPr>
        <w:t xml:space="preserve">, </w:t>
      </w:r>
      <w:r w:rsidR="00C8052D" w:rsidRPr="008F1795">
        <w:rPr>
          <w:i/>
          <w:iCs/>
          <w:lang w:val="tr-TR"/>
        </w:rPr>
        <w:t>Dine Küfretme, Dini Hakaretler ve Dinlerine Dayalı Olarak Şahıslara Karşı Nefret Söylemi</w:t>
      </w:r>
      <w:r w:rsidR="00C8052D" w:rsidRPr="008F1795">
        <w:rPr>
          <w:lang w:val="tr-TR"/>
        </w:rPr>
        <w:t xml:space="preserve"> </w:t>
      </w:r>
      <w:r w:rsidR="005B2C0F" w:rsidRPr="008F1795">
        <w:rPr>
          <w:lang w:val="tr-TR"/>
        </w:rPr>
        <w:t>hakkında 29 Haziran 2007 tarihli ve 1805 (2007) sayılı Tavsiye Kararı</w:t>
      </w:r>
      <w:r w:rsidR="00BF6DF8" w:rsidRPr="008F1795">
        <w:rPr>
          <w:lang w:val="tr-TR"/>
        </w:rPr>
        <w:t>,</w:t>
      </w:r>
      <w:r w:rsidR="00702074" w:rsidRPr="008F1795">
        <w:rPr>
          <w:lang w:val="tr-TR"/>
        </w:rPr>
        <w:t xml:space="preserve"> 1577 (2007) sayılı Kararı ve </w:t>
      </w:r>
      <w:r w:rsidR="006F4B9E" w:rsidRPr="008F1795">
        <w:rPr>
          <w:i/>
          <w:iCs/>
          <w:lang w:val="tr-TR"/>
        </w:rPr>
        <w:t>Hakaretin Suç olmaktan Çıkarılmasına Doğru</w:t>
      </w:r>
      <w:r w:rsidR="006F4B9E" w:rsidRPr="008F1795">
        <w:rPr>
          <w:lang w:val="tr-TR"/>
        </w:rPr>
        <w:t xml:space="preserve"> başlıklı, 4 Ekim 2007 tarihli ve 1814 (2007) sayılı Tavsiye Kararı</w:t>
      </w:r>
      <w:r w:rsidR="00BF6DF8" w:rsidRPr="008F1795">
        <w:rPr>
          <w:lang w:val="tr-TR"/>
        </w:rPr>
        <w:t xml:space="preserve"> dahil olmak üzere, </w:t>
      </w:r>
      <w:r w:rsidR="00F82388" w:rsidRPr="008F1795">
        <w:rPr>
          <w:lang w:val="tr-TR"/>
        </w:rPr>
        <w:t>hakaret konusunda çeşitli belgeler</w:t>
      </w:r>
      <w:r w:rsidR="005C0402" w:rsidRPr="008F1795">
        <w:rPr>
          <w:lang w:val="tr-TR"/>
        </w:rPr>
        <w:t xml:space="preserve">i kabul etmiştir. </w:t>
      </w:r>
      <w:r w:rsidR="00C2597E" w:rsidRPr="008F1795">
        <w:rPr>
          <w:lang w:val="tr-TR"/>
        </w:rPr>
        <w:t>Parlamenter Meclisi</w:t>
      </w:r>
      <w:r w:rsidR="0071155C" w:rsidRPr="008F1795">
        <w:rPr>
          <w:lang w:val="tr-TR"/>
        </w:rPr>
        <w:t xml:space="preserve"> ayrıca, </w:t>
      </w:r>
      <w:r w:rsidR="001A60BC" w:rsidRPr="008F1795">
        <w:rPr>
          <w:lang w:val="tr-TR"/>
        </w:rPr>
        <w:t>1438 (2005) sayılı Kararı</w:t>
      </w:r>
      <w:r w:rsidR="009B761B" w:rsidRPr="008F1795">
        <w:rPr>
          <w:lang w:val="tr-TR"/>
        </w:rPr>
        <w:t>,</w:t>
      </w:r>
      <w:r w:rsidR="001A60BC" w:rsidRPr="008F1795">
        <w:rPr>
          <w:lang w:val="tr-TR"/>
        </w:rPr>
        <w:t xml:space="preserve"> </w:t>
      </w:r>
      <w:r w:rsidR="00F414D1" w:rsidRPr="008F1795">
        <w:rPr>
          <w:i/>
          <w:iCs/>
          <w:lang w:val="tr-TR"/>
        </w:rPr>
        <w:t>Çatışma bölgelerinde basın özgürlüğü ve gazetecilerin çalışma koşulları</w:t>
      </w:r>
      <w:r w:rsidR="00F414D1" w:rsidRPr="008F1795">
        <w:rPr>
          <w:lang w:val="tr-TR"/>
        </w:rPr>
        <w:t xml:space="preserve"> </w:t>
      </w:r>
      <w:r w:rsidR="00967864" w:rsidRPr="008F1795">
        <w:rPr>
          <w:lang w:val="tr-TR"/>
        </w:rPr>
        <w:t xml:space="preserve">hakkında </w:t>
      </w:r>
      <w:r w:rsidR="001A60BC" w:rsidRPr="008F1795">
        <w:rPr>
          <w:lang w:val="tr-TR"/>
        </w:rPr>
        <w:t>28 Nisan 2005 tarihli ve 1702 (2005) sayılı Tavsiye Kararı</w:t>
      </w:r>
      <w:r w:rsidR="009B761B" w:rsidRPr="008F1795">
        <w:rPr>
          <w:lang w:val="tr-TR"/>
        </w:rPr>
        <w:t>,</w:t>
      </w:r>
      <w:r w:rsidR="00BC415D" w:rsidRPr="008F1795">
        <w:rPr>
          <w:lang w:val="tr-TR"/>
        </w:rPr>
        <w:t xml:space="preserve"> </w:t>
      </w:r>
      <w:r w:rsidR="004441F2" w:rsidRPr="008F1795">
        <w:rPr>
          <w:i/>
          <w:iCs/>
          <w:lang w:val="tr-TR"/>
        </w:rPr>
        <w:t>Gazetecilerin yaşamlarına ve ifade özgürlüğüne yönelik tehditler</w:t>
      </w:r>
      <w:r w:rsidR="007F7455" w:rsidRPr="008F1795">
        <w:rPr>
          <w:lang w:val="tr-TR"/>
        </w:rPr>
        <w:t xml:space="preserve"> hakkında 27 Ocak 2007 tarihli ve 1535 sayılı Karar, 2035 (2015) sayılı Karar ve </w:t>
      </w:r>
      <w:r w:rsidR="00711D8B" w:rsidRPr="008F1795">
        <w:rPr>
          <w:i/>
          <w:iCs/>
          <w:lang w:val="tr-TR"/>
        </w:rPr>
        <w:t>Avrupa’da gazetecilerin güvenliğinin ve medya özgürlüğünün korunması</w:t>
      </w:r>
      <w:r w:rsidR="00711D8B" w:rsidRPr="008F1795">
        <w:rPr>
          <w:lang w:val="tr-TR"/>
        </w:rPr>
        <w:t xml:space="preserve"> hakkında 29 Ocak 2015 tarihli ve 2062 (2015) sayılı Tavsiye Kararı</w:t>
      </w:r>
      <w:r w:rsidR="009B761B" w:rsidRPr="008F1795">
        <w:rPr>
          <w:lang w:val="tr-TR"/>
        </w:rPr>
        <w:t xml:space="preserve"> ile </w:t>
      </w:r>
      <w:r w:rsidR="00037E40" w:rsidRPr="008F1795">
        <w:rPr>
          <w:lang w:val="tr-TR"/>
        </w:rPr>
        <w:t xml:space="preserve">gazetecilerin korunması konusunu da ele almıştır. </w:t>
      </w:r>
    </w:p>
    <w:p w14:paraId="10FCD532" w14:textId="77777777" w:rsidR="00B74CEA" w:rsidRPr="008F1795" w:rsidRDefault="00B74CEA">
      <w:pPr>
        <w:pStyle w:val="GvdeMetni"/>
        <w:spacing w:before="10"/>
        <w:rPr>
          <w:sz w:val="21"/>
          <w:lang w:val="tr-TR"/>
        </w:rPr>
      </w:pPr>
    </w:p>
    <w:p w14:paraId="7CF90605" w14:textId="2A280D4B" w:rsidR="0082311C" w:rsidRPr="008F1795" w:rsidRDefault="0082311C">
      <w:pPr>
        <w:pStyle w:val="ListeParagraf"/>
        <w:numPr>
          <w:ilvl w:val="0"/>
          <w:numId w:val="4"/>
        </w:numPr>
        <w:tabs>
          <w:tab w:val="left" w:pos="734"/>
        </w:tabs>
        <w:spacing w:before="1"/>
        <w:ind w:right="218" w:firstLine="0"/>
        <w:rPr>
          <w:lang w:val="tr-TR"/>
        </w:rPr>
      </w:pPr>
      <w:r w:rsidRPr="008F1795">
        <w:rPr>
          <w:lang w:val="tr-TR"/>
        </w:rPr>
        <w:t xml:space="preserve">Venedik Komisyonu </w:t>
      </w:r>
      <w:r w:rsidR="006B61B9" w:rsidRPr="008F1795">
        <w:rPr>
          <w:lang w:val="tr-TR"/>
        </w:rPr>
        <w:t>hakaretlere ilişkin mevzuat ile ilgili iki görüşü</w:t>
      </w:r>
      <w:r w:rsidR="00807C67" w:rsidRPr="008F1795">
        <w:rPr>
          <w:rStyle w:val="DipnotBavurusu"/>
          <w:lang w:val="tr-TR"/>
        </w:rPr>
        <w:footnoteReference w:id="9"/>
      </w:r>
      <w:r w:rsidR="00807C67" w:rsidRPr="008F1795">
        <w:rPr>
          <w:lang w:val="tr-TR"/>
        </w:rPr>
        <w:t xml:space="preserve"> ve ifade özgürlüğü ile din özgürlüğüne arasındaki ilişki hakkında genel bir incelemeyi</w:t>
      </w:r>
      <w:r w:rsidR="006B61B9" w:rsidRPr="008F1795">
        <w:rPr>
          <w:lang w:val="tr-TR"/>
        </w:rPr>
        <w:t xml:space="preserve"> kabul etmiştir</w:t>
      </w:r>
      <w:r w:rsidR="00807C67" w:rsidRPr="008F1795">
        <w:rPr>
          <w:lang w:val="tr-TR"/>
        </w:rPr>
        <w:t>.</w:t>
      </w:r>
      <w:r w:rsidR="00B92965" w:rsidRPr="008F1795">
        <w:rPr>
          <w:rStyle w:val="DipnotBavurusu"/>
          <w:lang w:val="tr-TR"/>
        </w:rPr>
        <w:footnoteReference w:id="10"/>
      </w:r>
      <w:r w:rsidR="006B61B9" w:rsidRPr="008F1795">
        <w:rPr>
          <w:lang w:val="tr-TR"/>
        </w:rPr>
        <w:t xml:space="preserve"> </w:t>
      </w:r>
    </w:p>
    <w:p w14:paraId="6E43532E" w14:textId="77777777" w:rsidR="0082311C" w:rsidRPr="008F1795" w:rsidRDefault="0082311C" w:rsidP="0082311C">
      <w:pPr>
        <w:pStyle w:val="ListeParagraf"/>
        <w:tabs>
          <w:tab w:val="left" w:pos="734"/>
        </w:tabs>
        <w:spacing w:before="1"/>
        <w:ind w:right="218"/>
        <w:jc w:val="left"/>
        <w:rPr>
          <w:lang w:val="tr-TR"/>
        </w:rPr>
      </w:pPr>
    </w:p>
    <w:p w14:paraId="5D03BE0C" w14:textId="77777777" w:rsidR="00B74CEA" w:rsidRPr="008F1795" w:rsidRDefault="00B74CEA">
      <w:pPr>
        <w:pStyle w:val="GvdeMetni"/>
        <w:spacing w:before="10"/>
        <w:rPr>
          <w:sz w:val="21"/>
          <w:lang w:val="tr-TR"/>
        </w:rPr>
      </w:pPr>
    </w:p>
    <w:p w14:paraId="739EC718" w14:textId="66FCEE92" w:rsidR="00B74CEA" w:rsidRPr="008F1795" w:rsidRDefault="00C916F4">
      <w:pPr>
        <w:pStyle w:val="Balk1"/>
        <w:numPr>
          <w:ilvl w:val="1"/>
          <w:numId w:val="5"/>
        </w:numPr>
        <w:tabs>
          <w:tab w:val="left" w:pos="1331"/>
          <w:tab w:val="left" w:pos="1332"/>
        </w:tabs>
        <w:ind w:hanging="426"/>
        <w:rPr>
          <w:lang w:val="tr-TR"/>
        </w:rPr>
      </w:pPr>
      <w:bookmarkStart w:id="4" w:name="_bookmark4"/>
      <w:bookmarkEnd w:id="4"/>
      <w:r w:rsidRPr="008F1795">
        <w:rPr>
          <w:lang w:val="tr-TR"/>
        </w:rPr>
        <w:t xml:space="preserve">Türkiye’de İfade Özgürlüğü Hakkında Kararlar, Raporlar ve Açıklamalar </w:t>
      </w:r>
    </w:p>
    <w:p w14:paraId="2D48E3C6" w14:textId="77777777" w:rsidR="00B74CEA" w:rsidRPr="008F1795" w:rsidRDefault="00B74CEA">
      <w:pPr>
        <w:pStyle w:val="GvdeMetni"/>
        <w:spacing w:before="6"/>
        <w:rPr>
          <w:b/>
          <w:sz w:val="23"/>
          <w:lang w:val="tr-TR"/>
        </w:rPr>
      </w:pPr>
    </w:p>
    <w:p w14:paraId="4D0D675C" w14:textId="34BF2987" w:rsidR="00C916F4" w:rsidRPr="008F1795" w:rsidRDefault="00C1487F">
      <w:pPr>
        <w:pStyle w:val="ListeParagraf"/>
        <w:numPr>
          <w:ilvl w:val="0"/>
          <w:numId w:val="4"/>
        </w:numPr>
        <w:tabs>
          <w:tab w:val="left" w:pos="652"/>
        </w:tabs>
        <w:ind w:right="215" w:firstLine="0"/>
        <w:rPr>
          <w:lang w:val="tr-TR"/>
        </w:rPr>
      </w:pPr>
      <w:r w:rsidRPr="008F1795">
        <w:rPr>
          <w:lang w:val="tr-TR"/>
        </w:rPr>
        <w:t xml:space="preserve">AGİT </w:t>
      </w:r>
      <w:r w:rsidR="00E40939" w:rsidRPr="008F1795">
        <w:rPr>
          <w:lang w:val="tr-TR"/>
        </w:rPr>
        <w:t>Medya Özgürlüğü</w:t>
      </w:r>
      <w:r w:rsidRPr="008F1795">
        <w:rPr>
          <w:lang w:val="tr-TR"/>
        </w:rPr>
        <w:t xml:space="preserve"> Temsilcisi, Türk Ceza Kanunu</w:t>
      </w:r>
      <w:r w:rsidR="00586EF9" w:rsidRPr="008F1795">
        <w:rPr>
          <w:lang w:val="tr-TR"/>
        </w:rPr>
        <w:t xml:space="preserve"> taslağını</w:t>
      </w:r>
      <w:r w:rsidRPr="008F1795">
        <w:rPr>
          <w:lang w:val="tr-TR"/>
        </w:rPr>
        <w:t xml:space="preserve"> zaten 2005 yılında incelemiştir.</w:t>
      </w:r>
      <w:r w:rsidR="00326DC2" w:rsidRPr="008F1795">
        <w:rPr>
          <w:rStyle w:val="DipnotBavurusu"/>
          <w:lang w:val="tr-TR"/>
        </w:rPr>
        <w:footnoteReference w:id="11"/>
      </w:r>
      <w:r w:rsidRPr="008F1795">
        <w:rPr>
          <w:lang w:val="tr-TR"/>
        </w:rPr>
        <w:t xml:space="preserve"> </w:t>
      </w:r>
      <w:r w:rsidR="00AC2D59">
        <w:rPr>
          <w:lang w:val="tr-TR"/>
        </w:rPr>
        <w:t xml:space="preserve">Temsilci </w:t>
      </w:r>
      <w:r w:rsidR="005E69BB">
        <w:rPr>
          <w:lang w:val="tr-TR"/>
        </w:rPr>
        <w:t>r</w:t>
      </w:r>
      <w:r w:rsidRPr="008F1795">
        <w:rPr>
          <w:lang w:val="tr-TR"/>
        </w:rPr>
        <w:t>apor</w:t>
      </w:r>
      <w:r w:rsidR="005E69BB">
        <w:rPr>
          <w:lang w:val="tr-TR"/>
        </w:rPr>
        <w:t>un</w:t>
      </w:r>
      <w:r w:rsidRPr="008F1795">
        <w:rPr>
          <w:lang w:val="tr-TR"/>
        </w:rPr>
        <w:t>da</w:t>
      </w:r>
      <w:r w:rsidR="00D9215B" w:rsidRPr="008F1795">
        <w:rPr>
          <w:lang w:val="tr-TR"/>
        </w:rPr>
        <w:t>,</w:t>
      </w:r>
      <w:r w:rsidRPr="008F1795">
        <w:rPr>
          <w:lang w:val="tr-TR"/>
        </w:rPr>
        <w:t xml:space="preserve"> </w:t>
      </w:r>
      <w:r w:rsidR="000F7701" w:rsidRPr="008F1795">
        <w:rPr>
          <w:lang w:val="tr-TR"/>
        </w:rPr>
        <w:t xml:space="preserve">bu görüşte değerlendirilen </w:t>
      </w:r>
      <w:r w:rsidR="0085405E" w:rsidRPr="008F1795">
        <w:rPr>
          <w:lang w:val="tr-TR"/>
        </w:rPr>
        <w:t xml:space="preserve">ve </w:t>
      </w:r>
      <w:r w:rsidR="00D90257" w:rsidRPr="008F1795">
        <w:rPr>
          <w:lang w:val="tr-TR"/>
        </w:rPr>
        <w:t xml:space="preserve">suç </w:t>
      </w:r>
      <w:r w:rsidR="005E69BB">
        <w:rPr>
          <w:lang w:val="tr-TR"/>
        </w:rPr>
        <w:t>sayılan</w:t>
      </w:r>
      <w:r w:rsidR="00326DC2" w:rsidRPr="008F1795">
        <w:rPr>
          <w:lang w:val="tr-TR"/>
        </w:rPr>
        <w:t xml:space="preserve"> sözel eylemlere</w:t>
      </w:r>
      <w:r w:rsidR="000F7701" w:rsidRPr="008F1795">
        <w:rPr>
          <w:lang w:val="tr-TR"/>
        </w:rPr>
        <w:t xml:space="preserve"> ilişkin üç hük</w:t>
      </w:r>
      <w:r w:rsidR="005E69BB">
        <w:rPr>
          <w:lang w:val="tr-TR"/>
        </w:rPr>
        <w:t>mü</w:t>
      </w:r>
      <w:r w:rsidR="000F7701" w:rsidRPr="008F1795">
        <w:rPr>
          <w:lang w:val="tr-TR"/>
        </w:rPr>
        <w:t xml:space="preserve"> eleştir</w:t>
      </w:r>
      <w:r w:rsidR="005E69BB">
        <w:rPr>
          <w:lang w:val="tr-TR"/>
        </w:rPr>
        <w:t>miştir</w:t>
      </w:r>
      <w:r w:rsidR="000F7701" w:rsidRPr="008F1795">
        <w:rPr>
          <w:lang w:val="tr-TR"/>
        </w:rPr>
        <w:t xml:space="preserve"> (216, 299 ve</w:t>
      </w:r>
      <w:r w:rsidR="000F7701" w:rsidRPr="008F1795">
        <w:rPr>
          <w:spacing w:val="-7"/>
          <w:lang w:val="tr-TR"/>
        </w:rPr>
        <w:t xml:space="preserve"> </w:t>
      </w:r>
      <w:r w:rsidR="000F7701" w:rsidRPr="008F1795">
        <w:rPr>
          <w:lang w:val="tr-TR"/>
        </w:rPr>
        <w:t xml:space="preserve">301. </w:t>
      </w:r>
      <w:r w:rsidR="00241305" w:rsidRPr="008F1795">
        <w:rPr>
          <w:lang w:val="tr-TR"/>
        </w:rPr>
        <w:t>Madde</w:t>
      </w:r>
      <w:r w:rsidR="000F7701" w:rsidRPr="008F1795">
        <w:rPr>
          <w:lang w:val="tr-TR"/>
        </w:rPr>
        <w:t xml:space="preserve">ler). </w:t>
      </w:r>
    </w:p>
    <w:p w14:paraId="00DEC944" w14:textId="77777777" w:rsidR="00B74CEA" w:rsidRPr="008F1795" w:rsidRDefault="00B74CEA">
      <w:pPr>
        <w:pStyle w:val="GvdeMetni"/>
        <w:rPr>
          <w:lang w:val="tr-TR"/>
        </w:rPr>
      </w:pPr>
    </w:p>
    <w:p w14:paraId="541DA092" w14:textId="18177A7E" w:rsidR="0085405E" w:rsidRPr="008F1795" w:rsidRDefault="00CA0BD3">
      <w:pPr>
        <w:pStyle w:val="ListeParagraf"/>
        <w:numPr>
          <w:ilvl w:val="0"/>
          <w:numId w:val="4"/>
        </w:numPr>
        <w:tabs>
          <w:tab w:val="left" w:pos="746"/>
        </w:tabs>
        <w:spacing w:before="1"/>
        <w:ind w:right="215" w:firstLine="0"/>
        <w:rPr>
          <w:lang w:val="tr-TR"/>
        </w:rPr>
      </w:pPr>
      <w:r w:rsidRPr="008F1795">
        <w:rPr>
          <w:lang w:val="tr-TR"/>
        </w:rPr>
        <w:t xml:space="preserve">Avrupa Konseyi İnsan Hakları Komiseri, Türkiye’deki ifade özgürlüğü ve medya özgürlüğüne bilhassa </w:t>
      </w:r>
      <w:r w:rsidR="00BE626E" w:rsidRPr="008F1795">
        <w:rPr>
          <w:lang w:val="tr-TR"/>
        </w:rPr>
        <w:t>odaklanan 2011 tarihli raporunda</w:t>
      </w:r>
      <w:r w:rsidR="00BE626E" w:rsidRPr="008F1795">
        <w:rPr>
          <w:rStyle w:val="DipnotBavurusu"/>
          <w:lang w:val="tr-TR"/>
        </w:rPr>
        <w:footnoteReference w:id="12"/>
      </w:r>
      <w:r w:rsidR="003D42A6" w:rsidRPr="008F1795">
        <w:rPr>
          <w:lang w:val="tr-TR"/>
        </w:rPr>
        <w:t xml:space="preserve"> “</w:t>
      </w:r>
      <w:r w:rsidR="003D42A6" w:rsidRPr="008F1795">
        <w:rPr>
          <w:i/>
          <w:iCs/>
          <w:lang w:val="tr-TR"/>
        </w:rPr>
        <w:t>Türk Ceza Kanununda yapılan çeşitli değişiklikler</w:t>
      </w:r>
      <w:r w:rsidR="000D008B" w:rsidRPr="008F1795">
        <w:rPr>
          <w:i/>
          <w:iCs/>
          <w:lang w:val="tr-TR"/>
        </w:rPr>
        <w:t xml:space="preserve"> (…)</w:t>
      </w:r>
      <w:r w:rsidR="003D42A6" w:rsidRPr="008F1795">
        <w:rPr>
          <w:i/>
          <w:iCs/>
          <w:lang w:val="tr-TR"/>
        </w:rPr>
        <w:t xml:space="preserve"> ifade özgürlüğünü etkili bir şekilde sağlamak için yeterli olmamıştır</w:t>
      </w:r>
      <w:r w:rsidR="003D42A6" w:rsidRPr="008F1795">
        <w:rPr>
          <w:lang w:val="tr-TR"/>
        </w:rPr>
        <w:t>”</w:t>
      </w:r>
      <w:r w:rsidR="00E84090" w:rsidRPr="008F1795">
        <w:rPr>
          <w:rStyle w:val="DipnotBavurusu"/>
          <w:lang w:val="tr-TR"/>
        </w:rPr>
        <w:footnoteReference w:id="13"/>
      </w:r>
      <w:r w:rsidR="003D42A6" w:rsidRPr="008F1795">
        <w:rPr>
          <w:lang w:val="tr-TR"/>
        </w:rPr>
        <w:t xml:space="preserve"> diye kaydetmiştir. </w:t>
      </w:r>
      <w:r w:rsidR="00604C2F" w:rsidRPr="008F1795">
        <w:rPr>
          <w:lang w:val="tr-TR"/>
        </w:rPr>
        <w:t>Raporda, “</w:t>
      </w:r>
      <w:r w:rsidR="00604C2F" w:rsidRPr="008F1795">
        <w:rPr>
          <w:i/>
          <w:iCs/>
          <w:lang w:val="tr-TR"/>
        </w:rPr>
        <w:t>g</w:t>
      </w:r>
      <w:r w:rsidR="00240B7E" w:rsidRPr="008F1795">
        <w:rPr>
          <w:i/>
          <w:iCs/>
          <w:lang w:val="tr-TR"/>
        </w:rPr>
        <w:t xml:space="preserve">azetecilere, yazarlara ve insan hakları savunucularına karşı devam eden </w:t>
      </w:r>
      <w:r w:rsidR="00864634" w:rsidRPr="008F1795">
        <w:rPr>
          <w:i/>
          <w:iCs/>
          <w:lang w:val="tr-TR"/>
        </w:rPr>
        <w:t>ceza davaları</w:t>
      </w:r>
      <w:r w:rsidR="00826019" w:rsidRPr="008F1795">
        <w:rPr>
          <w:i/>
          <w:iCs/>
          <w:lang w:val="tr-TR"/>
        </w:rPr>
        <w:t>nın</w:t>
      </w:r>
      <w:r w:rsidR="00E84090" w:rsidRPr="008F1795">
        <w:rPr>
          <w:lang w:val="tr-TR"/>
        </w:rPr>
        <w:t>”</w:t>
      </w:r>
      <w:r w:rsidR="00826019" w:rsidRPr="008F1795">
        <w:rPr>
          <w:lang w:val="tr-TR"/>
        </w:rPr>
        <w:t xml:space="preserve"> hukuki dayanağı</w:t>
      </w:r>
      <w:r w:rsidR="00604C2F" w:rsidRPr="008F1795">
        <w:rPr>
          <w:lang w:val="tr-TR"/>
        </w:rPr>
        <w:t xml:space="preserve"> olan Ceza Kanun</w:t>
      </w:r>
      <w:r w:rsidR="002A35D3">
        <w:rPr>
          <w:lang w:val="tr-TR"/>
        </w:rPr>
        <w:t>un</w:t>
      </w:r>
      <w:r w:rsidR="00604C2F" w:rsidRPr="008F1795">
        <w:rPr>
          <w:lang w:val="tr-TR"/>
        </w:rPr>
        <w:t xml:space="preserve">un </w:t>
      </w:r>
      <w:r w:rsidR="00A85066" w:rsidRPr="008F1795">
        <w:rPr>
          <w:lang w:val="tr-TR"/>
        </w:rPr>
        <w:t xml:space="preserve">216. ve 301. </w:t>
      </w:r>
      <w:r w:rsidR="00241305" w:rsidRPr="008F1795">
        <w:rPr>
          <w:lang w:val="tr-TR"/>
        </w:rPr>
        <w:t>Madde</w:t>
      </w:r>
      <w:r w:rsidR="00A85066" w:rsidRPr="008F1795">
        <w:rPr>
          <w:lang w:val="tr-TR"/>
        </w:rPr>
        <w:t xml:space="preserve">lerine </w:t>
      </w:r>
      <w:r w:rsidR="00604C2F" w:rsidRPr="008F1795">
        <w:rPr>
          <w:lang w:val="tr-TR"/>
        </w:rPr>
        <w:t>açıkça atıfta bulunulmuştur.</w:t>
      </w:r>
      <w:r w:rsidR="00A85066" w:rsidRPr="008F1795">
        <w:rPr>
          <w:rStyle w:val="DipnotBavurusu"/>
          <w:lang w:val="tr-TR"/>
        </w:rPr>
        <w:footnoteReference w:id="14"/>
      </w:r>
      <w:r w:rsidR="00604C2F" w:rsidRPr="008F1795">
        <w:rPr>
          <w:lang w:val="tr-TR"/>
        </w:rPr>
        <w:t xml:space="preserve"> </w:t>
      </w:r>
    </w:p>
    <w:p w14:paraId="6B31DFBB" w14:textId="77777777" w:rsidR="0085405E" w:rsidRPr="008F1795" w:rsidRDefault="0085405E" w:rsidP="0085405E">
      <w:pPr>
        <w:pStyle w:val="ListeParagraf"/>
        <w:tabs>
          <w:tab w:val="left" w:pos="746"/>
        </w:tabs>
        <w:spacing w:before="1"/>
        <w:ind w:right="215"/>
        <w:jc w:val="left"/>
        <w:rPr>
          <w:lang w:val="tr-TR"/>
        </w:rPr>
      </w:pPr>
    </w:p>
    <w:p w14:paraId="4B4007A8" w14:textId="01957C7C" w:rsidR="008951F6" w:rsidRPr="008F1795" w:rsidRDefault="00B62102" w:rsidP="00352367">
      <w:pPr>
        <w:pStyle w:val="ListeParagraf"/>
        <w:numPr>
          <w:ilvl w:val="0"/>
          <w:numId w:val="4"/>
        </w:numPr>
        <w:tabs>
          <w:tab w:val="left" w:pos="754"/>
        </w:tabs>
        <w:ind w:right="214" w:hanging="56"/>
        <w:rPr>
          <w:lang w:val="tr-TR"/>
        </w:rPr>
      </w:pPr>
      <w:r w:rsidRPr="008F1795">
        <w:rPr>
          <w:lang w:val="tr-TR"/>
        </w:rPr>
        <w:t>Komiser aynı raporda</w:t>
      </w:r>
      <w:r w:rsidR="00BB46AF" w:rsidRPr="008F1795">
        <w:rPr>
          <w:lang w:val="tr-TR"/>
        </w:rPr>
        <w:t>, mahkemelerin ve savc</w:t>
      </w:r>
      <w:r w:rsidR="00020338" w:rsidRPr="008F1795">
        <w:rPr>
          <w:lang w:val="tr-TR"/>
        </w:rPr>
        <w:t>ı</w:t>
      </w:r>
      <w:r w:rsidR="00BB46AF" w:rsidRPr="008F1795">
        <w:rPr>
          <w:lang w:val="tr-TR"/>
        </w:rPr>
        <w:t>ların</w:t>
      </w:r>
      <w:r w:rsidRPr="008F1795">
        <w:rPr>
          <w:lang w:val="tr-TR"/>
        </w:rPr>
        <w:t xml:space="preserve"> </w:t>
      </w:r>
      <w:r w:rsidR="00BB46AF" w:rsidRPr="008F1795">
        <w:rPr>
          <w:lang w:val="tr-TR"/>
        </w:rPr>
        <w:t>mevcut kanun hükümlerini yorum</w:t>
      </w:r>
      <w:r w:rsidR="00CF0830" w:rsidRPr="008F1795">
        <w:rPr>
          <w:lang w:val="tr-TR"/>
        </w:rPr>
        <w:t>laması</w:t>
      </w:r>
      <w:r w:rsidR="00152FD6" w:rsidRPr="008F1795">
        <w:rPr>
          <w:lang w:val="tr-TR"/>
        </w:rPr>
        <w:t xml:space="preserve"> ve uygulama</w:t>
      </w:r>
      <w:r w:rsidR="00CF0830" w:rsidRPr="008F1795">
        <w:rPr>
          <w:lang w:val="tr-TR"/>
        </w:rPr>
        <w:t>sın</w:t>
      </w:r>
      <w:r w:rsidR="00926E95" w:rsidRPr="008F1795">
        <w:rPr>
          <w:lang w:val="tr-TR"/>
        </w:rPr>
        <w:t>ın</w:t>
      </w:r>
      <w:r w:rsidR="00152FD6" w:rsidRPr="008F1795">
        <w:rPr>
          <w:lang w:val="tr-TR"/>
        </w:rPr>
        <w:t xml:space="preserve"> orantı</w:t>
      </w:r>
      <w:r w:rsidR="00C90405" w:rsidRPr="008F1795">
        <w:rPr>
          <w:lang w:val="tr-TR"/>
        </w:rPr>
        <w:t>sız</w:t>
      </w:r>
      <w:r w:rsidR="003051BB" w:rsidRPr="008F1795">
        <w:rPr>
          <w:lang w:val="tr-TR"/>
        </w:rPr>
        <w:t xml:space="preserve"> olması</w:t>
      </w:r>
      <w:r w:rsidR="00020338" w:rsidRPr="008F1795">
        <w:rPr>
          <w:lang w:val="tr-TR"/>
        </w:rPr>
        <w:t xml:space="preserve">, cezai </w:t>
      </w:r>
      <w:r w:rsidR="00C67074" w:rsidRPr="008F1795">
        <w:rPr>
          <w:lang w:val="tr-TR"/>
        </w:rPr>
        <w:t>takibat</w:t>
      </w:r>
      <w:r w:rsidR="00020338" w:rsidRPr="008F1795">
        <w:rPr>
          <w:lang w:val="tr-TR"/>
        </w:rPr>
        <w:t xml:space="preserve"> ve gözaltında tutu</w:t>
      </w:r>
      <w:r w:rsidR="007A046E" w:rsidRPr="008F1795">
        <w:rPr>
          <w:lang w:val="tr-TR"/>
        </w:rPr>
        <w:t xml:space="preserve">klu kalma </w:t>
      </w:r>
      <w:r w:rsidR="00CE6D44" w:rsidRPr="008F1795">
        <w:rPr>
          <w:lang w:val="tr-TR"/>
        </w:rPr>
        <w:t xml:space="preserve">sürelerinin </w:t>
      </w:r>
      <w:r w:rsidR="00020338" w:rsidRPr="008F1795">
        <w:rPr>
          <w:lang w:val="tr-TR"/>
        </w:rPr>
        <w:t xml:space="preserve">aşırı uzun </w:t>
      </w:r>
      <w:r w:rsidR="00CE6D44" w:rsidRPr="008F1795">
        <w:rPr>
          <w:lang w:val="tr-TR"/>
        </w:rPr>
        <w:t>olması,</w:t>
      </w:r>
      <w:r w:rsidR="00F37753" w:rsidRPr="008F1795">
        <w:rPr>
          <w:lang w:val="tr-TR"/>
        </w:rPr>
        <w:t xml:space="preserve"> davalıların </w:t>
      </w:r>
      <w:r w:rsidR="008951F6" w:rsidRPr="008F1795">
        <w:rPr>
          <w:lang w:val="tr-TR"/>
        </w:rPr>
        <w:t>duruşma öncesinde aleyhlerindeki delillere erişiminde</w:t>
      </w:r>
      <w:r w:rsidR="00F37753" w:rsidRPr="008F1795">
        <w:rPr>
          <w:lang w:val="tr-TR"/>
        </w:rPr>
        <w:t xml:space="preserve"> </w:t>
      </w:r>
      <w:r w:rsidR="00E86EE3">
        <w:rPr>
          <w:lang w:val="tr-TR"/>
        </w:rPr>
        <w:t>yaşanan</w:t>
      </w:r>
      <w:r w:rsidR="008951F6" w:rsidRPr="008F1795">
        <w:rPr>
          <w:lang w:val="tr-TR"/>
        </w:rPr>
        <w:t xml:space="preserve"> sorunlar ve savcıların hiçbir kısıtlamaya tabi </w:t>
      </w:r>
      <w:r w:rsidR="00AE0413" w:rsidRPr="008F1795">
        <w:rPr>
          <w:lang w:val="tr-TR"/>
        </w:rPr>
        <w:t>olmaksızın</w:t>
      </w:r>
      <w:r w:rsidR="008951F6" w:rsidRPr="008F1795">
        <w:rPr>
          <w:lang w:val="tr-TR"/>
        </w:rPr>
        <w:t xml:space="preserve"> ceza dava</w:t>
      </w:r>
      <w:r w:rsidR="00594FBA" w:rsidRPr="008F1795">
        <w:rPr>
          <w:lang w:val="tr-TR"/>
        </w:rPr>
        <w:t>sı</w:t>
      </w:r>
      <w:r w:rsidR="008951F6" w:rsidRPr="008F1795">
        <w:rPr>
          <w:lang w:val="tr-TR"/>
        </w:rPr>
        <w:t xml:space="preserve"> açabilme</w:t>
      </w:r>
      <w:r w:rsidR="00C076A4" w:rsidRPr="008F1795">
        <w:rPr>
          <w:lang w:val="tr-TR"/>
        </w:rPr>
        <w:t>sinin</w:t>
      </w:r>
      <w:r w:rsidR="008951F6" w:rsidRPr="008F1795">
        <w:rPr>
          <w:lang w:val="tr-TR"/>
        </w:rPr>
        <w:t xml:space="preserve"> Türkiye’de ifade özgürlüğü üzerinde belirgin bir </w:t>
      </w:r>
      <w:r w:rsidR="008951F6" w:rsidRPr="008F1795">
        <w:rPr>
          <w:i/>
          <w:iCs/>
          <w:lang w:val="tr-TR"/>
        </w:rPr>
        <w:t>caydırıcı etki</w:t>
      </w:r>
      <w:r w:rsidR="008951F6" w:rsidRPr="008F1795">
        <w:rPr>
          <w:lang w:val="tr-TR"/>
        </w:rPr>
        <w:t xml:space="preserve"> </w:t>
      </w:r>
      <w:r w:rsidR="00F37753" w:rsidRPr="008F1795">
        <w:rPr>
          <w:lang w:val="tr-TR"/>
        </w:rPr>
        <w:t>bıraktığı</w:t>
      </w:r>
      <w:r w:rsidR="008951F6" w:rsidRPr="008F1795">
        <w:rPr>
          <w:lang w:val="tr-TR"/>
        </w:rPr>
        <w:t xml:space="preserve"> ve </w:t>
      </w:r>
      <w:r w:rsidR="00C076A4" w:rsidRPr="008F1795">
        <w:rPr>
          <w:lang w:val="tr-TR"/>
        </w:rPr>
        <w:t xml:space="preserve">Türk medyasında </w:t>
      </w:r>
      <w:r w:rsidR="008951F6" w:rsidRPr="008F1795">
        <w:rPr>
          <w:lang w:val="tr-TR"/>
        </w:rPr>
        <w:t>oto</w:t>
      </w:r>
      <w:r w:rsidR="003740F0">
        <w:rPr>
          <w:lang w:val="tr-TR"/>
        </w:rPr>
        <w:t>-</w:t>
      </w:r>
      <w:r w:rsidR="008951F6" w:rsidRPr="008F1795">
        <w:rPr>
          <w:lang w:val="tr-TR"/>
        </w:rPr>
        <w:t>sansüre neden olduğu</w:t>
      </w:r>
      <w:r w:rsidR="003740F0">
        <w:rPr>
          <w:lang w:val="tr-TR"/>
        </w:rPr>
        <w:t>na dair</w:t>
      </w:r>
      <w:r w:rsidR="008951F6" w:rsidRPr="008F1795">
        <w:rPr>
          <w:lang w:val="tr-TR"/>
        </w:rPr>
        <w:t xml:space="preserve"> </w:t>
      </w:r>
      <w:r w:rsidR="00AD6A63" w:rsidRPr="008F1795">
        <w:rPr>
          <w:lang w:val="tr-TR"/>
        </w:rPr>
        <w:t>endişelerini dile getirmiştir.</w:t>
      </w:r>
      <w:r w:rsidR="00E1643C" w:rsidRPr="008F1795">
        <w:rPr>
          <w:rStyle w:val="DipnotBavurusu"/>
          <w:lang w:val="tr-TR"/>
        </w:rPr>
        <w:footnoteReference w:id="15"/>
      </w:r>
      <w:r w:rsidR="00AD6A63" w:rsidRPr="008F1795">
        <w:rPr>
          <w:lang w:val="tr-TR"/>
        </w:rPr>
        <w:t xml:space="preserve"> </w:t>
      </w:r>
    </w:p>
    <w:p w14:paraId="4F6E056D" w14:textId="77777777" w:rsidR="00352367" w:rsidRPr="008F1795" w:rsidRDefault="00352367" w:rsidP="00994B23">
      <w:pPr>
        <w:pStyle w:val="ListeParagraf"/>
        <w:tabs>
          <w:tab w:val="left" w:pos="754"/>
        </w:tabs>
        <w:ind w:right="214"/>
        <w:rPr>
          <w:lang w:val="tr-TR"/>
        </w:rPr>
      </w:pPr>
    </w:p>
    <w:p w14:paraId="15F407AE" w14:textId="4E0AE60E" w:rsidR="009E4FF1" w:rsidRPr="008F1795" w:rsidRDefault="00082285">
      <w:pPr>
        <w:pStyle w:val="ListeParagraf"/>
        <w:numPr>
          <w:ilvl w:val="0"/>
          <w:numId w:val="4"/>
        </w:numPr>
        <w:tabs>
          <w:tab w:val="left" w:pos="669"/>
        </w:tabs>
        <w:ind w:right="215" w:firstLine="0"/>
        <w:rPr>
          <w:i/>
          <w:lang w:val="tr-TR"/>
        </w:rPr>
      </w:pPr>
      <w:r w:rsidRPr="008F1795">
        <w:rPr>
          <w:iCs/>
          <w:lang w:val="tr-TR"/>
        </w:rPr>
        <w:t xml:space="preserve">Aralık </w:t>
      </w:r>
      <w:proofErr w:type="gramStart"/>
      <w:r w:rsidRPr="008F1795">
        <w:rPr>
          <w:iCs/>
          <w:lang w:val="tr-TR"/>
        </w:rPr>
        <w:t>2014’de</w:t>
      </w:r>
      <w:proofErr w:type="gramEnd"/>
      <w:r w:rsidRPr="008F1795">
        <w:rPr>
          <w:iCs/>
          <w:lang w:val="tr-TR"/>
        </w:rPr>
        <w:t xml:space="preserve"> g</w:t>
      </w:r>
      <w:r w:rsidR="006D0BB1" w:rsidRPr="008F1795">
        <w:rPr>
          <w:iCs/>
          <w:lang w:val="tr-TR"/>
        </w:rPr>
        <w:t>azeteci</w:t>
      </w:r>
      <w:r w:rsidRPr="008F1795">
        <w:rPr>
          <w:iCs/>
          <w:lang w:val="tr-TR"/>
        </w:rPr>
        <w:t xml:space="preserve"> ve medya çalışanlarının</w:t>
      </w:r>
      <w:r w:rsidR="00F71E0B" w:rsidRPr="008F1795">
        <w:rPr>
          <w:iCs/>
          <w:lang w:val="tr-TR"/>
        </w:rPr>
        <w:t xml:space="preserve">, </w:t>
      </w:r>
      <w:r w:rsidR="00F71E0B" w:rsidRPr="008F1795">
        <w:rPr>
          <w:i/>
          <w:lang w:val="tr-TR"/>
        </w:rPr>
        <w:t>diğer nedenlerin yanı sıra</w:t>
      </w:r>
      <w:r w:rsidR="00F71E0B" w:rsidRPr="008F1795">
        <w:rPr>
          <w:iCs/>
          <w:lang w:val="tr-TR"/>
        </w:rPr>
        <w:t>,</w:t>
      </w:r>
      <w:r w:rsidRPr="008F1795">
        <w:rPr>
          <w:iCs/>
          <w:lang w:val="tr-TR"/>
        </w:rPr>
        <w:t xml:space="preserve"> terör örgütü kurma ve </w:t>
      </w:r>
      <w:r w:rsidR="00F71E0B" w:rsidRPr="008F1795">
        <w:rPr>
          <w:iCs/>
          <w:lang w:val="tr-TR"/>
        </w:rPr>
        <w:t xml:space="preserve">üye olma </w:t>
      </w:r>
      <w:r w:rsidR="007629DD" w:rsidRPr="008F1795">
        <w:rPr>
          <w:iCs/>
          <w:lang w:val="tr-TR"/>
        </w:rPr>
        <w:t xml:space="preserve">(314. </w:t>
      </w:r>
      <w:r w:rsidR="00241305" w:rsidRPr="008F1795">
        <w:rPr>
          <w:iCs/>
          <w:lang w:val="tr-TR"/>
        </w:rPr>
        <w:t>Madde</w:t>
      </w:r>
      <w:r w:rsidR="007629DD" w:rsidRPr="008F1795">
        <w:rPr>
          <w:iCs/>
          <w:lang w:val="tr-TR"/>
        </w:rPr>
        <w:t xml:space="preserve">) </w:t>
      </w:r>
      <w:r w:rsidR="00F71E0B" w:rsidRPr="008F1795">
        <w:rPr>
          <w:iCs/>
          <w:lang w:val="tr-TR"/>
        </w:rPr>
        <w:t xml:space="preserve">iddialarıyla yakalanmasından sonra </w:t>
      </w:r>
      <w:r w:rsidR="007629DD" w:rsidRPr="008F1795">
        <w:rPr>
          <w:iCs/>
          <w:lang w:val="tr-TR"/>
        </w:rPr>
        <w:t xml:space="preserve">bir açıklama yayınlayan </w:t>
      </w:r>
      <w:r w:rsidR="00F71E0B" w:rsidRPr="008F1795">
        <w:rPr>
          <w:iCs/>
          <w:lang w:val="tr-TR"/>
        </w:rPr>
        <w:t xml:space="preserve">Komiser, </w:t>
      </w:r>
      <w:r w:rsidR="007629DD" w:rsidRPr="008F1795">
        <w:rPr>
          <w:i/>
          <w:lang w:val="tr-TR"/>
        </w:rPr>
        <w:t>“(…) medya</w:t>
      </w:r>
      <w:r w:rsidR="002D421E" w:rsidRPr="008F1795">
        <w:rPr>
          <w:i/>
          <w:lang w:val="tr-TR"/>
        </w:rPr>
        <w:t xml:space="preserve"> özgürlüğü Türkiye’de uzun </w:t>
      </w:r>
      <w:r w:rsidR="0073553D" w:rsidRPr="008F1795">
        <w:rPr>
          <w:i/>
          <w:lang w:val="tr-TR"/>
        </w:rPr>
        <w:t>süredir devam eden</w:t>
      </w:r>
      <w:r w:rsidR="002D421E" w:rsidRPr="008F1795">
        <w:rPr>
          <w:i/>
          <w:lang w:val="tr-TR"/>
        </w:rPr>
        <w:t xml:space="preserve"> bir sorun</w:t>
      </w:r>
      <w:r w:rsidR="00504064" w:rsidRPr="008F1795">
        <w:rPr>
          <w:i/>
          <w:lang w:val="tr-TR"/>
        </w:rPr>
        <w:t>dur ve bu tür tedbirlerin Türkiye’nin son yıllarda</w:t>
      </w:r>
      <w:r w:rsidR="0028611E" w:rsidRPr="008F1795">
        <w:rPr>
          <w:i/>
          <w:lang w:val="tr-TR"/>
        </w:rPr>
        <w:t xml:space="preserve"> </w:t>
      </w:r>
      <w:r w:rsidR="00293CDC" w:rsidRPr="008F1795">
        <w:rPr>
          <w:i/>
          <w:lang w:val="tr-TR"/>
        </w:rPr>
        <w:t xml:space="preserve">büyük </w:t>
      </w:r>
      <w:r w:rsidR="0028611E" w:rsidRPr="008F1795">
        <w:rPr>
          <w:i/>
          <w:lang w:val="tr-TR"/>
        </w:rPr>
        <w:t>emek</w:t>
      </w:r>
      <w:r w:rsidR="00293CDC" w:rsidRPr="008F1795">
        <w:rPr>
          <w:i/>
          <w:lang w:val="tr-TR"/>
        </w:rPr>
        <w:t>ler</w:t>
      </w:r>
      <w:r w:rsidR="0028611E" w:rsidRPr="008F1795">
        <w:rPr>
          <w:i/>
          <w:lang w:val="tr-TR"/>
        </w:rPr>
        <w:t xml:space="preserve"> vererek elde ettiği ilerleme</w:t>
      </w:r>
      <w:r w:rsidR="00204554" w:rsidRPr="008F1795">
        <w:rPr>
          <w:i/>
          <w:lang w:val="tr-TR"/>
        </w:rPr>
        <w:t xml:space="preserve">yi </w:t>
      </w:r>
      <w:r w:rsidR="00C7133F" w:rsidRPr="008F1795">
        <w:rPr>
          <w:i/>
          <w:lang w:val="tr-TR"/>
        </w:rPr>
        <w:t xml:space="preserve">etkisiz </w:t>
      </w:r>
      <w:r w:rsidR="005A3BEF" w:rsidRPr="008F1795">
        <w:rPr>
          <w:i/>
          <w:lang w:val="tr-TR"/>
        </w:rPr>
        <w:t>kılma</w:t>
      </w:r>
      <w:r w:rsidR="00D938E0" w:rsidRPr="008F1795">
        <w:rPr>
          <w:i/>
          <w:lang w:val="tr-TR"/>
        </w:rPr>
        <w:t xml:space="preserve"> riski yüksektir.</w:t>
      </w:r>
      <w:r w:rsidR="005A3BEF" w:rsidRPr="008F1795">
        <w:rPr>
          <w:i/>
          <w:lang w:val="tr-TR"/>
        </w:rPr>
        <w:t xml:space="preserve"> Bu tür tedbirler, </w:t>
      </w:r>
      <w:r w:rsidR="007E2332" w:rsidRPr="008F1795">
        <w:rPr>
          <w:i/>
          <w:lang w:val="tr-TR"/>
        </w:rPr>
        <w:t>Türkiye’de şiddet ve misilleme</w:t>
      </w:r>
      <w:r w:rsidR="002340A8" w:rsidRPr="008F1795">
        <w:rPr>
          <w:i/>
          <w:lang w:val="tr-TR"/>
        </w:rPr>
        <w:t xml:space="preserve"> </w:t>
      </w:r>
      <w:r w:rsidR="007E2332" w:rsidRPr="008F1795">
        <w:rPr>
          <w:i/>
          <w:lang w:val="tr-TR"/>
        </w:rPr>
        <w:t>dahil</w:t>
      </w:r>
      <w:r w:rsidR="002340A8" w:rsidRPr="008F1795">
        <w:rPr>
          <w:i/>
          <w:lang w:val="tr-TR"/>
        </w:rPr>
        <w:t>,</w:t>
      </w:r>
      <w:r w:rsidR="007E2332" w:rsidRPr="008F1795">
        <w:rPr>
          <w:i/>
          <w:lang w:val="tr-TR"/>
        </w:rPr>
        <w:t xml:space="preserve"> yoğun baskı altında olan gaz</w:t>
      </w:r>
      <w:r w:rsidR="002340A8" w:rsidRPr="008F1795">
        <w:rPr>
          <w:i/>
          <w:lang w:val="tr-TR"/>
        </w:rPr>
        <w:t>e</w:t>
      </w:r>
      <w:r w:rsidR="007E2332" w:rsidRPr="008F1795">
        <w:rPr>
          <w:i/>
          <w:lang w:val="tr-TR"/>
        </w:rPr>
        <w:t>teciler</w:t>
      </w:r>
      <w:r w:rsidR="00F202C2" w:rsidRPr="008F1795">
        <w:rPr>
          <w:i/>
          <w:lang w:val="tr-TR"/>
        </w:rPr>
        <w:t>e</w:t>
      </w:r>
      <w:r w:rsidR="007E2332" w:rsidRPr="008F1795">
        <w:rPr>
          <w:i/>
          <w:lang w:val="tr-TR"/>
        </w:rPr>
        <w:t xml:space="preserve"> </w:t>
      </w:r>
      <w:r w:rsidR="002340A8" w:rsidRPr="008F1795">
        <w:rPr>
          <w:i/>
          <w:lang w:val="tr-TR"/>
        </w:rPr>
        <w:t>ve muhalif sesler</w:t>
      </w:r>
      <w:r w:rsidR="00F202C2" w:rsidRPr="008F1795">
        <w:rPr>
          <w:i/>
          <w:lang w:val="tr-TR"/>
        </w:rPr>
        <w:t>e</w:t>
      </w:r>
      <w:r w:rsidR="00AD6A2C" w:rsidRPr="008F1795">
        <w:rPr>
          <w:i/>
          <w:lang w:val="tr-TR"/>
        </w:rPr>
        <w:t xml:space="preserve"> yeni bir caydırıcı mesaj vermektedir. Bu</w:t>
      </w:r>
      <w:r w:rsidR="008261EE" w:rsidRPr="008F1795">
        <w:rPr>
          <w:i/>
          <w:lang w:val="tr-TR"/>
        </w:rPr>
        <w:t xml:space="preserve"> </w:t>
      </w:r>
      <w:r w:rsidR="004E565B" w:rsidRPr="008F1795">
        <w:rPr>
          <w:i/>
          <w:lang w:val="tr-TR"/>
        </w:rPr>
        <w:t>tedbirler</w:t>
      </w:r>
      <w:r w:rsidR="00AD6A2C" w:rsidRPr="008F1795">
        <w:rPr>
          <w:i/>
          <w:lang w:val="tr-TR"/>
        </w:rPr>
        <w:t xml:space="preserve">, </w:t>
      </w:r>
      <w:r w:rsidR="000655E3" w:rsidRPr="008F1795">
        <w:rPr>
          <w:i/>
          <w:lang w:val="tr-TR"/>
        </w:rPr>
        <w:t>Türk toplumunu daha da kutuplaşmaya iterek, devletin insan haklarını</w:t>
      </w:r>
      <w:r w:rsidR="008261EE" w:rsidRPr="008F1795">
        <w:rPr>
          <w:i/>
          <w:lang w:val="tr-TR"/>
        </w:rPr>
        <w:t xml:space="preserve"> sağlama becerisine karşı </w:t>
      </w:r>
      <w:r w:rsidR="008261EE" w:rsidRPr="008F1795">
        <w:rPr>
          <w:i/>
          <w:lang w:val="tr-TR"/>
        </w:rPr>
        <w:lastRenderedPageBreak/>
        <w:t xml:space="preserve">halkın güvensizlik duygusunu artırabilir. </w:t>
      </w:r>
      <w:r w:rsidR="00F33BB7" w:rsidRPr="008F1795">
        <w:rPr>
          <w:i/>
          <w:lang w:val="tr-TR"/>
        </w:rPr>
        <w:t>Yetkilileri basın özgürlüğü üzerindeki baskıyı sona erdirerek, hukukun üstünlüğü ve insan hakları</w:t>
      </w:r>
      <w:r w:rsidR="0088414B" w:rsidRPr="008F1795">
        <w:rPr>
          <w:i/>
          <w:lang w:val="tr-TR"/>
        </w:rPr>
        <w:t xml:space="preserve">na uygun bir şekilde hareket etmeye </w:t>
      </w:r>
      <w:r w:rsidR="008C4123" w:rsidRPr="008F1795">
        <w:rPr>
          <w:i/>
          <w:lang w:val="tr-TR"/>
        </w:rPr>
        <w:t>teşvik ediyorum.”</w:t>
      </w:r>
      <w:r w:rsidR="008C4123" w:rsidRPr="008F1795">
        <w:rPr>
          <w:rStyle w:val="DipnotBavurusu"/>
          <w:i/>
          <w:lang w:val="tr-TR"/>
        </w:rPr>
        <w:footnoteReference w:id="16"/>
      </w:r>
      <w:r w:rsidR="00493173">
        <w:rPr>
          <w:i/>
          <w:lang w:val="tr-TR"/>
        </w:rPr>
        <w:t xml:space="preserve"> </w:t>
      </w:r>
      <w:r w:rsidR="00695364" w:rsidRPr="008F1795">
        <w:rPr>
          <w:iCs/>
          <w:lang w:val="tr-TR"/>
        </w:rPr>
        <w:t>demiştir</w:t>
      </w:r>
      <w:r w:rsidR="00695364" w:rsidRPr="008F1795">
        <w:rPr>
          <w:i/>
          <w:lang w:val="tr-TR"/>
        </w:rPr>
        <w:t>.</w:t>
      </w:r>
    </w:p>
    <w:p w14:paraId="599C10A4" w14:textId="77777777" w:rsidR="009E4FF1" w:rsidRPr="008F1795" w:rsidRDefault="009E4FF1" w:rsidP="009E4FF1">
      <w:pPr>
        <w:pStyle w:val="ListeParagraf"/>
        <w:tabs>
          <w:tab w:val="left" w:pos="669"/>
        </w:tabs>
        <w:ind w:right="215"/>
        <w:rPr>
          <w:lang w:val="tr-TR"/>
        </w:rPr>
      </w:pPr>
    </w:p>
    <w:p w14:paraId="2CEDBF8C" w14:textId="58CD32C3" w:rsidR="00870EA5" w:rsidRPr="008F1795" w:rsidRDefault="00695364">
      <w:pPr>
        <w:pStyle w:val="ListeParagraf"/>
        <w:numPr>
          <w:ilvl w:val="0"/>
          <w:numId w:val="4"/>
        </w:numPr>
        <w:tabs>
          <w:tab w:val="left" w:pos="667"/>
        </w:tabs>
        <w:ind w:right="221" w:firstLine="0"/>
        <w:rPr>
          <w:lang w:val="tr-TR"/>
        </w:rPr>
      </w:pPr>
      <w:r w:rsidRPr="008F1795">
        <w:rPr>
          <w:lang w:val="tr-TR"/>
        </w:rPr>
        <w:t xml:space="preserve">2009’da </w:t>
      </w:r>
      <w:r w:rsidR="004D0999" w:rsidRPr="008F1795">
        <w:rPr>
          <w:lang w:val="tr-TR"/>
        </w:rPr>
        <w:t>Irk Ayrımcılığının Ortadan Kaldırılması Komitesi (CERD)</w:t>
      </w:r>
      <w:r w:rsidRPr="008F1795">
        <w:rPr>
          <w:lang w:val="tr-TR"/>
        </w:rPr>
        <w:t>: “</w:t>
      </w:r>
      <w:r w:rsidR="002A28A6" w:rsidRPr="008F1795">
        <w:rPr>
          <w:i/>
          <w:iCs/>
          <w:lang w:val="tr-TR"/>
        </w:rPr>
        <w:t xml:space="preserve">Komite, </w:t>
      </w:r>
      <w:r w:rsidR="00635FCB" w:rsidRPr="008F1795">
        <w:rPr>
          <w:i/>
          <w:iCs/>
          <w:lang w:val="tr-TR"/>
        </w:rPr>
        <w:t xml:space="preserve">Türk Ceza Kanununun 301. </w:t>
      </w:r>
      <w:r w:rsidR="00241305" w:rsidRPr="008F1795">
        <w:rPr>
          <w:i/>
          <w:iCs/>
          <w:lang w:val="tr-TR"/>
        </w:rPr>
        <w:t>Madde</w:t>
      </w:r>
      <w:r w:rsidR="00635FCB" w:rsidRPr="008F1795">
        <w:rPr>
          <w:i/>
          <w:iCs/>
          <w:lang w:val="tr-TR"/>
        </w:rPr>
        <w:t xml:space="preserve">sinde yapılan değişiklik ile </w:t>
      </w:r>
      <w:r w:rsidR="00505132" w:rsidRPr="008F1795">
        <w:rPr>
          <w:i/>
          <w:iCs/>
          <w:lang w:val="tr-TR"/>
        </w:rPr>
        <w:t xml:space="preserve">“Türklük” </w:t>
      </w:r>
      <w:r w:rsidR="00F97962" w:rsidRPr="008F1795">
        <w:rPr>
          <w:i/>
          <w:iCs/>
          <w:lang w:val="tr-TR"/>
        </w:rPr>
        <w:t>ibaresi</w:t>
      </w:r>
      <w:r w:rsidR="00160103" w:rsidRPr="008F1795">
        <w:rPr>
          <w:i/>
          <w:iCs/>
          <w:lang w:val="tr-TR"/>
        </w:rPr>
        <w:t>nin</w:t>
      </w:r>
      <w:r w:rsidR="00F97962" w:rsidRPr="008F1795">
        <w:rPr>
          <w:i/>
          <w:iCs/>
          <w:lang w:val="tr-TR"/>
        </w:rPr>
        <w:t xml:space="preserve"> kaldırılarak, </w:t>
      </w:r>
      <w:r w:rsidR="00505132" w:rsidRPr="008F1795">
        <w:rPr>
          <w:i/>
          <w:iCs/>
          <w:lang w:val="tr-TR"/>
        </w:rPr>
        <w:t>yerine</w:t>
      </w:r>
      <w:r w:rsidR="00A32843" w:rsidRPr="008F1795">
        <w:rPr>
          <w:i/>
          <w:iCs/>
          <w:lang w:val="tr-TR"/>
        </w:rPr>
        <w:t xml:space="preserve"> “Türk milleti</w:t>
      </w:r>
      <w:r w:rsidR="00F97962" w:rsidRPr="008F1795">
        <w:rPr>
          <w:i/>
          <w:iCs/>
          <w:lang w:val="tr-TR"/>
        </w:rPr>
        <w:t>n</w:t>
      </w:r>
      <w:r w:rsidR="00C70010" w:rsidRPr="008F1795">
        <w:rPr>
          <w:i/>
          <w:iCs/>
          <w:lang w:val="tr-TR"/>
        </w:rPr>
        <w:t>i</w:t>
      </w:r>
      <w:r w:rsidR="00A32843" w:rsidRPr="008F1795">
        <w:rPr>
          <w:i/>
          <w:iCs/>
          <w:lang w:val="tr-TR"/>
        </w:rPr>
        <w:t xml:space="preserve">” </w:t>
      </w:r>
      <w:r w:rsidR="00C70010" w:rsidRPr="008F1795">
        <w:rPr>
          <w:i/>
          <w:iCs/>
          <w:lang w:val="tr-TR"/>
        </w:rPr>
        <w:t>alenen aşağılamanın suç sayıl</w:t>
      </w:r>
      <w:r w:rsidR="001301B1" w:rsidRPr="008F1795">
        <w:rPr>
          <w:i/>
          <w:iCs/>
          <w:lang w:val="tr-TR"/>
        </w:rPr>
        <w:t>dığı</w:t>
      </w:r>
      <w:r w:rsidR="008F4483" w:rsidRPr="008F1795">
        <w:rPr>
          <w:i/>
          <w:iCs/>
          <w:lang w:val="tr-TR"/>
        </w:rPr>
        <w:t>nı</w:t>
      </w:r>
      <w:r w:rsidR="00C70010" w:rsidRPr="008F1795">
        <w:rPr>
          <w:i/>
          <w:iCs/>
          <w:lang w:val="tr-TR"/>
        </w:rPr>
        <w:t xml:space="preserve"> ve bu suç</w:t>
      </w:r>
      <w:r w:rsidR="001301B1" w:rsidRPr="008F1795">
        <w:rPr>
          <w:i/>
          <w:iCs/>
          <w:lang w:val="tr-TR"/>
        </w:rPr>
        <w:t>tan dolayı</w:t>
      </w:r>
      <w:r w:rsidR="00C70010" w:rsidRPr="008F1795">
        <w:rPr>
          <w:i/>
          <w:iCs/>
          <w:lang w:val="tr-TR"/>
        </w:rPr>
        <w:t xml:space="preserve"> </w:t>
      </w:r>
      <w:r w:rsidR="00B943AF" w:rsidRPr="008F1795">
        <w:rPr>
          <w:i/>
          <w:iCs/>
          <w:lang w:val="tr-TR"/>
        </w:rPr>
        <w:t>kovuşturma</w:t>
      </w:r>
      <w:r w:rsidR="001301B1" w:rsidRPr="008F1795">
        <w:rPr>
          <w:i/>
          <w:iCs/>
          <w:lang w:val="tr-TR"/>
        </w:rPr>
        <w:t xml:space="preserve"> yapılma</w:t>
      </w:r>
      <w:r w:rsidR="00B943AF" w:rsidRPr="008F1795">
        <w:rPr>
          <w:i/>
          <w:iCs/>
          <w:lang w:val="tr-TR"/>
        </w:rPr>
        <w:t>sı</w:t>
      </w:r>
      <w:r w:rsidR="00D1769D" w:rsidRPr="008F1795">
        <w:rPr>
          <w:i/>
          <w:iCs/>
          <w:lang w:val="tr-TR"/>
        </w:rPr>
        <w:t>nın</w:t>
      </w:r>
      <w:r w:rsidR="00B943AF" w:rsidRPr="008F1795">
        <w:rPr>
          <w:i/>
          <w:iCs/>
          <w:lang w:val="tr-TR"/>
        </w:rPr>
        <w:t xml:space="preserve"> Adalet Bakanının iznine tabi tutul</w:t>
      </w:r>
      <w:r w:rsidR="001301B1" w:rsidRPr="008F1795">
        <w:rPr>
          <w:i/>
          <w:iCs/>
          <w:lang w:val="tr-TR"/>
        </w:rPr>
        <w:t>duğu</w:t>
      </w:r>
      <w:r w:rsidR="008F4483" w:rsidRPr="008F1795">
        <w:rPr>
          <w:i/>
          <w:iCs/>
          <w:lang w:val="tr-TR"/>
        </w:rPr>
        <w:t>n</w:t>
      </w:r>
      <w:r w:rsidR="002A28A6" w:rsidRPr="008F1795">
        <w:rPr>
          <w:i/>
          <w:iCs/>
          <w:lang w:val="tr-TR"/>
        </w:rPr>
        <w:t>u</w:t>
      </w:r>
      <w:r w:rsidR="008F4483" w:rsidRPr="008F1795">
        <w:rPr>
          <w:i/>
          <w:iCs/>
          <w:lang w:val="tr-TR"/>
        </w:rPr>
        <w:t xml:space="preserve"> kaydetmekle birlikte, </w:t>
      </w:r>
      <w:r w:rsidR="00305883" w:rsidRPr="008F1795">
        <w:rPr>
          <w:i/>
          <w:iCs/>
          <w:lang w:val="tr-TR"/>
        </w:rPr>
        <w:t xml:space="preserve">yeni </w:t>
      </w:r>
      <w:r w:rsidR="00241305" w:rsidRPr="008F1795">
        <w:rPr>
          <w:i/>
          <w:iCs/>
          <w:lang w:val="tr-TR"/>
        </w:rPr>
        <w:t>madde</w:t>
      </w:r>
      <w:r w:rsidR="00305883" w:rsidRPr="008F1795">
        <w:rPr>
          <w:i/>
          <w:iCs/>
          <w:lang w:val="tr-TR"/>
        </w:rPr>
        <w:t>nin Sözleşme</w:t>
      </w:r>
      <w:r w:rsidR="003D7245">
        <w:rPr>
          <w:i/>
          <w:iCs/>
          <w:lang w:val="tr-TR"/>
        </w:rPr>
        <w:t xml:space="preserve">ye uygun olarak </w:t>
      </w:r>
      <w:r w:rsidR="00305883" w:rsidRPr="008F1795">
        <w:rPr>
          <w:i/>
          <w:iCs/>
          <w:lang w:val="tr-TR"/>
        </w:rPr>
        <w:t xml:space="preserve">haklarını savunan kişilere karşı </w:t>
      </w:r>
      <w:r w:rsidR="00F07EF9" w:rsidRPr="008F1795">
        <w:rPr>
          <w:i/>
          <w:iCs/>
          <w:lang w:val="tr-TR"/>
        </w:rPr>
        <w:t>eyleme geçmek için kullanılma</w:t>
      </w:r>
      <w:r w:rsidR="003D7245">
        <w:rPr>
          <w:i/>
          <w:iCs/>
          <w:lang w:val="tr-TR"/>
        </w:rPr>
        <w:t>sı</w:t>
      </w:r>
      <w:r w:rsidR="00F07EF9" w:rsidRPr="008F1795">
        <w:rPr>
          <w:i/>
          <w:iCs/>
          <w:lang w:val="tr-TR"/>
        </w:rPr>
        <w:t xml:space="preserve"> ihtimalinden dolayı endişe duyma</w:t>
      </w:r>
      <w:r w:rsidR="003A247A" w:rsidRPr="008F1795">
        <w:rPr>
          <w:i/>
          <w:iCs/>
          <w:lang w:val="tr-TR"/>
        </w:rPr>
        <w:t>ya devam etmektedir</w:t>
      </w:r>
      <w:r w:rsidR="00F07EF9" w:rsidRPr="008F1795">
        <w:rPr>
          <w:i/>
          <w:iCs/>
          <w:lang w:val="tr-TR"/>
        </w:rPr>
        <w:t>.</w:t>
      </w:r>
      <w:r w:rsidR="00F07EF9" w:rsidRPr="008F1795">
        <w:rPr>
          <w:lang w:val="tr-TR"/>
        </w:rPr>
        <w:t>”</w:t>
      </w:r>
      <w:r w:rsidR="00E67B1D" w:rsidRPr="008F1795">
        <w:rPr>
          <w:lang w:val="tr-TR"/>
        </w:rPr>
        <w:t xml:space="preserve"> diye belirtmiştir.</w:t>
      </w:r>
      <w:r w:rsidR="00E67B1D" w:rsidRPr="008F1795">
        <w:rPr>
          <w:rStyle w:val="DipnotBavurusu"/>
          <w:lang w:val="tr-TR"/>
        </w:rPr>
        <w:t xml:space="preserve"> </w:t>
      </w:r>
      <w:r w:rsidR="00E67B1D" w:rsidRPr="008F1795">
        <w:rPr>
          <w:rStyle w:val="DipnotBavurusu"/>
          <w:lang w:val="tr-TR"/>
        </w:rPr>
        <w:footnoteReference w:id="17"/>
      </w:r>
      <w:r w:rsidR="00E67B1D" w:rsidRPr="008F1795">
        <w:rPr>
          <w:lang w:val="tr-TR"/>
        </w:rPr>
        <w:t xml:space="preserve"> </w:t>
      </w:r>
    </w:p>
    <w:p w14:paraId="484D2593" w14:textId="77777777" w:rsidR="00870EA5" w:rsidRPr="008F1795" w:rsidRDefault="00870EA5" w:rsidP="00870EA5">
      <w:pPr>
        <w:pStyle w:val="ListeParagraf"/>
        <w:tabs>
          <w:tab w:val="left" w:pos="667"/>
        </w:tabs>
        <w:ind w:right="221"/>
        <w:rPr>
          <w:lang w:val="tr-TR"/>
        </w:rPr>
      </w:pPr>
    </w:p>
    <w:p w14:paraId="705CEE01" w14:textId="1CF78487" w:rsidR="00337C26" w:rsidRPr="008F1795" w:rsidRDefault="003E6E3F">
      <w:pPr>
        <w:pStyle w:val="ListeParagraf"/>
        <w:numPr>
          <w:ilvl w:val="0"/>
          <w:numId w:val="4"/>
        </w:numPr>
        <w:tabs>
          <w:tab w:val="left" w:pos="698"/>
        </w:tabs>
        <w:ind w:right="214" w:firstLine="0"/>
        <w:rPr>
          <w:lang w:val="tr-TR"/>
        </w:rPr>
      </w:pPr>
      <w:r w:rsidRPr="008F1795">
        <w:rPr>
          <w:lang w:val="tr-TR"/>
        </w:rPr>
        <w:t xml:space="preserve">BM İnsan Hakları Komitesi, Kasım 2012’de yayınlanan Türkiye hakkındaki sonuç gözlemlerinde, </w:t>
      </w:r>
      <w:r w:rsidR="004F724F" w:rsidRPr="008F1795">
        <w:rPr>
          <w:lang w:val="tr-TR"/>
        </w:rPr>
        <w:t xml:space="preserve">216. ve 314. </w:t>
      </w:r>
      <w:r w:rsidR="00241305" w:rsidRPr="008F1795">
        <w:rPr>
          <w:lang w:val="tr-TR"/>
        </w:rPr>
        <w:t>Madde</w:t>
      </w:r>
      <w:r w:rsidR="004F724F" w:rsidRPr="008F1795">
        <w:rPr>
          <w:lang w:val="tr-TR"/>
        </w:rPr>
        <w:t>ler dahil, ceza kanunun</w:t>
      </w:r>
      <w:r w:rsidR="004F0F6F">
        <w:rPr>
          <w:lang w:val="tr-TR"/>
        </w:rPr>
        <w:t>un</w:t>
      </w:r>
      <w:r w:rsidR="004F724F" w:rsidRPr="008F1795">
        <w:rPr>
          <w:lang w:val="tr-TR"/>
        </w:rPr>
        <w:t xml:space="preserve"> çeşitli hükümlerin</w:t>
      </w:r>
      <w:r w:rsidR="005B3CCC" w:rsidRPr="008F1795">
        <w:rPr>
          <w:lang w:val="tr-TR"/>
        </w:rPr>
        <w:t>in ifade özgürlüğünü olumsuz etkileyebileceğine dair endişe</w:t>
      </w:r>
      <w:r w:rsidR="00AD5CD7" w:rsidRPr="008F1795">
        <w:rPr>
          <w:lang w:val="tr-TR"/>
        </w:rPr>
        <w:t>lerini ifade etmiştir.</w:t>
      </w:r>
      <w:r w:rsidR="004F0F6F">
        <w:rPr>
          <w:lang w:val="tr-TR"/>
        </w:rPr>
        <w:t xml:space="preserve"> </w:t>
      </w:r>
      <w:r w:rsidR="00B34759" w:rsidRPr="008F1795">
        <w:rPr>
          <w:lang w:val="tr-TR"/>
        </w:rPr>
        <w:t>“</w:t>
      </w:r>
      <w:r w:rsidR="000E10BF" w:rsidRPr="008F1795">
        <w:rPr>
          <w:i/>
          <w:iCs/>
          <w:lang w:val="tr-TR"/>
        </w:rPr>
        <w:t>İ</w:t>
      </w:r>
      <w:r w:rsidR="00B34759" w:rsidRPr="008F1795">
        <w:rPr>
          <w:i/>
          <w:iCs/>
          <w:lang w:val="tr-TR"/>
        </w:rPr>
        <w:t xml:space="preserve">nsan hakları savunucuları ve medya çalışanları mesleklerini </w:t>
      </w:r>
      <w:r w:rsidR="00370365" w:rsidRPr="008F1795">
        <w:rPr>
          <w:i/>
          <w:iCs/>
          <w:lang w:val="tr-TR"/>
        </w:rPr>
        <w:t>yerine getirdikleri için hüküm giymeye devam etmektedir,</w:t>
      </w:r>
      <w:r w:rsidR="00022BAC" w:rsidRPr="008F1795">
        <w:rPr>
          <w:i/>
          <w:iCs/>
          <w:lang w:val="tr-TR"/>
        </w:rPr>
        <w:t xml:space="preserve">” </w:t>
      </w:r>
      <w:r w:rsidR="00022BAC" w:rsidRPr="008F1795">
        <w:rPr>
          <w:lang w:val="tr-TR"/>
        </w:rPr>
        <w:t>d</w:t>
      </w:r>
      <w:r w:rsidR="000E10BF" w:rsidRPr="008F1795">
        <w:rPr>
          <w:lang w:val="tr-TR"/>
        </w:rPr>
        <w:t>iye kaydeden Komite</w:t>
      </w:r>
      <w:r w:rsidR="000E10BF" w:rsidRPr="008F1795">
        <w:rPr>
          <w:i/>
          <w:iCs/>
          <w:lang w:val="tr-TR"/>
        </w:rPr>
        <w:t xml:space="preserve"> “</w:t>
      </w:r>
      <w:r w:rsidR="00370365" w:rsidRPr="008F1795">
        <w:rPr>
          <w:i/>
          <w:iCs/>
          <w:lang w:val="tr-TR"/>
        </w:rPr>
        <w:t>(…) dolayısıyla</w:t>
      </w:r>
      <w:r w:rsidR="00F2585C" w:rsidRPr="008F1795">
        <w:rPr>
          <w:i/>
          <w:iCs/>
          <w:lang w:val="tr-TR"/>
        </w:rPr>
        <w:t xml:space="preserve"> </w:t>
      </w:r>
      <w:r w:rsidR="00CF7350" w:rsidRPr="008F1795">
        <w:rPr>
          <w:i/>
          <w:iCs/>
          <w:lang w:val="tr-TR"/>
        </w:rPr>
        <w:t xml:space="preserve">kamu yararını ilgilendiren konularda </w:t>
      </w:r>
      <w:r w:rsidR="00DB5318" w:rsidRPr="008F1795">
        <w:rPr>
          <w:i/>
          <w:iCs/>
          <w:lang w:val="tr-TR"/>
        </w:rPr>
        <w:t xml:space="preserve">eleştirel haber yapan </w:t>
      </w:r>
      <w:r w:rsidR="005B59A2" w:rsidRPr="008F1795">
        <w:rPr>
          <w:i/>
          <w:iCs/>
          <w:lang w:val="tr-TR"/>
        </w:rPr>
        <w:t>medya</w:t>
      </w:r>
      <w:r w:rsidR="001E19D4" w:rsidRPr="008F1795">
        <w:rPr>
          <w:i/>
          <w:iCs/>
          <w:lang w:val="tr-TR"/>
        </w:rPr>
        <w:t xml:space="preserve"> </w:t>
      </w:r>
      <w:r w:rsidR="002B531D" w:rsidRPr="008F1795">
        <w:rPr>
          <w:i/>
          <w:iCs/>
          <w:lang w:val="tr-TR"/>
        </w:rPr>
        <w:t xml:space="preserve">ya da eleştirel görüşler </w:t>
      </w:r>
      <w:r w:rsidR="001E19D4" w:rsidRPr="008F1795">
        <w:rPr>
          <w:i/>
          <w:iCs/>
          <w:lang w:val="tr-TR"/>
        </w:rPr>
        <w:t>için</w:t>
      </w:r>
      <w:r w:rsidR="005B59A2" w:rsidRPr="008F1795">
        <w:rPr>
          <w:i/>
          <w:iCs/>
          <w:lang w:val="tr-TR"/>
        </w:rPr>
        <w:t xml:space="preserve"> </w:t>
      </w:r>
      <w:r w:rsidR="002B531D" w:rsidRPr="008F1795">
        <w:rPr>
          <w:i/>
          <w:iCs/>
          <w:lang w:val="tr-TR"/>
        </w:rPr>
        <w:t xml:space="preserve">bu durumun </w:t>
      </w:r>
      <w:r w:rsidR="00FB295B" w:rsidRPr="008F1795">
        <w:rPr>
          <w:i/>
          <w:iCs/>
          <w:lang w:val="tr-TR"/>
        </w:rPr>
        <w:t>caydırıcı olduğun</w:t>
      </w:r>
      <w:r w:rsidR="002B531D" w:rsidRPr="008F1795">
        <w:rPr>
          <w:i/>
          <w:iCs/>
          <w:lang w:val="tr-TR"/>
        </w:rPr>
        <w:t>a</w:t>
      </w:r>
      <w:r w:rsidR="00FB295B" w:rsidRPr="008F1795">
        <w:rPr>
          <w:i/>
          <w:iCs/>
          <w:lang w:val="tr-TR"/>
        </w:rPr>
        <w:t xml:space="preserve"> ve</w:t>
      </w:r>
      <w:r w:rsidR="00197529" w:rsidRPr="008F1795">
        <w:rPr>
          <w:i/>
          <w:iCs/>
          <w:lang w:val="tr-TR"/>
        </w:rPr>
        <w:t xml:space="preserve"> </w:t>
      </w:r>
      <w:r w:rsidR="00D83DAC" w:rsidRPr="008F1795">
        <w:rPr>
          <w:i/>
          <w:iCs/>
          <w:lang w:val="tr-TR"/>
        </w:rPr>
        <w:t>Taraf Devletteki ifade özgürlüğünü olumsuz etkilediğine</w:t>
      </w:r>
      <w:r w:rsidR="00D83DAC" w:rsidRPr="008F1795">
        <w:rPr>
          <w:lang w:val="tr-TR"/>
        </w:rPr>
        <w:t>” dair endişe</w:t>
      </w:r>
      <w:r w:rsidR="00842F12" w:rsidRPr="008F1795">
        <w:rPr>
          <w:lang w:val="tr-TR"/>
        </w:rPr>
        <w:t xml:space="preserve"> duyduğunu ifade etmiştir. </w:t>
      </w:r>
      <w:r w:rsidR="00FE620D" w:rsidRPr="008F1795">
        <w:rPr>
          <w:lang w:val="tr-TR"/>
        </w:rPr>
        <w:t xml:space="preserve">ICCPR 19. </w:t>
      </w:r>
      <w:r w:rsidR="00241305" w:rsidRPr="008F1795">
        <w:rPr>
          <w:lang w:val="tr-TR"/>
        </w:rPr>
        <w:t>Madde</w:t>
      </w:r>
      <w:r w:rsidR="00FE620D" w:rsidRPr="008F1795">
        <w:rPr>
          <w:lang w:val="tr-TR"/>
        </w:rPr>
        <w:t>si</w:t>
      </w:r>
      <w:r w:rsidR="00CD21E3" w:rsidRPr="008F1795">
        <w:rPr>
          <w:lang w:val="tr-TR"/>
        </w:rPr>
        <w:t xml:space="preserve"> kapsamında benimsediği genel yaklaşıma uygun olarak Komite,</w:t>
      </w:r>
      <w:r w:rsidR="006B2877" w:rsidRPr="008F1795">
        <w:rPr>
          <w:lang w:val="tr-TR"/>
        </w:rPr>
        <w:t xml:space="preserve"> </w:t>
      </w:r>
      <w:r w:rsidR="005E3670" w:rsidRPr="008F1795">
        <w:rPr>
          <w:i/>
          <w:iCs/>
          <w:lang w:val="tr-TR"/>
        </w:rPr>
        <w:t>diğer tavsiyelerinin yanı sıra</w:t>
      </w:r>
      <w:r w:rsidR="005E3670" w:rsidRPr="008F1795">
        <w:rPr>
          <w:lang w:val="tr-TR"/>
        </w:rPr>
        <w:t>, Türkiye’nin</w:t>
      </w:r>
      <w:r w:rsidR="006B2877" w:rsidRPr="008F1795">
        <w:rPr>
          <w:lang w:val="tr-TR"/>
        </w:rPr>
        <w:t xml:space="preserve"> “</w:t>
      </w:r>
      <w:r w:rsidR="00C2060E" w:rsidRPr="008F1795">
        <w:rPr>
          <w:i/>
          <w:iCs/>
          <w:lang w:val="tr-TR"/>
        </w:rPr>
        <w:t>insan hakları savunucuları ve gazetecileri</w:t>
      </w:r>
      <w:r w:rsidR="000B07B9" w:rsidRPr="008F1795">
        <w:rPr>
          <w:i/>
          <w:iCs/>
          <w:lang w:val="tr-TR"/>
        </w:rPr>
        <w:t xml:space="preserve">n yargılanma ve hakaret davası açılma korkusuna maruz kalmadan </w:t>
      </w:r>
      <w:r w:rsidR="00FA7023" w:rsidRPr="008F1795">
        <w:rPr>
          <w:i/>
          <w:iCs/>
          <w:lang w:val="tr-TR"/>
        </w:rPr>
        <w:t xml:space="preserve">mesleklerini icra </w:t>
      </w:r>
      <w:r w:rsidR="007E544A" w:rsidRPr="008F1795">
        <w:rPr>
          <w:i/>
          <w:iCs/>
          <w:lang w:val="tr-TR"/>
        </w:rPr>
        <w:t>etmesini sağlamasını</w:t>
      </w:r>
      <w:r w:rsidR="007E544A" w:rsidRPr="008F1795">
        <w:rPr>
          <w:lang w:val="tr-TR"/>
        </w:rPr>
        <w:t>”</w:t>
      </w:r>
      <w:r w:rsidR="00FA7023" w:rsidRPr="008F1795">
        <w:rPr>
          <w:lang w:val="tr-TR"/>
        </w:rPr>
        <w:t xml:space="preserve">,” ve </w:t>
      </w:r>
      <w:r w:rsidR="007E544A" w:rsidRPr="008F1795">
        <w:rPr>
          <w:lang w:val="tr-TR"/>
        </w:rPr>
        <w:t>“</w:t>
      </w:r>
      <w:r w:rsidR="000A7B7A" w:rsidRPr="008F1795">
        <w:rPr>
          <w:i/>
          <w:iCs/>
          <w:lang w:val="tr-TR"/>
        </w:rPr>
        <w:t xml:space="preserve">hakareti suç olmaktan çıkarmayı düşünmesini ve her </w:t>
      </w:r>
      <w:proofErr w:type="gramStart"/>
      <w:r w:rsidR="000A7B7A" w:rsidRPr="008F1795">
        <w:rPr>
          <w:i/>
          <w:iCs/>
          <w:lang w:val="tr-TR"/>
        </w:rPr>
        <w:t>halükarda</w:t>
      </w:r>
      <w:proofErr w:type="gramEnd"/>
      <w:r w:rsidR="000A7B7A" w:rsidRPr="008F1795">
        <w:rPr>
          <w:i/>
          <w:iCs/>
          <w:lang w:val="tr-TR"/>
        </w:rPr>
        <w:t xml:space="preserve"> </w:t>
      </w:r>
      <w:r w:rsidR="00FA5F16" w:rsidRPr="008F1795">
        <w:rPr>
          <w:i/>
          <w:iCs/>
          <w:lang w:val="tr-TR"/>
        </w:rPr>
        <w:t xml:space="preserve">hakaret için </w:t>
      </w:r>
      <w:r w:rsidR="002B3CA5" w:rsidRPr="008F1795">
        <w:rPr>
          <w:i/>
          <w:iCs/>
          <w:lang w:val="tr-TR"/>
        </w:rPr>
        <w:t xml:space="preserve">hapis cezasının asla uygun bir cezalandırma olmadığını dikkate alarak, </w:t>
      </w:r>
      <w:r w:rsidR="00806592" w:rsidRPr="008F1795">
        <w:rPr>
          <w:i/>
          <w:iCs/>
          <w:lang w:val="tr-TR"/>
        </w:rPr>
        <w:t>sadece en ciddi davalarda ceza hukukunu uygulamasını</w:t>
      </w:r>
      <w:r w:rsidR="00B80EEA" w:rsidRPr="008F1795">
        <w:rPr>
          <w:lang w:val="tr-TR"/>
        </w:rPr>
        <w:t>” tavsiye etmiştir.</w:t>
      </w:r>
      <w:r w:rsidR="00FE761A" w:rsidRPr="008F1795">
        <w:rPr>
          <w:rStyle w:val="DipnotBavurusu"/>
          <w:lang w:val="tr-TR"/>
        </w:rPr>
        <w:footnoteReference w:id="18"/>
      </w:r>
      <w:r w:rsidR="004E1059" w:rsidRPr="008F1795">
        <w:rPr>
          <w:lang w:val="tr-TR"/>
        </w:rPr>
        <w:t xml:space="preserve"> </w:t>
      </w:r>
    </w:p>
    <w:p w14:paraId="4845E37D" w14:textId="77777777" w:rsidR="00337C26" w:rsidRPr="008F1795" w:rsidRDefault="00337C26" w:rsidP="00337C26">
      <w:pPr>
        <w:pStyle w:val="ListeParagraf"/>
        <w:tabs>
          <w:tab w:val="left" w:pos="698"/>
        </w:tabs>
        <w:ind w:right="214"/>
        <w:rPr>
          <w:lang w:val="tr-TR"/>
        </w:rPr>
      </w:pPr>
    </w:p>
    <w:p w14:paraId="2EE0A57C" w14:textId="7D50111B" w:rsidR="00D30AFF" w:rsidRPr="008F1795" w:rsidRDefault="007201D1">
      <w:pPr>
        <w:pStyle w:val="ListeParagraf"/>
        <w:numPr>
          <w:ilvl w:val="0"/>
          <w:numId w:val="4"/>
        </w:numPr>
        <w:tabs>
          <w:tab w:val="left" w:pos="665"/>
        </w:tabs>
        <w:spacing w:before="94"/>
        <w:ind w:right="216" w:firstLine="0"/>
        <w:rPr>
          <w:lang w:val="tr-TR"/>
        </w:rPr>
      </w:pPr>
      <w:r w:rsidRPr="008F1795">
        <w:rPr>
          <w:lang w:val="tr-TR"/>
        </w:rPr>
        <w:t xml:space="preserve">Avrupa Komisyonu </w:t>
      </w:r>
      <w:r w:rsidR="00FF3C26" w:rsidRPr="008F1795">
        <w:rPr>
          <w:lang w:val="tr-TR"/>
        </w:rPr>
        <w:t xml:space="preserve">2015 yılı İlerleme Raporunda Türkiye’nin insan hakları sicilini değerlendirmiştir. Komisyon, </w:t>
      </w:r>
      <w:r w:rsidR="00131E3A" w:rsidRPr="008F1795">
        <w:rPr>
          <w:i/>
          <w:iCs/>
          <w:lang w:val="tr-TR"/>
        </w:rPr>
        <w:t>diğer hususların yanı sıra</w:t>
      </w:r>
      <w:r w:rsidR="00131E3A" w:rsidRPr="008F1795">
        <w:rPr>
          <w:lang w:val="tr-TR"/>
        </w:rPr>
        <w:t>, “</w:t>
      </w:r>
      <w:r w:rsidR="00131E3A" w:rsidRPr="008F1795">
        <w:rPr>
          <w:i/>
          <w:iCs/>
          <w:lang w:val="tr-TR"/>
        </w:rPr>
        <w:t>Ceza Kanununun</w:t>
      </w:r>
      <w:r w:rsidR="00B25F75" w:rsidRPr="008F1795">
        <w:rPr>
          <w:i/>
          <w:iCs/>
          <w:lang w:val="tr-TR"/>
        </w:rPr>
        <w:t xml:space="preserve"> (…) </w:t>
      </w:r>
      <w:r w:rsidR="00131E3A" w:rsidRPr="008F1795">
        <w:rPr>
          <w:i/>
          <w:iCs/>
          <w:lang w:val="tr-TR"/>
        </w:rPr>
        <w:t>ifade özgürlüğünü sınırlayan hükümlerinde değişiklik yapılmamıştır</w:t>
      </w:r>
      <w:r w:rsidR="00B25F75" w:rsidRPr="008F1795">
        <w:rPr>
          <w:i/>
          <w:iCs/>
          <w:lang w:val="tr-TR"/>
        </w:rPr>
        <w:t xml:space="preserve">. </w:t>
      </w:r>
      <w:r w:rsidR="0002438C" w:rsidRPr="008F1795">
        <w:rPr>
          <w:i/>
          <w:iCs/>
          <w:lang w:val="tr-TR"/>
        </w:rPr>
        <w:t>Gazeteciler hakkında kovuşturma yapmak için kullanılan silahlı örgüt üyesi olma</w:t>
      </w:r>
      <w:r w:rsidR="005A0C23" w:rsidRPr="008F1795">
        <w:rPr>
          <w:i/>
          <w:iCs/>
          <w:lang w:val="tr-TR"/>
        </w:rPr>
        <w:t xml:space="preserve">ya ilişkin 314. </w:t>
      </w:r>
      <w:r w:rsidR="00241305" w:rsidRPr="008F1795">
        <w:rPr>
          <w:i/>
          <w:iCs/>
          <w:lang w:val="tr-TR"/>
        </w:rPr>
        <w:t>Madde</w:t>
      </w:r>
      <w:r w:rsidR="005A0C23" w:rsidRPr="008F1795">
        <w:rPr>
          <w:i/>
          <w:iCs/>
          <w:lang w:val="tr-TR"/>
        </w:rPr>
        <w:t xml:space="preserve"> ya da hakaret suçuna ilişkin </w:t>
      </w:r>
      <w:r w:rsidR="00424A1A" w:rsidRPr="008F1795">
        <w:rPr>
          <w:i/>
          <w:iCs/>
          <w:lang w:val="tr-TR"/>
        </w:rPr>
        <w:t>hükümler</w:t>
      </w:r>
      <w:r w:rsidR="005A0C23" w:rsidRPr="008F1795">
        <w:rPr>
          <w:i/>
          <w:iCs/>
          <w:lang w:val="tr-TR"/>
        </w:rPr>
        <w:t xml:space="preserve"> gibi Ceza Kanununun b</w:t>
      </w:r>
      <w:r w:rsidR="00B25F75" w:rsidRPr="008F1795">
        <w:rPr>
          <w:i/>
          <w:iCs/>
          <w:lang w:val="tr-TR"/>
        </w:rPr>
        <w:t>azı hükümlerin</w:t>
      </w:r>
      <w:r w:rsidR="005A0C23" w:rsidRPr="008F1795">
        <w:rPr>
          <w:i/>
          <w:iCs/>
          <w:lang w:val="tr-TR"/>
        </w:rPr>
        <w:t>in</w:t>
      </w:r>
      <w:r w:rsidR="00B25F75" w:rsidRPr="008F1795">
        <w:rPr>
          <w:i/>
          <w:iCs/>
          <w:lang w:val="tr-TR"/>
        </w:rPr>
        <w:t xml:space="preserve"> değiştirilmesi </w:t>
      </w:r>
      <w:r w:rsidR="005A0C23" w:rsidRPr="008F1795">
        <w:rPr>
          <w:i/>
          <w:iCs/>
          <w:lang w:val="tr-TR"/>
        </w:rPr>
        <w:t>hala gerekmektedir</w:t>
      </w:r>
      <w:r w:rsidR="005A0C23" w:rsidRPr="008F1795">
        <w:rPr>
          <w:lang w:val="tr-TR"/>
        </w:rPr>
        <w:t>”</w:t>
      </w:r>
      <w:r w:rsidR="00424A1A" w:rsidRPr="008F1795">
        <w:rPr>
          <w:lang w:val="tr-TR"/>
        </w:rPr>
        <w:t xml:space="preserve"> diye belirtmiştir</w:t>
      </w:r>
      <w:r w:rsidR="00843D1D" w:rsidRPr="008F1795">
        <w:rPr>
          <w:lang w:val="tr-TR"/>
        </w:rPr>
        <w:t>.</w:t>
      </w:r>
      <w:r w:rsidR="00843D1D" w:rsidRPr="008F1795">
        <w:rPr>
          <w:rStyle w:val="DipnotBavurusu"/>
          <w:lang w:val="tr-TR"/>
        </w:rPr>
        <w:footnoteReference w:id="19"/>
      </w:r>
    </w:p>
    <w:p w14:paraId="62402339" w14:textId="77777777" w:rsidR="00D30AFF" w:rsidRPr="008F1795" w:rsidRDefault="00D30AFF" w:rsidP="00D30AFF">
      <w:pPr>
        <w:pStyle w:val="ListeParagraf"/>
        <w:tabs>
          <w:tab w:val="left" w:pos="665"/>
        </w:tabs>
        <w:spacing w:before="94"/>
        <w:ind w:right="216"/>
        <w:rPr>
          <w:lang w:val="tr-TR"/>
        </w:rPr>
      </w:pPr>
    </w:p>
    <w:p w14:paraId="7527288E" w14:textId="272EDCBD" w:rsidR="00424A1A" w:rsidRPr="008F1795" w:rsidRDefault="00C03247">
      <w:pPr>
        <w:pStyle w:val="ListeParagraf"/>
        <w:numPr>
          <w:ilvl w:val="0"/>
          <w:numId w:val="4"/>
        </w:numPr>
        <w:tabs>
          <w:tab w:val="left" w:pos="662"/>
        </w:tabs>
        <w:ind w:right="218" w:firstLine="0"/>
        <w:rPr>
          <w:lang w:val="tr-TR"/>
        </w:rPr>
      </w:pPr>
      <w:r w:rsidRPr="008F1795">
        <w:rPr>
          <w:lang w:val="tr-TR"/>
        </w:rPr>
        <w:t>Türkiye’nin Güneydoğusunda yürütülen askeri operasyonun sona erdirilmesi çağrısında bulu</w:t>
      </w:r>
      <w:r w:rsidR="00E53502" w:rsidRPr="008F1795">
        <w:rPr>
          <w:lang w:val="tr-TR"/>
        </w:rPr>
        <w:t>nan ve hükümeti uluslararası hukuku ihlal etmekle suçlayan, 1000’den fazla kişinin imza attığı bir dilekçey</w:t>
      </w:r>
      <w:r w:rsidR="007A097B" w:rsidRPr="008F1795">
        <w:rPr>
          <w:lang w:val="tr-TR"/>
        </w:rPr>
        <w:t>i</w:t>
      </w:r>
      <w:r w:rsidR="00E53502" w:rsidRPr="008F1795">
        <w:rPr>
          <w:lang w:val="tr-TR"/>
        </w:rPr>
        <w:t xml:space="preserve"> imzaladıkları için 27 akademisyen</w:t>
      </w:r>
      <w:r w:rsidR="00D86311" w:rsidRPr="008F1795">
        <w:rPr>
          <w:lang w:val="tr-TR"/>
        </w:rPr>
        <w:t>in 14 Ocak 2016’da polis tarafından alıkonulduğu bildirilmiştir.</w:t>
      </w:r>
      <w:r w:rsidR="00254446" w:rsidRPr="008F1795">
        <w:rPr>
          <w:rStyle w:val="DipnotBavurusu"/>
          <w:lang w:val="tr-TR"/>
        </w:rPr>
        <w:footnoteReference w:id="20"/>
      </w:r>
      <w:r w:rsidR="00D86311" w:rsidRPr="008F1795">
        <w:rPr>
          <w:lang w:val="tr-TR"/>
        </w:rPr>
        <w:t xml:space="preserve"> </w:t>
      </w:r>
      <w:r w:rsidR="007A097B" w:rsidRPr="008F1795">
        <w:rPr>
          <w:lang w:val="tr-TR"/>
        </w:rPr>
        <w:t xml:space="preserve">Basında çıkan haberlere göre, </w:t>
      </w:r>
      <w:r w:rsidR="00587B82" w:rsidRPr="008F1795">
        <w:rPr>
          <w:lang w:val="tr-TR"/>
        </w:rPr>
        <w:t>söz konusu</w:t>
      </w:r>
      <w:r w:rsidR="007A097B" w:rsidRPr="008F1795">
        <w:rPr>
          <w:lang w:val="tr-TR"/>
        </w:rPr>
        <w:t xml:space="preserve"> </w:t>
      </w:r>
      <w:r w:rsidR="00587B82" w:rsidRPr="008F1795">
        <w:rPr>
          <w:lang w:val="tr-TR"/>
        </w:rPr>
        <w:t>akademisyenler</w:t>
      </w:r>
      <w:r w:rsidR="00C540E1" w:rsidRPr="008F1795">
        <w:rPr>
          <w:lang w:val="tr-TR"/>
        </w:rPr>
        <w:t>in</w:t>
      </w:r>
      <w:r w:rsidR="007A097B" w:rsidRPr="008F1795">
        <w:rPr>
          <w:lang w:val="tr-TR"/>
        </w:rPr>
        <w:t xml:space="preserve"> “terörizm </w:t>
      </w:r>
      <w:r w:rsidR="00587B82" w:rsidRPr="008F1795">
        <w:rPr>
          <w:lang w:val="tr-TR"/>
        </w:rPr>
        <w:t>propagandasını</w:t>
      </w:r>
      <w:r w:rsidR="00897DDF" w:rsidRPr="008F1795">
        <w:rPr>
          <w:lang w:val="tr-TR"/>
        </w:rPr>
        <w:t xml:space="preserve">” yaymak ve Devlete hakaret etmek (Ceza Kanununun 301. </w:t>
      </w:r>
      <w:r w:rsidR="00241305" w:rsidRPr="008F1795">
        <w:rPr>
          <w:lang w:val="tr-TR"/>
        </w:rPr>
        <w:t>Madde</w:t>
      </w:r>
      <w:r w:rsidR="00897DDF" w:rsidRPr="008F1795">
        <w:rPr>
          <w:lang w:val="tr-TR"/>
        </w:rPr>
        <w:t xml:space="preserve">si) suçuyla </w:t>
      </w:r>
      <w:r w:rsidR="00C540E1" w:rsidRPr="008F1795">
        <w:rPr>
          <w:lang w:val="tr-TR"/>
        </w:rPr>
        <w:t>yakalanması</w:t>
      </w:r>
      <w:r w:rsidR="00254446" w:rsidRPr="008F1795">
        <w:rPr>
          <w:lang w:val="tr-TR"/>
        </w:rPr>
        <w:t>na dair</w:t>
      </w:r>
      <w:r w:rsidR="00C540E1" w:rsidRPr="008F1795">
        <w:rPr>
          <w:lang w:val="tr-TR"/>
        </w:rPr>
        <w:t xml:space="preserve"> talimat verilmiştir.</w:t>
      </w:r>
      <w:r w:rsidR="00F355BE" w:rsidRPr="008F1795">
        <w:rPr>
          <w:rStyle w:val="DipnotBavurusu"/>
          <w:lang w:val="tr-TR"/>
        </w:rPr>
        <w:footnoteReference w:id="21"/>
      </w:r>
      <w:r w:rsidR="00C540E1" w:rsidRPr="008F1795">
        <w:rPr>
          <w:lang w:val="tr-TR"/>
        </w:rPr>
        <w:t xml:space="preserve"> </w:t>
      </w:r>
      <w:r w:rsidR="00C40EF1" w:rsidRPr="008F1795">
        <w:rPr>
          <w:lang w:val="tr-TR"/>
        </w:rPr>
        <w:t xml:space="preserve">Avrupa Konseyi Genel Sekreteri 15 Ocak 2016’da </w:t>
      </w:r>
      <w:r w:rsidR="00B07A92" w:rsidRPr="008F1795">
        <w:rPr>
          <w:lang w:val="tr-TR"/>
        </w:rPr>
        <w:t>akademisyenlerin</w:t>
      </w:r>
      <w:r w:rsidR="00C40EF1" w:rsidRPr="008F1795">
        <w:rPr>
          <w:lang w:val="tr-TR"/>
        </w:rPr>
        <w:t xml:space="preserve"> </w:t>
      </w:r>
      <w:r w:rsidR="00B07A92" w:rsidRPr="008F1795">
        <w:rPr>
          <w:lang w:val="tr-TR"/>
        </w:rPr>
        <w:t xml:space="preserve">polis tarafından </w:t>
      </w:r>
      <w:r w:rsidR="00C40EF1" w:rsidRPr="008F1795">
        <w:rPr>
          <w:lang w:val="tr-TR"/>
        </w:rPr>
        <w:t>yakalanmasında</w:t>
      </w:r>
      <w:r w:rsidR="00B07A92" w:rsidRPr="008F1795">
        <w:rPr>
          <w:lang w:val="tr-TR"/>
        </w:rPr>
        <w:t>n</w:t>
      </w:r>
      <w:r w:rsidR="00C40EF1" w:rsidRPr="008F1795">
        <w:rPr>
          <w:lang w:val="tr-TR"/>
        </w:rPr>
        <w:t xml:space="preserve"> dolayı duyduğu endişe</w:t>
      </w:r>
      <w:r w:rsidR="00B07A92" w:rsidRPr="008F1795">
        <w:rPr>
          <w:lang w:val="tr-TR"/>
        </w:rPr>
        <w:t>yi ifade eden bir açıklama yapmıştır.</w:t>
      </w:r>
      <w:r w:rsidR="007841FE" w:rsidRPr="008F1795">
        <w:rPr>
          <w:rStyle w:val="DipnotBavurusu"/>
          <w:lang w:val="tr-TR"/>
        </w:rPr>
        <w:footnoteReference w:id="22"/>
      </w:r>
      <w:r w:rsidR="00B07A92" w:rsidRPr="008F1795">
        <w:rPr>
          <w:lang w:val="tr-TR"/>
        </w:rPr>
        <w:t xml:space="preserve"> </w:t>
      </w:r>
    </w:p>
    <w:p w14:paraId="496F4A21" w14:textId="2169BB30" w:rsidR="00424A1A" w:rsidRDefault="00424A1A" w:rsidP="00424A1A">
      <w:pPr>
        <w:pStyle w:val="ListeParagraf"/>
        <w:tabs>
          <w:tab w:val="left" w:pos="662"/>
        </w:tabs>
        <w:ind w:right="218"/>
        <w:rPr>
          <w:lang w:val="tr-TR"/>
        </w:rPr>
      </w:pPr>
    </w:p>
    <w:p w14:paraId="703EF062" w14:textId="3998D889" w:rsidR="004506E1" w:rsidRDefault="004506E1" w:rsidP="00424A1A">
      <w:pPr>
        <w:pStyle w:val="ListeParagraf"/>
        <w:tabs>
          <w:tab w:val="left" w:pos="662"/>
        </w:tabs>
        <w:ind w:right="218"/>
        <w:rPr>
          <w:lang w:val="tr-TR"/>
        </w:rPr>
      </w:pPr>
    </w:p>
    <w:p w14:paraId="37B7E034" w14:textId="77777777" w:rsidR="004506E1" w:rsidRPr="008F1795" w:rsidRDefault="004506E1" w:rsidP="00424A1A">
      <w:pPr>
        <w:pStyle w:val="ListeParagraf"/>
        <w:tabs>
          <w:tab w:val="left" w:pos="662"/>
        </w:tabs>
        <w:ind w:right="218"/>
        <w:rPr>
          <w:lang w:val="tr-TR"/>
        </w:rPr>
      </w:pPr>
    </w:p>
    <w:p w14:paraId="0AC6112D" w14:textId="77777777" w:rsidR="00B74CEA" w:rsidRPr="008F1795" w:rsidRDefault="00B74CEA">
      <w:pPr>
        <w:pStyle w:val="GvdeMetni"/>
        <w:spacing w:before="8"/>
        <w:rPr>
          <w:sz w:val="21"/>
          <w:lang w:val="tr-TR"/>
        </w:rPr>
      </w:pPr>
    </w:p>
    <w:p w14:paraId="6B8D9082" w14:textId="46DE247A" w:rsidR="00B74CEA" w:rsidRPr="008F1795" w:rsidRDefault="00BE381E">
      <w:pPr>
        <w:pStyle w:val="Balk1"/>
        <w:numPr>
          <w:ilvl w:val="0"/>
          <w:numId w:val="5"/>
        </w:numPr>
        <w:tabs>
          <w:tab w:val="left" w:pos="919"/>
        </w:tabs>
        <w:ind w:hanging="721"/>
        <w:jc w:val="both"/>
        <w:rPr>
          <w:lang w:val="tr-TR"/>
        </w:rPr>
      </w:pPr>
      <w:bookmarkStart w:id="5" w:name="_bookmark5"/>
      <w:bookmarkEnd w:id="5"/>
      <w:r w:rsidRPr="008F1795">
        <w:rPr>
          <w:lang w:val="tr-TR"/>
        </w:rPr>
        <w:t>Anal</w:t>
      </w:r>
      <w:r w:rsidR="004E1059" w:rsidRPr="008F1795">
        <w:rPr>
          <w:lang w:val="tr-TR"/>
        </w:rPr>
        <w:t>iz</w:t>
      </w:r>
    </w:p>
    <w:p w14:paraId="30EDCF07" w14:textId="77777777" w:rsidR="00B74CEA" w:rsidRPr="008F1795" w:rsidRDefault="00B74CEA">
      <w:pPr>
        <w:pStyle w:val="GvdeMetni"/>
        <w:spacing w:before="7"/>
        <w:rPr>
          <w:b/>
          <w:sz w:val="23"/>
          <w:lang w:val="tr-TR"/>
        </w:rPr>
      </w:pPr>
    </w:p>
    <w:p w14:paraId="2E2C0680" w14:textId="5E6D8762" w:rsidR="00B74CEA" w:rsidRPr="008F1795" w:rsidRDefault="00D82B64">
      <w:pPr>
        <w:pStyle w:val="Balk1"/>
        <w:numPr>
          <w:ilvl w:val="1"/>
          <w:numId w:val="5"/>
        </w:numPr>
        <w:tabs>
          <w:tab w:val="left" w:pos="1638"/>
          <w:tab w:val="left" w:pos="1639"/>
        </w:tabs>
        <w:ind w:left="1638" w:hanging="721"/>
        <w:rPr>
          <w:lang w:val="tr-TR"/>
        </w:rPr>
      </w:pPr>
      <w:bookmarkStart w:id="6" w:name="_bookmark6"/>
      <w:bookmarkEnd w:id="6"/>
      <w:r w:rsidRPr="008F1795">
        <w:rPr>
          <w:lang w:val="tr-TR"/>
        </w:rPr>
        <w:t>Ön Yorum</w:t>
      </w:r>
    </w:p>
    <w:p w14:paraId="6A0236DC" w14:textId="77777777" w:rsidR="00B74CEA" w:rsidRPr="008F1795" w:rsidRDefault="00B74CEA">
      <w:pPr>
        <w:pStyle w:val="GvdeMetni"/>
        <w:rPr>
          <w:b/>
          <w:lang w:val="tr-TR"/>
        </w:rPr>
      </w:pPr>
    </w:p>
    <w:p w14:paraId="6A8DCB0C" w14:textId="645BADF3" w:rsidR="00952B2A" w:rsidRPr="008F1795" w:rsidRDefault="00DA5147">
      <w:pPr>
        <w:pStyle w:val="ListeParagraf"/>
        <w:numPr>
          <w:ilvl w:val="0"/>
          <w:numId w:val="4"/>
        </w:numPr>
        <w:tabs>
          <w:tab w:val="left" w:pos="669"/>
        </w:tabs>
        <w:ind w:right="214" w:firstLine="0"/>
        <w:rPr>
          <w:lang w:val="tr-TR"/>
        </w:rPr>
      </w:pPr>
      <w:r w:rsidRPr="008F1795">
        <w:rPr>
          <w:lang w:val="tr-TR"/>
        </w:rPr>
        <w:t>Devletler</w:t>
      </w:r>
      <w:r w:rsidR="00CE21E5" w:rsidRPr="008F1795">
        <w:rPr>
          <w:lang w:val="tr-TR"/>
        </w:rPr>
        <w:t>, insanların kendilerini ifade etmesine ve kamu</w:t>
      </w:r>
      <w:r w:rsidR="00354041" w:rsidRPr="008F1795">
        <w:rPr>
          <w:lang w:val="tr-TR"/>
        </w:rPr>
        <w:t>sal</w:t>
      </w:r>
      <w:r w:rsidR="00CE21E5" w:rsidRPr="008F1795">
        <w:rPr>
          <w:lang w:val="tr-TR"/>
        </w:rPr>
        <w:t xml:space="preserve"> tartışmalara korkmadan katılmasına olanak tanıyan,</w:t>
      </w:r>
      <w:r w:rsidRPr="008F1795">
        <w:rPr>
          <w:lang w:val="tr-TR"/>
        </w:rPr>
        <w:t xml:space="preserve"> farklı ve alternatif</w:t>
      </w:r>
      <w:r w:rsidR="00DF19D1">
        <w:rPr>
          <w:lang w:val="tr-TR"/>
        </w:rPr>
        <w:t xml:space="preserve"> </w:t>
      </w:r>
      <w:r w:rsidR="00E92BB9">
        <w:rPr>
          <w:lang w:val="tr-TR"/>
        </w:rPr>
        <w:t>fikirlerin</w:t>
      </w:r>
      <w:r w:rsidRPr="008F1795">
        <w:rPr>
          <w:lang w:val="tr-TR"/>
        </w:rPr>
        <w:t xml:space="preserve"> üretilebileceği </w:t>
      </w:r>
      <w:r w:rsidRPr="008F1795">
        <w:rPr>
          <w:i/>
          <w:iCs/>
          <w:lang w:val="tr-TR"/>
        </w:rPr>
        <w:t>elverişli bir ortam</w:t>
      </w:r>
      <w:r w:rsidRPr="008F1795">
        <w:rPr>
          <w:lang w:val="tr-TR"/>
        </w:rPr>
        <w:t xml:space="preserve"> yaratmakla yükümlüdür</w:t>
      </w:r>
      <w:r w:rsidR="00354041" w:rsidRPr="008F1795">
        <w:rPr>
          <w:lang w:val="tr-TR"/>
        </w:rPr>
        <w:t>.</w:t>
      </w:r>
      <w:r w:rsidR="00354041" w:rsidRPr="008F1795">
        <w:rPr>
          <w:rStyle w:val="DipnotBavurusu"/>
          <w:lang w:val="tr-TR"/>
        </w:rPr>
        <w:footnoteReference w:id="23"/>
      </w:r>
      <w:r w:rsidR="00354041" w:rsidRPr="008F1795">
        <w:rPr>
          <w:lang w:val="tr-TR"/>
        </w:rPr>
        <w:t xml:space="preserve"> Bu yükümlülük</w:t>
      </w:r>
      <w:r w:rsidR="00D07040" w:rsidRPr="008F1795">
        <w:rPr>
          <w:lang w:val="tr-TR"/>
        </w:rPr>
        <w:t xml:space="preserve"> </w:t>
      </w:r>
      <w:r w:rsidR="001707BD">
        <w:rPr>
          <w:lang w:val="tr-TR"/>
        </w:rPr>
        <w:t>nedeniyle</w:t>
      </w:r>
      <w:r w:rsidR="00D07040" w:rsidRPr="008F1795">
        <w:rPr>
          <w:lang w:val="tr-TR"/>
        </w:rPr>
        <w:t xml:space="preserve"> Devletlerin</w:t>
      </w:r>
      <w:r w:rsidR="00EA26EC">
        <w:rPr>
          <w:lang w:val="tr-TR"/>
        </w:rPr>
        <w:t xml:space="preserve"> ayrıca</w:t>
      </w:r>
      <w:r w:rsidR="00354041" w:rsidRPr="008F1795">
        <w:rPr>
          <w:lang w:val="tr-TR"/>
        </w:rPr>
        <w:t xml:space="preserve">, </w:t>
      </w:r>
      <w:r w:rsidR="00C6127C">
        <w:rPr>
          <w:lang w:val="tr-TR"/>
        </w:rPr>
        <w:t xml:space="preserve">halkın </w:t>
      </w:r>
      <w:r w:rsidR="009B5380" w:rsidRPr="008F1795">
        <w:rPr>
          <w:lang w:val="tr-TR"/>
        </w:rPr>
        <w:t>kanuni yaptırım</w:t>
      </w:r>
      <w:r w:rsidR="00EF6094" w:rsidRPr="008F1795">
        <w:rPr>
          <w:lang w:val="tr-TR"/>
        </w:rPr>
        <w:t xml:space="preserve"> tehdi</w:t>
      </w:r>
      <w:r w:rsidR="00694ECD" w:rsidRPr="008F1795">
        <w:rPr>
          <w:lang w:val="tr-TR"/>
        </w:rPr>
        <w:t>di</w:t>
      </w:r>
      <w:r w:rsidR="00C6127C">
        <w:rPr>
          <w:lang w:val="tr-TR"/>
        </w:rPr>
        <w:t>nden</w:t>
      </w:r>
      <w:r w:rsidR="00EF6094" w:rsidRPr="008F1795">
        <w:rPr>
          <w:lang w:val="tr-TR"/>
        </w:rPr>
        <w:t xml:space="preserve"> dolayı </w:t>
      </w:r>
      <w:r w:rsidR="0040752C" w:rsidRPr="008F1795">
        <w:rPr>
          <w:lang w:val="tr-TR"/>
        </w:rPr>
        <w:t xml:space="preserve">meşru </w:t>
      </w:r>
      <w:r w:rsidR="00EF6094" w:rsidRPr="008F1795">
        <w:rPr>
          <w:lang w:val="tr-TR"/>
        </w:rPr>
        <w:t xml:space="preserve">ifade </w:t>
      </w:r>
      <w:r w:rsidR="0040752C" w:rsidRPr="008F1795">
        <w:rPr>
          <w:lang w:val="tr-TR"/>
        </w:rPr>
        <w:t xml:space="preserve">özgürlüğü hakkını </w:t>
      </w:r>
      <w:r w:rsidR="00815EB5" w:rsidRPr="008F1795">
        <w:rPr>
          <w:lang w:val="tr-TR"/>
        </w:rPr>
        <w:t>kullanma</w:t>
      </w:r>
      <w:r w:rsidR="00A249F5" w:rsidRPr="008F1795">
        <w:rPr>
          <w:lang w:val="tr-TR"/>
        </w:rPr>
        <w:t>ktan</w:t>
      </w:r>
      <w:r w:rsidR="002A218D" w:rsidRPr="008F1795">
        <w:rPr>
          <w:lang w:val="tr-TR"/>
        </w:rPr>
        <w:t xml:space="preserve"> vazgeç</w:t>
      </w:r>
      <w:r w:rsidR="007958BA">
        <w:rPr>
          <w:lang w:val="tr-TR"/>
        </w:rPr>
        <w:t>mesine neden olan ve</w:t>
      </w:r>
      <w:r w:rsidR="002A218D" w:rsidRPr="008F1795">
        <w:rPr>
          <w:lang w:val="tr-TR"/>
        </w:rPr>
        <w:t xml:space="preserve"> toplum</w:t>
      </w:r>
      <w:r w:rsidR="00D07040" w:rsidRPr="008F1795">
        <w:rPr>
          <w:lang w:val="tr-TR"/>
        </w:rPr>
        <w:t xml:space="preserve"> üzerinde caydırıcı etki bırakabilen tedbirler almaktan kaçınma</w:t>
      </w:r>
      <w:r w:rsidR="00B94642" w:rsidRPr="008F1795">
        <w:rPr>
          <w:lang w:val="tr-TR"/>
        </w:rPr>
        <w:t xml:space="preserve"> yükümlülüğü de </w:t>
      </w:r>
      <w:r w:rsidR="001707BD">
        <w:rPr>
          <w:lang w:val="tr-TR"/>
        </w:rPr>
        <w:t>bulunmaktadır</w:t>
      </w:r>
      <w:r w:rsidR="00B94642" w:rsidRPr="008F1795">
        <w:rPr>
          <w:lang w:val="tr-TR"/>
        </w:rPr>
        <w:t>.</w:t>
      </w:r>
      <w:r w:rsidR="00A249F5" w:rsidRPr="008F1795">
        <w:rPr>
          <w:rStyle w:val="DipnotBavurusu"/>
          <w:lang w:val="tr-TR"/>
        </w:rPr>
        <w:footnoteReference w:id="24"/>
      </w:r>
    </w:p>
    <w:p w14:paraId="6C85816F" w14:textId="77777777" w:rsidR="00952B2A" w:rsidRPr="008F1795" w:rsidRDefault="00952B2A" w:rsidP="00952B2A">
      <w:pPr>
        <w:pStyle w:val="ListeParagraf"/>
        <w:tabs>
          <w:tab w:val="left" w:pos="669"/>
        </w:tabs>
        <w:ind w:right="214"/>
        <w:rPr>
          <w:lang w:val="tr-TR"/>
        </w:rPr>
      </w:pPr>
    </w:p>
    <w:p w14:paraId="3D575511" w14:textId="6810106C" w:rsidR="009146D6" w:rsidRPr="008F1795" w:rsidRDefault="003333C6" w:rsidP="00F0231B">
      <w:pPr>
        <w:pStyle w:val="ListeParagraf"/>
        <w:numPr>
          <w:ilvl w:val="0"/>
          <w:numId w:val="4"/>
        </w:numPr>
        <w:tabs>
          <w:tab w:val="left" w:pos="650"/>
        </w:tabs>
        <w:ind w:firstLine="0"/>
        <w:rPr>
          <w:lang w:val="tr-TR"/>
        </w:rPr>
      </w:pPr>
      <w:r w:rsidRPr="008F1795">
        <w:rPr>
          <w:lang w:val="tr-TR"/>
        </w:rPr>
        <w:t>Venedik Komisyonunun Ankara ziyaretinde yetkililer</w:t>
      </w:r>
      <w:r w:rsidR="00C27111" w:rsidRPr="008F1795">
        <w:rPr>
          <w:lang w:val="tr-TR"/>
        </w:rPr>
        <w:t>,</w:t>
      </w:r>
      <w:r w:rsidRPr="008F1795">
        <w:rPr>
          <w:lang w:val="tr-TR"/>
        </w:rPr>
        <w:t xml:space="preserve"> </w:t>
      </w:r>
      <w:r w:rsidR="00126F88" w:rsidRPr="008F1795">
        <w:rPr>
          <w:lang w:val="tr-TR"/>
        </w:rPr>
        <w:t xml:space="preserve">Yargıtay ve Anayasa Mahkemesinin </w:t>
      </w:r>
      <w:r w:rsidR="00E8024D" w:rsidRPr="008F1795">
        <w:rPr>
          <w:lang w:val="tr-TR"/>
        </w:rPr>
        <w:t xml:space="preserve">davalarda ilkeli bir yaklaşım benimseyerek, </w:t>
      </w:r>
      <w:r w:rsidR="00126F88" w:rsidRPr="008F1795">
        <w:rPr>
          <w:lang w:val="tr-TR"/>
        </w:rPr>
        <w:t xml:space="preserve">ifade </w:t>
      </w:r>
      <w:r w:rsidR="003917D0" w:rsidRPr="008F1795">
        <w:rPr>
          <w:lang w:val="tr-TR"/>
        </w:rPr>
        <w:t>özgürlüğü</w:t>
      </w:r>
      <w:r w:rsidR="00D36EDC" w:rsidRPr="008F1795">
        <w:rPr>
          <w:lang w:val="tr-TR"/>
        </w:rPr>
        <w:t xml:space="preserve"> ile ilgili </w:t>
      </w:r>
      <w:r w:rsidR="00126F88" w:rsidRPr="008F1795">
        <w:rPr>
          <w:lang w:val="tr-TR"/>
        </w:rPr>
        <w:t xml:space="preserve">uluslararası insan hakları standartlarını </w:t>
      </w:r>
      <w:r w:rsidR="00D36EDC" w:rsidRPr="008F1795">
        <w:rPr>
          <w:lang w:val="tr-TR"/>
        </w:rPr>
        <w:t>uygulamış oldukları karar</w:t>
      </w:r>
      <w:r w:rsidR="00E8024D" w:rsidRPr="008F1795">
        <w:rPr>
          <w:lang w:val="tr-TR"/>
        </w:rPr>
        <w:t xml:space="preserve">ları heyete sunmuştur. </w:t>
      </w:r>
      <w:r w:rsidR="00F92B5D" w:rsidRPr="008F1795">
        <w:rPr>
          <w:lang w:val="tr-TR"/>
        </w:rPr>
        <w:t xml:space="preserve">Örneğin Anayasa Mahkemesi, bireysel başvuru üzerine 4 </w:t>
      </w:r>
      <w:r w:rsidR="00F0231B" w:rsidRPr="008F1795">
        <w:rPr>
          <w:lang w:val="tr-TR"/>
        </w:rPr>
        <w:t>H</w:t>
      </w:r>
      <w:r w:rsidR="00F92B5D" w:rsidRPr="008F1795">
        <w:rPr>
          <w:lang w:val="tr-TR"/>
        </w:rPr>
        <w:t>aziran 2015</w:t>
      </w:r>
      <w:r w:rsidR="00F0231B" w:rsidRPr="008F1795">
        <w:rPr>
          <w:lang w:val="tr-TR"/>
        </w:rPr>
        <w:t xml:space="preserve"> tarihinde aldığı kararda, </w:t>
      </w:r>
      <w:r w:rsidR="009146D6" w:rsidRPr="008F1795">
        <w:rPr>
          <w:lang w:val="tr-TR"/>
        </w:rPr>
        <w:t>başvuru</w:t>
      </w:r>
      <w:r w:rsidR="00AE70A4">
        <w:rPr>
          <w:lang w:val="tr-TR"/>
        </w:rPr>
        <w:t>cu</w:t>
      </w:r>
      <w:r w:rsidR="00917A93">
        <w:rPr>
          <w:lang w:val="tr-TR"/>
        </w:rPr>
        <w:t>yu</w:t>
      </w:r>
      <w:r w:rsidR="009146D6" w:rsidRPr="008F1795">
        <w:rPr>
          <w:lang w:val="tr-TR"/>
        </w:rPr>
        <w:t xml:space="preserve"> (tanınmış bir köşe yazarı ve gazeteci) köşe yazısında kamu görevlilerine hakaret ettiği için Ceza Kanununun 125. </w:t>
      </w:r>
      <w:r w:rsidR="00241305" w:rsidRPr="008F1795">
        <w:rPr>
          <w:lang w:val="tr-TR"/>
        </w:rPr>
        <w:t>Madde</w:t>
      </w:r>
      <w:r w:rsidR="009146D6" w:rsidRPr="008F1795">
        <w:rPr>
          <w:lang w:val="tr-TR"/>
        </w:rPr>
        <w:t>si uyarınca suçlu</w:t>
      </w:r>
      <w:r w:rsidR="003D5447" w:rsidRPr="008F1795">
        <w:rPr>
          <w:lang w:val="tr-TR"/>
        </w:rPr>
        <w:t xml:space="preserve"> bul</w:t>
      </w:r>
      <w:r w:rsidR="00AB2521">
        <w:rPr>
          <w:lang w:val="tr-TR"/>
        </w:rPr>
        <w:t xml:space="preserve">an alt mahkemenin </w:t>
      </w:r>
      <w:r w:rsidR="003D5447" w:rsidRPr="008F1795">
        <w:rPr>
          <w:lang w:val="tr-TR"/>
        </w:rPr>
        <w:t>kararın</w:t>
      </w:r>
      <w:r w:rsidR="00AB2521">
        <w:rPr>
          <w:lang w:val="tr-TR"/>
        </w:rPr>
        <w:t>ı</w:t>
      </w:r>
      <w:r w:rsidR="00917A93">
        <w:rPr>
          <w:lang w:val="tr-TR"/>
        </w:rPr>
        <w:t>n</w:t>
      </w:r>
      <w:r w:rsidR="003D5447" w:rsidRPr="008F1795">
        <w:rPr>
          <w:lang w:val="tr-TR"/>
        </w:rPr>
        <w:t>,</w:t>
      </w:r>
      <w:r w:rsidR="009146D6" w:rsidRPr="008F1795">
        <w:rPr>
          <w:lang w:val="tr-TR"/>
        </w:rPr>
        <w:t xml:space="preserve"> </w:t>
      </w:r>
      <w:r w:rsidR="003D5447" w:rsidRPr="008F1795">
        <w:rPr>
          <w:lang w:val="tr-TR"/>
        </w:rPr>
        <w:t>başvuru</w:t>
      </w:r>
      <w:r w:rsidR="00A95AAA">
        <w:rPr>
          <w:lang w:val="tr-TR"/>
        </w:rPr>
        <w:t>cu</w:t>
      </w:r>
      <w:r w:rsidR="00804025">
        <w:rPr>
          <w:lang w:val="tr-TR"/>
        </w:rPr>
        <w:t>nun</w:t>
      </w:r>
      <w:r w:rsidR="003D5447" w:rsidRPr="008F1795">
        <w:rPr>
          <w:lang w:val="tr-TR"/>
        </w:rPr>
        <w:t xml:space="preserve"> ifade özgürlüğü hakkının ihlali olduğu sonucuna varmıştır.</w:t>
      </w:r>
      <w:r w:rsidR="00B733AF" w:rsidRPr="008F1795">
        <w:rPr>
          <w:lang w:val="tr-TR"/>
        </w:rPr>
        <w:t xml:space="preserve"> Anayasa Mahkemesi</w:t>
      </w:r>
      <w:r w:rsidR="00C0550E" w:rsidRPr="008F1795">
        <w:rPr>
          <w:lang w:val="tr-TR"/>
        </w:rPr>
        <w:t xml:space="preserve">, AİHM </w:t>
      </w:r>
      <w:r w:rsidR="004C4147" w:rsidRPr="008F1795">
        <w:rPr>
          <w:lang w:val="tr-TR"/>
        </w:rPr>
        <w:t>içtihadına</w:t>
      </w:r>
      <w:r w:rsidR="00C0550E" w:rsidRPr="008F1795">
        <w:rPr>
          <w:lang w:val="tr-TR"/>
        </w:rPr>
        <w:t xml:space="preserve"> uygun olarak, </w:t>
      </w:r>
      <w:r w:rsidR="00AB5870" w:rsidRPr="008F1795">
        <w:rPr>
          <w:lang w:val="tr-TR"/>
        </w:rPr>
        <w:t xml:space="preserve">siyasetçilere yönelik kabul edilebilir eleştiri sınırlarının, </w:t>
      </w:r>
      <w:r w:rsidR="008B6A86" w:rsidRPr="008F1795">
        <w:rPr>
          <w:lang w:val="tr-TR"/>
        </w:rPr>
        <w:t xml:space="preserve">özel </w:t>
      </w:r>
      <w:r w:rsidR="00AB5870" w:rsidRPr="008F1795">
        <w:rPr>
          <w:lang w:val="tr-TR"/>
        </w:rPr>
        <w:t>vatandaşlara</w:t>
      </w:r>
      <w:r w:rsidR="00B449E7" w:rsidRPr="008F1795">
        <w:rPr>
          <w:lang w:val="tr-TR"/>
        </w:rPr>
        <w:t xml:space="preserve"> yönelik eleştiri</w:t>
      </w:r>
      <w:r w:rsidR="00D51406" w:rsidRPr="008F1795">
        <w:rPr>
          <w:lang w:val="tr-TR"/>
        </w:rPr>
        <w:t xml:space="preserve"> sınırlarına göre</w:t>
      </w:r>
      <w:r w:rsidR="00C756E4" w:rsidRPr="008F1795">
        <w:rPr>
          <w:lang w:val="tr-TR"/>
        </w:rPr>
        <w:t xml:space="preserve"> </w:t>
      </w:r>
      <w:r w:rsidR="00B449E7" w:rsidRPr="008F1795">
        <w:rPr>
          <w:lang w:val="tr-TR"/>
        </w:rPr>
        <w:t xml:space="preserve">daha geniş </w:t>
      </w:r>
      <w:r w:rsidR="00C756E4" w:rsidRPr="008F1795">
        <w:rPr>
          <w:lang w:val="tr-TR"/>
        </w:rPr>
        <w:t xml:space="preserve">olduğunu vurgulamıştır. Buna ek olarak Anayasa Mahkemesi, </w:t>
      </w:r>
      <w:r w:rsidR="0032005C" w:rsidRPr="008F1795">
        <w:rPr>
          <w:lang w:val="tr-TR"/>
        </w:rPr>
        <w:t xml:space="preserve">sağlıklı bir demokraside hükümetin sadece yasama ya da yargı kuvvetleri tarafından değil, aynı zamanda medya/basın </w:t>
      </w:r>
      <w:r w:rsidR="00FD2442" w:rsidRPr="008F1795">
        <w:rPr>
          <w:lang w:val="tr-TR"/>
        </w:rPr>
        <w:t xml:space="preserve">veya siyasi aktörler gibi kuruluşlar tarafından da </w:t>
      </w:r>
      <w:r w:rsidR="002E781E" w:rsidRPr="008F1795">
        <w:rPr>
          <w:lang w:val="tr-TR"/>
        </w:rPr>
        <w:t>denetlenmesi</w:t>
      </w:r>
      <w:r w:rsidR="00FD2442" w:rsidRPr="008F1795">
        <w:rPr>
          <w:lang w:val="tr-TR"/>
        </w:rPr>
        <w:t xml:space="preserve"> gerektiğini kaydetmiştir.</w:t>
      </w:r>
      <w:r w:rsidR="00FD2442" w:rsidRPr="008F1795">
        <w:rPr>
          <w:rStyle w:val="DipnotBavurusu"/>
          <w:lang w:val="tr-TR"/>
        </w:rPr>
        <w:footnoteReference w:id="25"/>
      </w:r>
    </w:p>
    <w:p w14:paraId="484CE86B" w14:textId="77777777" w:rsidR="009146D6" w:rsidRPr="008F1795" w:rsidRDefault="009146D6" w:rsidP="009146D6">
      <w:pPr>
        <w:pStyle w:val="ListeParagraf"/>
        <w:tabs>
          <w:tab w:val="left" w:pos="650"/>
        </w:tabs>
        <w:rPr>
          <w:lang w:val="tr-TR"/>
        </w:rPr>
      </w:pPr>
    </w:p>
    <w:p w14:paraId="55A9B135" w14:textId="4638A626" w:rsidR="002006D8" w:rsidRPr="008F1795" w:rsidRDefault="00D15F08" w:rsidP="002006D8">
      <w:pPr>
        <w:pStyle w:val="ListeParagraf"/>
        <w:numPr>
          <w:ilvl w:val="0"/>
          <w:numId w:val="4"/>
        </w:numPr>
        <w:tabs>
          <w:tab w:val="left" w:pos="655"/>
        </w:tabs>
        <w:ind w:right="214" w:firstLine="0"/>
        <w:rPr>
          <w:lang w:val="tr-TR"/>
        </w:rPr>
      </w:pPr>
      <w:r w:rsidRPr="008F1795">
        <w:rPr>
          <w:lang w:val="tr-TR"/>
        </w:rPr>
        <w:t xml:space="preserve">Ceza Kanununun 216. </w:t>
      </w:r>
      <w:r w:rsidR="00241305" w:rsidRPr="008F1795">
        <w:rPr>
          <w:lang w:val="tr-TR"/>
        </w:rPr>
        <w:t>Madde</w:t>
      </w:r>
      <w:r w:rsidRPr="008F1795">
        <w:rPr>
          <w:lang w:val="tr-TR"/>
        </w:rPr>
        <w:t xml:space="preserve">si (eski 312. </w:t>
      </w:r>
      <w:r w:rsidR="00241305" w:rsidRPr="008F1795">
        <w:rPr>
          <w:lang w:val="tr-TR"/>
        </w:rPr>
        <w:t>Madde</w:t>
      </w:r>
      <w:r w:rsidRPr="008F1795">
        <w:rPr>
          <w:lang w:val="tr-TR"/>
        </w:rPr>
        <w:t xml:space="preserve">) </w:t>
      </w:r>
      <w:r w:rsidR="000A7711" w:rsidRPr="008F1795">
        <w:rPr>
          <w:lang w:val="tr-TR"/>
        </w:rPr>
        <w:t xml:space="preserve">dini değerlere hakaret ya da rencide ettiği düşünülen ifadeleri cezalandırmak amacıyla </w:t>
      </w:r>
      <w:r w:rsidRPr="008F1795">
        <w:rPr>
          <w:lang w:val="tr-TR"/>
        </w:rPr>
        <w:t>yakın tarihlerde</w:t>
      </w:r>
      <w:r w:rsidR="000A7711" w:rsidRPr="008F1795">
        <w:rPr>
          <w:lang w:val="tr-TR"/>
        </w:rPr>
        <w:t xml:space="preserve"> sıklıkla </w:t>
      </w:r>
      <w:r w:rsidR="00731541">
        <w:rPr>
          <w:lang w:val="tr-TR"/>
        </w:rPr>
        <w:t>uygulanmıştır</w:t>
      </w:r>
      <w:r w:rsidR="000A7711" w:rsidRPr="008F1795">
        <w:rPr>
          <w:lang w:val="tr-TR"/>
        </w:rPr>
        <w:t xml:space="preserve">. </w:t>
      </w:r>
      <w:r w:rsidR="00604C70" w:rsidRPr="008F1795">
        <w:rPr>
          <w:lang w:val="tr-TR"/>
        </w:rPr>
        <w:t xml:space="preserve">2012’de ünlü besteci ve </w:t>
      </w:r>
      <w:r w:rsidR="00695D57" w:rsidRPr="008F1795">
        <w:rPr>
          <w:lang w:val="tr-TR"/>
        </w:rPr>
        <w:t>piyanist</w:t>
      </w:r>
      <w:r w:rsidR="00604C70" w:rsidRPr="008F1795">
        <w:rPr>
          <w:lang w:val="tr-TR"/>
        </w:rPr>
        <w:t xml:space="preserve"> Fazıl Say, 11</w:t>
      </w:r>
      <w:r w:rsidR="0094509B">
        <w:rPr>
          <w:lang w:val="tr-TR"/>
        </w:rPr>
        <w:t>.</w:t>
      </w:r>
      <w:r w:rsidR="00604C70" w:rsidRPr="008F1795">
        <w:rPr>
          <w:lang w:val="tr-TR"/>
        </w:rPr>
        <w:t xml:space="preserve">-12. yüzyıl şairi Ömer </w:t>
      </w:r>
      <w:proofErr w:type="spellStart"/>
      <w:r w:rsidR="00604C70" w:rsidRPr="008F1795">
        <w:rPr>
          <w:lang w:val="tr-TR"/>
        </w:rPr>
        <w:t>Hayyam’ın</w:t>
      </w:r>
      <w:proofErr w:type="spellEnd"/>
      <w:r w:rsidR="00604C70" w:rsidRPr="008F1795">
        <w:rPr>
          <w:lang w:val="tr-TR"/>
        </w:rPr>
        <w:t xml:space="preserve"> </w:t>
      </w:r>
      <w:r w:rsidR="009B2922" w:rsidRPr="008F1795">
        <w:rPr>
          <w:lang w:val="tr-TR"/>
        </w:rPr>
        <w:t xml:space="preserve">bir şiirinden alıntıyı </w:t>
      </w:r>
      <w:proofErr w:type="spellStart"/>
      <w:r w:rsidR="009B2922" w:rsidRPr="008F1795">
        <w:rPr>
          <w:lang w:val="tr-TR"/>
        </w:rPr>
        <w:t>tweet</w:t>
      </w:r>
      <w:proofErr w:type="spellEnd"/>
      <w:r w:rsidR="009B2922" w:rsidRPr="008F1795">
        <w:rPr>
          <w:lang w:val="tr-TR"/>
        </w:rPr>
        <w:t xml:space="preserve"> hesabında yayınladığı için </w:t>
      </w:r>
      <w:r w:rsidR="00F60096" w:rsidRPr="008F1795">
        <w:rPr>
          <w:lang w:val="tr-TR"/>
        </w:rPr>
        <w:t xml:space="preserve">216(3). </w:t>
      </w:r>
      <w:r w:rsidR="00241305" w:rsidRPr="008F1795">
        <w:rPr>
          <w:lang w:val="tr-TR"/>
        </w:rPr>
        <w:t>Madde</w:t>
      </w:r>
      <w:r w:rsidR="00F60096" w:rsidRPr="008F1795">
        <w:rPr>
          <w:lang w:val="tr-TR"/>
        </w:rPr>
        <w:t xml:space="preserve"> uyarınca hakkında suç ithamı yapılmıştır. </w:t>
      </w:r>
      <w:r w:rsidR="001375D1">
        <w:rPr>
          <w:lang w:val="tr-TR"/>
        </w:rPr>
        <w:t xml:space="preserve">Say, </w:t>
      </w:r>
      <w:r w:rsidR="00F60096" w:rsidRPr="008F1795">
        <w:rPr>
          <w:lang w:val="tr-TR"/>
        </w:rPr>
        <w:t xml:space="preserve">Eylül </w:t>
      </w:r>
      <w:proofErr w:type="gramStart"/>
      <w:r w:rsidR="00F60096" w:rsidRPr="008F1795">
        <w:rPr>
          <w:lang w:val="tr-TR"/>
        </w:rPr>
        <w:t>2013’de</w:t>
      </w:r>
      <w:proofErr w:type="gramEnd"/>
      <w:r w:rsidR="00F60096" w:rsidRPr="008F1795">
        <w:rPr>
          <w:lang w:val="tr-TR"/>
        </w:rPr>
        <w:t xml:space="preserve"> dini inançlara hakaret etme suçundan 10 ay hapis cezasına </w:t>
      </w:r>
      <w:r w:rsidR="001375D1">
        <w:rPr>
          <w:lang w:val="tr-TR"/>
        </w:rPr>
        <w:t>mahkum edilmiştir</w:t>
      </w:r>
      <w:r w:rsidR="00F60096" w:rsidRPr="008F1795">
        <w:rPr>
          <w:lang w:val="tr-TR"/>
        </w:rPr>
        <w:t xml:space="preserve">. </w:t>
      </w:r>
      <w:r w:rsidR="00D20446" w:rsidRPr="008F1795">
        <w:rPr>
          <w:lang w:val="tr-TR"/>
        </w:rPr>
        <w:t>12 Ekim 2015</w:t>
      </w:r>
      <w:r w:rsidR="00A322DC">
        <w:rPr>
          <w:lang w:val="tr-TR"/>
        </w:rPr>
        <w:t>’te</w:t>
      </w:r>
      <w:r w:rsidR="00D20446" w:rsidRPr="008F1795">
        <w:rPr>
          <w:lang w:val="tr-TR"/>
        </w:rPr>
        <w:t xml:space="preserve"> </w:t>
      </w:r>
      <w:r w:rsidR="0031404B" w:rsidRPr="008F1795">
        <w:rPr>
          <w:lang w:val="tr-TR"/>
        </w:rPr>
        <w:t xml:space="preserve">Yargıtay, </w:t>
      </w:r>
      <w:r w:rsidR="004A3069" w:rsidRPr="008F1795">
        <w:rPr>
          <w:lang w:val="tr-TR"/>
        </w:rPr>
        <w:t>ilk derece mahkeme</w:t>
      </w:r>
      <w:r w:rsidR="00A322DC">
        <w:rPr>
          <w:lang w:val="tr-TR"/>
        </w:rPr>
        <w:t>si</w:t>
      </w:r>
      <w:r w:rsidR="004A3069" w:rsidRPr="008F1795">
        <w:rPr>
          <w:lang w:val="tr-TR"/>
        </w:rPr>
        <w:t>nin kararını bozarak</w:t>
      </w:r>
      <w:r w:rsidR="00D20446" w:rsidRPr="008F1795">
        <w:rPr>
          <w:lang w:val="tr-TR"/>
        </w:rPr>
        <w:t>, “</w:t>
      </w:r>
      <w:r w:rsidR="001956D1" w:rsidRPr="008F1795">
        <w:rPr>
          <w:i/>
          <w:lang w:val="tr-TR"/>
        </w:rPr>
        <w:t>sanığın suça konu sözleri; kamu güvenliği açısından açık, yakın ve ciddi bir tehlikeyi somut olarak ortaya ç</w:t>
      </w:r>
      <w:r w:rsidR="00F319BA" w:rsidRPr="008F1795">
        <w:rPr>
          <w:i/>
          <w:lang w:val="tr-TR"/>
        </w:rPr>
        <w:t>ı</w:t>
      </w:r>
      <w:r w:rsidR="001956D1" w:rsidRPr="008F1795">
        <w:rPr>
          <w:i/>
          <w:lang w:val="tr-TR"/>
        </w:rPr>
        <w:t>karmadığı, şiddet çağrısı niteliğinde bir anlatım olmadığı gibi sanığın yasal ifade özgürlüğünü kullandığı</w:t>
      </w:r>
      <w:r w:rsidR="00F319BA" w:rsidRPr="008F1795">
        <w:rPr>
          <w:i/>
          <w:lang w:val="tr-TR"/>
        </w:rPr>
        <w:t xml:space="preserve">” </w:t>
      </w:r>
      <w:r w:rsidR="00F319BA" w:rsidRPr="008F1795">
        <w:rPr>
          <w:iCs/>
          <w:lang w:val="tr-TR"/>
        </w:rPr>
        <w:t>kararını almıştır</w:t>
      </w:r>
      <w:r w:rsidR="00F319BA" w:rsidRPr="008F1795">
        <w:rPr>
          <w:i/>
          <w:lang w:val="tr-TR"/>
        </w:rPr>
        <w:t>.</w:t>
      </w:r>
      <w:r w:rsidR="00262995" w:rsidRPr="008F1795">
        <w:rPr>
          <w:rStyle w:val="DipnotBavurusu"/>
          <w:i/>
          <w:lang w:val="tr-TR"/>
        </w:rPr>
        <w:footnoteReference w:id="26"/>
      </w:r>
      <w:r w:rsidR="00F319BA" w:rsidRPr="008F1795">
        <w:rPr>
          <w:i/>
          <w:lang w:val="tr-TR"/>
        </w:rPr>
        <w:t xml:space="preserve"> </w:t>
      </w:r>
    </w:p>
    <w:p w14:paraId="20E85F8C" w14:textId="77777777" w:rsidR="002006D8" w:rsidRPr="008F1795" w:rsidRDefault="002006D8" w:rsidP="002006D8">
      <w:pPr>
        <w:pStyle w:val="ListeParagraf"/>
        <w:tabs>
          <w:tab w:val="left" w:pos="655"/>
        </w:tabs>
        <w:ind w:right="214"/>
        <w:rPr>
          <w:lang w:val="tr-TR"/>
        </w:rPr>
      </w:pPr>
    </w:p>
    <w:p w14:paraId="1DABBB6D" w14:textId="45F443B6" w:rsidR="00262995" w:rsidRPr="008F1795" w:rsidRDefault="002F38A9">
      <w:pPr>
        <w:pStyle w:val="ListeParagraf"/>
        <w:numPr>
          <w:ilvl w:val="0"/>
          <w:numId w:val="4"/>
        </w:numPr>
        <w:tabs>
          <w:tab w:val="left" w:pos="703"/>
        </w:tabs>
        <w:ind w:right="217" w:firstLine="0"/>
        <w:rPr>
          <w:lang w:val="tr-TR"/>
        </w:rPr>
      </w:pPr>
      <w:r w:rsidRPr="008F1795">
        <w:rPr>
          <w:lang w:val="tr-TR"/>
        </w:rPr>
        <w:t>Yetkililer ayrıca, Yargıtay Cumhuriyet Başsavcısının</w:t>
      </w:r>
      <w:r w:rsidR="00643E58" w:rsidRPr="008F1795">
        <w:rPr>
          <w:lang w:val="tr-TR"/>
        </w:rPr>
        <w:t xml:space="preserve">, ifade özgürlüğü ile ilgili </w:t>
      </w:r>
      <w:r w:rsidR="000576A8" w:rsidRPr="008F1795">
        <w:rPr>
          <w:lang w:val="tr-TR"/>
        </w:rPr>
        <w:t>halen sürmekte olan</w:t>
      </w:r>
      <w:r w:rsidR="00643E58" w:rsidRPr="008F1795">
        <w:rPr>
          <w:lang w:val="tr-TR"/>
        </w:rPr>
        <w:t xml:space="preserve"> davalar</w:t>
      </w:r>
      <w:r w:rsidR="001E7EB9" w:rsidRPr="008F1795">
        <w:rPr>
          <w:lang w:val="tr-TR"/>
        </w:rPr>
        <w:t xml:space="preserve"> hakkında </w:t>
      </w:r>
      <w:r w:rsidR="00843AF0" w:rsidRPr="008F1795">
        <w:rPr>
          <w:lang w:val="tr-TR"/>
        </w:rPr>
        <w:t>yetkili</w:t>
      </w:r>
      <w:r w:rsidR="003864F9" w:rsidRPr="008F1795">
        <w:rPr>
          <w:lang w:val="tr-TR"/>
        </w:rPr>
        <w:t xml:space="preserve"> </w:t>
      </w:r>
      <w:r w:rsidR="001E7EB9" w:rsidRPr="008F1795">
        <w:rPr>
          <w:lang w:val="tr-TR"/>
        </w:rPr>
        <w:t xml:space="preserve">Yargıtay Dairelerine ilettiği tebliğnameleri </w:t>
      </w:r>
      <w:r w:rsidR="000576A8" w:rsidRPr="008F1795">
        <w:rPr>
          <w:lang w:val="tr-TR"/>
        </w:rPr>
        <w:t>heyete sunmuştur.</w:t>
      </w:r>
      <w:r w:rsidR="00481638" w:rsidRPr="008F1795">
        <w:rPr>
          <w:rStyle w:val="DipnotBavurusu"/>
          <w:lang w:val="tr-TR"/>
        </w:rPr>
        <w:footnoteReference w:id="27"/>
      </w:r>
      <w:r w:rsidR="00EC34A4" w:rsidRPr="008F1795">
        <w:rPr>
          <w:lang w:val="tr-TR"/>
        </w:rPr>
        <w:t xml:space="preserve"> </w:t>
      </w:r>
      <w:r w:rsidR="0027654B" w:rsidRPr="008F1795">
        <w:rPr>
          <w:lang w:val="tr-TR"/>
        </w:rPr>
        <w:t>Cumhuriyet Başsavcısı</w:t>
      </w:r>
      <w:r w:rsidR="0027654B">
        <w:rPr>
          <w:lang w:val="tr-TR"/>
        </w:rPr>
        <w:t>, b</w:t>
      </w:r>
      <w:r w:rsidR="00C53EF2" w:rsidRPr="008F1795">
        <w:rPr>
          <w:lang w:val="tr-TR"/>
        </w:rPr>
        <w:t xml:space="preserve">u </w:t>
      </w:r>
      <w:proofErr w:type="spellStart"/>
      <w:r w:rsidR="00C53EF2" w:rsidRPr="008F1795">
        <w:rPr>
          <w:lang w:val="tr-TR"/>
        </w:rPr>
        <w:t>tebliğnamelerin</w:t>
      </w:r>
      <w:proofErr w:type="spellEnd"/>
      <w:r w:rsidR="00C53EF2" w:rsidRPr="008F1795">
        <w:rPr>
          <w:lang w:val="tr-TR"/>
        </w:rPr>
        <w:t xml:space="preserve"> çoğunda</w:t>
      </w:r>
      <w:r w:rsidR="00BD5EC5">
        <w:rPr>
          <w:lang w:val="tr-TR"/>
        </w:rPr>
        <w:t>,</w:t>
      </w:r>
      <w:r w:rsidR="00652E2D" w:rsidRPr="008F1795">
        <w:rPr>
          <w:lang w:val="tr-TR"/>
        </w:rPr>
        <w:t xml:space="preserve"> </w:t>
      </w:r>
      <w:r w:rsidR="00714C34" w:rsidRPr="008F1795">
        <w:rPr>
          <w:lang w:val="tr-TR"/>
        </w:rPr>
        <w:t>söz konusu davaların konusu</w:t>
      </w:r>
      <w:r w:rsidR="00EC34A4" w:rsidRPr="008F1795">
        <w:rPr>
          <w:lang w:val="tr-TR"/>
        </w:rPr>
        <w:t>nu oluşturan</w:t>
      </w:r>
      <w:r w:rsidR="00714C34" w:rsidRPr="008F1795">
        <w:rPr>
          <w:lang w:val="tr-TR"/>
        </w:rPr>
        <w:t xml:space="preserve"> şiddet içermeyen ifade biçimlerinin ifade özgürlüğü</w:t>
      </w:r>
      <w:r w:rsidR="00465D39" w:rsidRPr="008F1795">
        <w:rPr>
          <w:lang w:val="tr-TR"/>
        </w:rPr>
        <w:t xml:space="preserve"> kapsamında teminat altına alındığını ve demokratik bir Devletin makamlarının bu tür eleştiri</w:t>
      </w:r>
      <w:r w:rsidR="002E60CD" w:rsidRPr="008F1795">
        <w:rPr>
          <w:lang w:val="tr-TR"/>
        </w:rPr>
        <w:t>lere</w:t>
      </w:r>
      <w:r w:rsidR="00465D39" w:rsidRPr="008F1795">
        <w:rPr>
          <w:lang w:val="tr-TR"/>
        </w:rPr>
        <w:t xml:space="preserve"> </w:t>
      </w:r>
      <w:r w:rsidR="002E60CD" w:rsidRPr="008F1795">
        <w:rPr>
          <w:lang w:val="tr-TR"/>
        </w:rPr>
        <w:t>müsamaha göstermesi</w:t>
      </w:r>
      <w:r w:rsidR="0082353C" w:rsidRPr="008F1795">
        <w:rPr>
          <w:lang w:val="tr-TR"/>
        </w:rPr>
        <w:t xml:space="preserve"> gerektiği</w:t>
      </w:r>
      <w:r w:rsidR="001920B0" w:rsidRPr="008F1795">
        <w:rPr>
          <w:lang w:val="tr-TR"/>
        </w:rPr>
        <w:t xml:space="preserve">ni belirterek, </w:t>
      </w:r>
      <w:r w:rsidR="009166EA" w:rsidRPr="008F1795">
        <w:rPr>
          <w:lang w:val="tr-TR"/>
        </w:rPr>
        <w:t xml:space="preserve">yetkili </w:t>
      </w:r>
      <w:r w:rsidR="00695D57" w:rsidRPr="008F1795">
        <w:rPr>
          <w:lang w:val="tr-TR"/>
        </w:rPr>
        <w:t>Yargıtay</w:t>
      </w:r>
      <w:r w:rsidR="009166EA" w:rsidRPr="008F1795">
        <w:rPr>
          <w:lang w:val="tr-TR"/>
        </w:rPr>
        <w:t xml:space="preserve"> Dairesinin dava</w:t>
      </w:r>
      <w:r w:rsidR="00EC34A4" w:rsidRPr="008F1795">
        <w:rPr>
          <w:lang w:val="tr-TR"/>
        </w:rPr>
        <w:t>da</w:t>
      </w:r>
      <w:r w:rsidR="009166EA" w:rsidRPr="008F1795">
        <w:rPr>
          <w:lang w:val="tr-TR"/>
        </w:rPr>
        <w:t xml:space="preserve"> beraat kararı</w:t>
      </w:r>
      <w:r w:rsidR="00EC34A4" w:rsidRPr="008F1795">
        <w:rPr>
          <w:lang w:val="tr-TR"/>
        </w:rPr>
        <w:t xml:space="preserve"> vermesini tavsiye etmiştir. </w:t>
      </w:r>
    </w:p>
    <w:p w14:paraId="18137AEC" w14:textId="24A19FFF" w:rsidR="001920B0" w:rsidRPr="008F1795" w:rsidRDefault="001920B0" w:rsidP="001920B0">
      <w:pPr>
        <w:pStyle w:val="ListeParagraf"/>
        <w:tabs>
          <w:tab w:val="left" w:pos="703"/>
        </w:tabs>
        <w:ind w:right="217"/>
        <w:rPr>
          <w:lang w:val="tr-TR"/>
        </w:rPr>
      </w:pPr>
    </w:p>
    <w:p w14:paraId="4A5522CD" w14:textId="4B9946B1" w:rsidR="00852CAC" w:rsidRDefault="00C83896" w:rsidP="00852CAC">
      <w:pPr>
        <w:pStyle w:val="ListeParagraf"/>
        <w:numPr>
          <w:ilvl w:val="0"/>
          <w:numId w:val="4"/>
        </w:numPr>
        <w:tabs>
          <w:tab w:val="left" w:pos="784"/>
        </w:tabs>
        <w:ind w:right="215" w:firstLine="0"/>
        <w:rPr>
          <w:lang w:val="tr-TR"/>
        </w:rPr>
      </w:pPr>
      <w:r w:rsidRPr="008F1795">
        <w:rPr>
          <w:lang w:val="tr-TR"/>
        </w:rPr>
        <w:t xml:space="preserve">Venedik Komisyonu, </w:t>
      </w:r>
      <w:r w:rsidR="00F171B5" w:rsidRPr="008F1795">
        <w:rPr>
          <w:lang w:val="tr-TR"/>
        </w:rPr>
        <w:t xml:space="preserve">şiddet içermeyen ifadeler ile ilgili davalarda </w:t>
      </w:r>
      <w:r w:rsidR="006D5BBC" w:rsidRPr="008F1795">
        <w:rPr>
          <w:lang w:val="tr-TR"/>
        </w:rPr>
        <w:t>yüksek yerel mahkemelerin AİHM gereksinimlerini uyguladığın</w:t>
      </w:r>
      <w:r w:rsidR="007A6AE4" w:rsidRPr="008F1795">
        <w:rPr>
          <w:lang w:val="tr-TR"/>
        </w:rPr>
        <w:t>a</w:t>
      </w:r>
      <w:r w:rsidR="00F075AE" w:rsidRPr="008F1795">
        <w:rPr>
          <w:lang w:val="tr-TR"/>
        </w:rPr>
        <w:t xml:space="preserve"> ve Yargıtay Cumhuriyet Başsavcısının </w:t>
      </w:r>
      <w:proofErr w:type="spellStart"/>
      <w:r w:rsidR="00F075AE" w:rsidRPr="008F1795">
        <w:rPr>
          <w:lang w:val="tr-TR"/>
        </w:rPr>
        <w:t>tebliğnamelerde</w:t>
      </w:r>
      <w:proofErr w:type="spellEnd"/>
      <w:r w:rsidR="00D26D5F" w:rsidRPr="008F1795">
        <w:rPr>
          <w:lang w:val="tr-TR"/>
        </w:rPr>
        <w:t xml:space="preserve"> </w:t>
      </w:r>
      <w:r w:rsidR="007A6AE4" w:rsidRPr="008F1795">
        <w:rPr>
          <w:lang w:val="tr-TR"/>
        </w:rPr>
        <w:t>ilkeli bir yaklaşım benimsediğine dair örnekleri</w:t>
      </w:r>
      <w:r w:rsidR="00D26D5F" w:rsidRPr="008F1795">
        <w:rPr>
          <w:lang w:val="tr-TR"/>
        </w:rPr>
        <w:t xml:space="preserve"> memnuniyetle karşılamaktadır. Yüksek mahkemelerin yönlendirmesi</w:t>
      </w:r>
      <w:r w:rsidR="00B74E9C" w:rsidRPr="008F1795">
        <w:rPr>
          <w:lang w:val="tr-TR"/>
        </w:rPr>
        <w:t xml:space="preserve">, </w:t>
      </w:r>
      <w:r w:rsidR="008C47EA" w:rsidRPr="008F1795">
        <w:rPr>
          <w:lang w:val="tr-TR"/>
        </w:rPr>
        <w:t>alt mahkemelerin kendi içtiha</w:t>
      </w:r>
      <w:r w:rsidR="009D7F24" w:rsidRPr="008F1795">
        <w:rPr>
          <w:lang w:val="tr-TR"/>
        </w:rPr>
        <w:t>t</w:t>
      </w:r>
      <w:r w:rsidR="008C47EA" w:rsidRPr="008F1795">
        <w:rPr>
          <w:lang w:val="tr-TR"/>
        </w:rPr>
        <w:t xml:space="preserve">larında insan hakları standartlarını yorumlaması ve uygulaması bakımından çok önemlidir. </w:t>
      </w:r>
      <w:r w:rsidR="00FF2A33" w:rsidRPr="008F1795">
        <w:rPr>
          <w:lang w:val="tr-TR"/>
        </w:rPr>
        <w:t xml:space="preserve">Ancak, </w:t>
      </w:r>
      <w:r w:rsidR="00852CAC" w:rsidRPr="008F1795">
        <w:rPr>
          <w:lang w:val="tr-TR"/>
        </w:rPr>
        <w:t>bu görüşün konusu olan hükümler uyarınca özelikle gazetecilere karşı açılan soruşturma ve kovuşturmalar</w:t>
      </w:r>
      <w:r w:rsidR="008B5A4A" w:rsidRPr="008F1795">
        <w:rPr>
          <w:lang w:val="tr-TR"/>
        </w:rPr>
        <w:t xml:space="preserve"> dikkate alındığında Venedik Komisyonu, </w:t>
      </w:r>
      <w:r w:rsidR="00B81E29" w:rsidRPr="008F1795">
        <w:rPr>
          <w:lang w:val="tr-TR"/>
        </w:rPr>
        <w:t xml:space="preserve">kamuyu ilgilendiren konularda </w:t>
      </w:r>
      <w:r w:rsidR="00AC4B6C" w:rsidRPr="008F1795">
        <w:rPr>
          <w:lang w:val="tr-TR"/>
        </w:rPr>
        <w:t xml:space="preserve">kişilerin </w:t>
      </w:r>
      <w:r w:rsidR="00B81E29" w:rsidRPr="008F1795">
        <w:rPr>
          <w:lang w:val="tr-TR"/>
        </w:rPr>
        <w:t>görüşlerin</w:t>
      </w:r>
      <w:r w:rsidR="00AC4B6C" w:rsidRPr="008F1795">
        <w:rPr>
          <w:lang w:val="tr-TR"/>
        </w:rPr>
        <w:t>i</w:t>
      </w:r>
      <w:r w:rsidR="00B81E29" w:rsidRPr="008F1795">
        <w:rPr>
          <w:lang w:val="tr-TR"/>
        </w:rPr>
        <w:t xml:space="preserve"> ifade </w:t>
      </w:r>
      <w:r w:rsidR="00AC4B6C" w:rsidRPr="008F1795">
        <w:rPr>
          <w:lang w:val="tr-TR"/>
        </w:rPr>
        <w:t>etmesine</w:t>
      </w:r>
      <w:r w:rsidR="00B81E29" w:rsidRPr="008F1795">
        <w:rPr>
          <w:lang w:val="tr-TR"/>
        </w:rPr>
        <w:t xml:space="preserve"> ka</w:t>
      </w:r>
      <w:r w:rsidR="00A8630B" w:rsidRPr="008F1795">
        <w:rPr>
          <w:lang w:val="tr-TR"/>
        </w:rPr>
        <w:t>rşı</w:t>
      </w:r>
      <w:r w:rsidR="00B81E29" w:rsidRPr="008F1795">
        <w:rPr>
          <w:lang w:val="tr-TR"/>
        </w:rPr>
        <w:t xml:space="preserve"> caydırıcı </w:t>
      </w:r>
      <w:r w:rsidR="00AC4B6C" w:rsidRPr="008F1795">
        <w:rPr>
          <w:lang w:val="tr-TR"/>
        </w:rPr>
        <w:t xml:space="preserve">bir </w:t>
      </w:r>
      <w:r w:rsidR="00B81E29" w:rsidRPr="008F1795">
        <w:rPr>
          <w:lang w:val="tr-TR"/>
        </w:rPr>
        <w:t xml:space="preserve">etki </w:t>
      </w:r>
      <w:r w:rsidR="00A8630B" w:rsidRPr="008F1795">
        <w:rPr>
          <w:lang w:val="tr-TR"/>
        </w:rPr>
        <w:t>olması</w:t>
      </w:r>
      <w:r w:rsidR="00426EA4" w:rsidRPr="008F1795">
        <w:rPr>
          <w:lang w:val="tr-TR"/>
        </w:rPr>
        <w:t>nın</w:t>
      </w:r>
      <w:r w:rsidR="00A8630B" w:rsidRPr="008F1795">
        <w:rPr>
          <w:lang w:val="tr-TR"/>
        </w:rPr>
        <w:t xml:space="preserve"> ve bunun oto sansüre yol açması</w:t>
      </w:r>
      <w:r w:rsidR="00F832B2" w:rsidRPr="008F1795">
        <w:rPr>
          <w:lang w:val="tr-TR"/>
        </w:rPr>
        <w:t xml:space="preserve">nın esas </w:t>
      </w:r>
      <w:r w:rsidR="00F832B2" w:rsidRPr="008F1795">
        <w:rPr>
          <w:lang w:val="tr-TR"/>
        </w:rPr>
        <w:lastRenderedPageBreak/>
        <w:t>nedeninin, en yüksek mahkemelerin hakları kısıtlayan nihai kararları</w:t>
      </w:r>
      <w:r w:rsidR="00426EA4" w:rsidRPr="008F1795">
        <w:rPr>
          <w:lang w:val="tr-TR"/>
        </w:rPr>
        <w:t>ndan ziyade,</w:t>
      </w:r>
      <w:r w:rsidR="00F832B2" w:rsidRPr="008F1795">
        <w:rPr>
          <w:lang w:val="tr-TR"/>
        </w:rPr>
        <w:t xml:space="preserve"> </w:t>
      </w:r>
      <w:r w:rsidR="002C041C" w:rsidRPr="008F1795">
        <w:rPr>
          <w:lang w:val="tr-TR"/>
        </w:rPr>
        <w:t>soruşturmalar, kovuşturmalar</w:t>
      </w:r>
      <w:r w:rsidR="005A7342">
        <w:rPr>
          <w:lang w:val="tr-TR"/>
        </w:rPr>
        <w:t>,</w:t>
      </w:r>
      <w:r w:rsidR="002C041C" w:rsidRPr="008F1795">
        <w:rPr>
          <w:lang w:val="tr-TR"/>
        </w:rPr>
        <w:t xml:space="preserve"> gözaltı gibi </w:t>
      </w:r>
      <w:r w:rsidR="00E4300E" w:rsidRPr="008F1795">
        <w:rPr>
          <w:lang w:val="tr-TR"/>
        </w:rPr>
        <w:t xml:space="preserve">sert </w:t>
      </w:r>
      <w:r w:rsidR="002C041C" w:rsidRPr="008F1795">
        <w:rPr>
          <w:lang w:val="tr-TR"/>
        </w:rPr>
        <w:t>alıkonulma tedbirleri</w:t>
      </w:r>
      <w:r w:rsidR="00E4300E" w:rsidRPr="008F1795">
        <w:rPr>
          <w:lang w:val="tr-TR"/>
        </w:rPr>
        <w:t xml:space="preserve"> </w:t>
      </w:r>
      <w:r w:rsidR="004A7B5C">
        <w:rPr>
          <w:lang w:val="tr-TR"/>
        </w:rPr>
        <w:t>gibi</w:t>
      </w:r>
      <w:r w:rsidR="00E4300E" w:rsidRPr="008F1795">
        <w:rPr>
          <w:lang w:val="tr-TR"/>
        </w:rPr>
        <w:t xml:space="preserve"> yetkililerin </w:t>
      </w:r>
      <w:r w:rsidR="00AA2DC7" w:rsidRPr="008F1795">
        <w:rPr>
          <w:lang w:val="tr-TR"/>
        </w:rPr>
        <w:t>uyguladığı</w:t>
      </w:r>
      <w:r w:rsidR="00E4300E" w:rsidRPr="008F1795">
        <w:rPr>
          <w:lang w:val="tr-TR"/>
        </w:rPr>
        <w:t xml:space="preserve"> tüm tedbirler</w:t>
      </w:r>
      <w:r w:rsidR="00E75986" w:rsidRPr="008F1795">
        <w:rPr>
          <w:lang w:val="tr-TR"/>
        </w:rPr>
        <w:t xml:space="preserve">den kaynaklandığını </w:t>
      </w:r>
      <w:r w:rsidR="00E4300E" w:rsidRPr="008F1795">
        <w:rPr>
          <w:lang w:val="tr-TR"/>
        </w:rPr>
        <w:t xml:space="preserve">ve dolayısıyla </w:t>
      </w:r>
      <w:r w:rsidR="00616C52" w:rsidRPr="008F1795">
        <w:rPr>
          <w:lang w:val="tr-TR"/>
        </w:rPr>
        <w:t xml:space="preserve">bu durumun </w:t>
      </w:r>
      <w:r w:rsidR="00690ADB" w:rsidRPr="008F1795">
        <w:rPr>
          <w:lang w:val="tr-TR"/>
        </w:rPr>
        <w:t xml:space="preserve">ifade özgürlüğü hakkına müdahale </w:t>
      </w:r>
      <w:r w:rsidR="00616C52" w:rsidRPr="008F1795">
        <w:rPr>
          <w:lang w:val="tr-TR"/>
        </w:rPr>
        <w:t>oluşturduğu</w:t>
      </w:r>
      <w:r w:rsidR="00690ADB" w:rsidRPr="008F1795">
        <w:rPr>
          <w:lang w:val="tr-TR"/>
        </w:rPr>
        <w:t xml:space="preserve"> kanaatindedir.</w:t>
      </w:r>
    </w:p>
    <w:p w14:paraId="1F1CE97B" w14:textId="3335CF8D" w:rsidR="003A63FD" w:rsidRDefault="003A63FD" w:rsidP="003A63FD">
      <w:pPr>
        <w:pStyle w:val="ListeParagraf"/>
        <w:tabs>
          <w:tab w:val="left" w:pos="784"/>
        </w:tabs>
        <w:ind w:right="215"/>
        <w:rPr>
          <w:lang w:val="tr-TR"/>
        </w:rPr>
      </w:pPr>
    </w:p>
    <w:p w14:paraId="2D233A75" w14:textId="7FF82054" w:rsidR="00E90149" w:rsidRPr="008F1795" w:rsidRDefault="004570F4">
      <w:pPr>
        <w:pStyle w:val="ListeParagraf"/>
        <w:numPr>
          <w:ilvl w:val="0"/>
          <w:numId w:val="4"/>
        </w:numPr>
        <w:tabs>
          <w:tab w:val="left" w:pos="729"/>
        </w:tabs>
        <w:ind w:firstLine="0"/>
        <w:rPr>
          <w:lang w:val="tr-TR"/>
        </w:rPr>
      </w:pPr>
      <w:r w:rsidRPr="008F1795">
        <w:rPr>
          <w:lang w:val="tr-TR"/>
        </w:rPr>
        <w:t xml:space="preserve">AİHM, </w:t>
      </w:r>
      <w:r w:rsidR="006B316C" w:rsidRPr="008F1795">
        <w:rPr>
          <w:lang w:val="tr-TR"/>
        </w:rPr>
        <w:t xml:space="preserve">159. </w:t>
      </w:r>
      <w:r w:rsidR="00241305" w:rsidRPr="008F1795">
        <w:rPr>
          <w:lang w:val="tr-TR"/>
        </w:rPr>
        <w:t>Madde</w:t>
      </w:r>
      <w:r w:rsidR="006B316C" w:rsidRPr="008F1795">
        <w:rPr>
          <w:lang w:val="tr-TR"/>
        </w:rPr>
        <w:t xml:space="preserve"> (eski 301. </w:t>
      </w:r>
      <w:r w:rsidR="00241305" w:rsidRPr="008F1795">
        <w:rPr>
          <w:lang w:val="tr-TR"/>
        </w:rPr>
        <w:t>Madde</w:t>
      </w:r>
      <w:r w:rsidR="006B316C" w:rsidRPr="008F1795">
        <w:rPr>
          <w:lang w:val="tr-TR"/>
        </w:rPr>
        <w:t xml:space="preserve">) uyarınca </w:t>
      </w:r>
      <w:r w:rsidR="00EA3DF4" w:rsidRPr="008F1795">
        <w:rPr>
          <w:lang w:val="tr-TR"/>
        </w:rPr>
        <w:t xml:space="preserve">başvuruculara karşı açılan </w:t>
      </w:r>
      <w:r w:rsidR="006B316C" w:rsidRPr="008F1795">
        <w:rPr>
          <w:lang w:val="tr-TR"/>
        </w:rPr>
        <w:t>ceza davaları</w:t>
      </w:r>
      <w:r w:rsidR="00C34FEB" w:rsidRPr="008F1795">
        <w:rPr>
          <w:lang w:val="tr-TR"/>
        </w:rPr>
        <w:t>nın</w:t>
      </w:r>
      <w:r w:rsidR="001E292A" w:rsidRPr="008F1795">
        <w:rPr>
          <w:rStyle w:val="DipnotBavurusu"/>
          <w:lang w:val="tr-TR"/>
        </w:rPr>
        <w:footnoteReference w:id="28"/>
      </w:r>
      <w:r w:rsidR="006B316C" w:rsidRPr="008F1795">
        <w:rPr>
          <w:lang w:val="tr-TR"/>
        </w:rPr>
        <w:t xml:space="preserve"> ya da </w:t>
      </w:r>
      <w:r w:rsidR="00C34FEB" w:rsidRPr="008F1795">
        <w:rPr>
          <w:lang w:val="tr-TR"/>
        </w:rPr>
        <w:t xml:space="preserve">cezai </w:t>
      </w:r>
      <w:r w:rsidR="006B316C" w:rsidRPr="008F1795">
        <w:rPr>
          <w:lang w:val="tr-TR"/>
        </w:rPr>
        <w:t>soruşturmalarının</w:t>
      </w:r>
      <w:r w:rsidR="00C34FEB" w:rsidRPr="008F1795">
        <w:rPr>
          <w:rStyle w:val="DipnotBavurusu"/>
          <w:lang w:val="tr-TR"/>
        </w:rPr>
        <w:footnoteReference w:id="29"/>
      </w:r>
      <w:r w:rsidR="00EA3DF4" w:rsidRPr="008F1795">
        <w:rPr>
          <w:lang w:val="tr-TR"/>
        </w:rPr>
        <w:t xml:space="preserve">, ya da </w:t>
      </w:r>
      <w:r w:rsidR="0073504B" w:rsidRPr="008F1795">
        <w:rPr>
          <w:lang w:val="tr-TR"/>
        </w:rPr>
        <w:t xml:space="preserve">başvurucuların </w:t>
      </w:r>
      <w:r w:rsidR="00943741" w:rsidRPr="008F1795">
        <w:rPr>
          <w:lang w:val="tr-TR"/>
        </w:rPr>
        <w:t>dava süresince tutuklulu</w:t>
      </w:r>
      <w:r w:rsidR="0073504B" w:rsidRPr="008F1795">
        <w:rPr>
          <w:lang w:val="tr-TR"/>
        </w:rPr>
        <w:t xml:space="preserve">k halinin </w:t>
      </w:r>
      <w:r w:rsidR="00096E75" w:rsidRPr="008F1795">
        <w:rPr>
          <w:lang w:val="tr-TR"/>
        </w:rPr>
        <w:t xml:space="preserve">ilgili ve yeterli sebep göstermeden </w:t>
      </w:r>
      <w:r w:rsidR="0073504B" w:rsidRPr="008F1795">
        <w:rPr>
          <w:lang w:val="tr-TR"/>
        </w:rPr>
        <w:t>devam ettirilmesi</w:t>
      </w:r>
      <w:r w:rsidR="00D973E1" w:rsidRPr="008F1795">
        <w:rPr>
          <w:lang w:val="tr-TR"/>
        </w:rPr>
        <w:t>nin</w:t>
      </w:r>
      <w:r w:rsidR="00503936" w:rsidRPr="008F1795">
        <w:rPr>
          <w:rStyle w:val="DipnotBavurusu"/>
          <w:lang w:val="tr-TR"/>
        </w:rPr>
        <w:footnoteReference w:id="30"/>
      </w:r>
      <w:r w:rsidR="00D973E1" w:rsidRPr="008F1795">
        <w:rPr>
          <w:lang w:val="tr-TR"/>
        </w:rPr>
        <w:t xml:space="preserve">, dava </w:t>
      </w:r>
      <w:r w:rsidR="00EC3E36" w:rsidRPr="008F1795">
        <w:rPr>
          <w:lang w:val="tr-TR"/>
        </w:rPr>
        <w:t xml:space="preserve">nihai </w:t>
      </w:r>
      <w:r w:rsidR="00496BB9">
        <w:rPr>
          <w:lang w:val="tr-TR"/>
        </w:rPr>
        <w:t xml:space="preserve">olarak bir </w:t>
      </w:r>
      <w:proofErr w:type="gramStart"/>
      <w:r w:rsidR="00496BB9">
        <w:rPr>
          <w:lang w:val="tr-TR"/>
        </w:rPr>
        <w:t>mahkumiyet</w:t>
      </w:r>
      <w:proofErr w:type="gramEnd"/>
      <w:r w:rsidR="00496BB9">
        <w:rPr>
          <w:lang w:val="tr-TR"/>
        </w:rPr>
        <w:t xml:space="preserve"> k</w:t>
      </w:r>
      <w:r w:rsidR="00096E75" w:rsidRPr="008F1795">
        <w:rPr>
          <w:lang w:val="tr-TR"/>
        </w:rPr>
        <w:t>ararı ile sonuçlanma</w:t>
      </w:r>
      <w:r w:rsidR="00496BB9">
        <w:rPr>
          <w:lang w:val="tr-TR"/>
        </w:rPr>
        <w:t>sa bile</w:t>
      </w:r>
      <w:r w:rsidR="00EC3E36" w:rsidRPr="008F1795">
        <w:rPr>
          <w:lang w:val="tr-TR"/>
        </w:rPr>
        <w:t xml:space="preserve">, </w:t>
      </w:r>
      <w:r w:rsidR="00D973E1" w:rsidRPr="008F1795">
        <w:rPr>
          <w:lang w:val="tr-TR"/>
        </w:rPr>
        <w:t>başvurucuların ifade özgürlüğü haklarına müdahale oluşturduğu kararına varmıştır.</w:t>
      </w:r>
      <w:r w:rsidR="00096E75" w:rsidRPr="008F1795">
        <w:rPr>
          <w:lang w:val="tr-TR"/>
        </w:rPr>
        <w:t xml:space="preserve"> </w:t>
      </w:r>
      <w:r w:rsidR="00D3719A" w:rsidRPr="008F1795">
        <w:rPr>
          <w:lang w:val="tr-TR"/>
        </w:rPr>
        <w:t>Mahkeme</w:t>
      </w:r>
      <w:r w:rsidR="00D7618D" w:rsidRPr="008F1795">
        <w:rPr>
          <w:lang w:val="tr-TR"/>
        </w:rPr>
        <w:t xml:space="preserve">, </w:t>
      </w:r>
      <w:r w:rsidR="00A21FA5" w:rsidRPr="008F1795">
        <w:rPr>
          <w:lang w:val="tr-TR"/>
        </w:rPr>
        <w:t>alıkonulma tedbirleri başta olmak üzere bu tedbirlerin</w:t>
      </w:r>
      <w:r w:rsidR="00D76B66" w:rsidRPr="008F1795">
        <w:rPr>
          <w:lang w:val="tr-TR"/>
        </w:rPr>
        <w:t>, başvurucuların kamuyu ilgilendiren konularda görüşlerini ifade etme</w:t>
      </w:r>
      <w:r w:rsidR="002936DB" w:rsidRPr="008F1795">
        <w:rPr>
          <w:lang w:val="tr-TR"/>
        </w:rPr>
        <w:t xml:space="preserve"> isteklilikleri üzerinde caydırıcı bir etki </w:t>
      </w:r>
      <w:r w:rsidR="0053402C" w:rsidRPr="008F1795">
        <w:rPr>
          <w:lang w:val="tr-TR"/>
        </w:rPr>
        <w:t>yarattığını</w:t>
      </w:r>
      <w:r w:rsidR="002936DB" w:rsidRPr="008F1795">
        <w:rPr>
          <w:lang w:val="tr-TR"/>
        </w:rPr>
        <w:t xml:space="preserve"> ve bu tür tedbirlerin bir oto-sansür iklimi </w:t>
      </w:r>
      <w:r w:rsidR="009E13D7" w:rsidRPr="008F1795">
        <w:rPr>
          <w:lang w:val="tr-TR"/>
        </w:rPr>
        <w:t>yara</w:t>
      </w:r>
      <w:r w:rsidR="00C02835" w:rsidRPr="008F1795">
        <w:rPr>
          <w:lang w:val="tr-TR"/>
        </w:rPr>
        <w:t>tma</w:t>
      </w:r>
      <w:r w:rsidR="00062D02" w:rsidRPr="008F1795">
        <w:rPr>
          <w:lang w:val="tr-TR"/>
        </w:rPr>
        <w:t xml:space="preserve"> eğiliminin olduğunu </w:t>
      </w:r>
      <w:r w:rsidR="009E13D7" w:rsidRPr="008F1795">
        <w:rPr>
          <w:lang w:val="tr-TR"/>
        </w:rPr>
        <w:t xml:space="preserve">kabul etmiştir. </w:t>
      </w:r>
    </w:p>
    <w:p w14:paraId="2D2C181B" w14:textId="77777777" w:rsidR="00E90149" w:rsidRPr="008F1795" w:rsidRDefault="00E90149" w:rsidP="00E90149">
      <w:pPr>
        <w:pStyle w:val="ListeParagraf"/>
        <w:tabs>
          <w:tab w:val="left" w:pos="729"/>
        </w:tabs>
        <w:rPr>
          <w:lang w:val="tr-TR"/>
        </w:rPr>
      </w:pPr>
    </w:p>
    <w:p w14:paraId="69E15659" w14:textId="0E41F9F2" w:rsidR="008A48DF" w:rsidRPr="008F1795" w:rsidRDefault="008A48DF">
      <w:pPr>
        <w:pStyle w:val="ListeParagraf"/>
        <w:numPr>
          <w:ilvl w:val="0"/>
          <w:numId w:val="4"/>
        </w:numPr>
        <w:tabs>
          <w:tab w:val="left" w:pos="717"/>
        </w:tabs>
        <w:ind w:firstLine="0"/>
        <w:rPr>
          <w:lang w:val="tr-TR"/>
        </w:rPr>
      </w:pPr>
      <w:r w:rsidRPr="008F1795">
        <w:rPr>
          <w:lang w:val="tr-TR"/>
        </w:rPr>
        <w:t>Sonuç olarak,</w:t>
      </w:r>
      <w:r w:rsidR="0053402C" w:rsidRPr="008F1795">
        <w:rPr>
          <w:lang w:val="tr-TR"/>
        </w:rPr>
        <w:t xml:space="preserve"> aşağıda yer alan analiz, Devletin </w:t>
      </w:r>
      <w:r w:rsidR="009D1B28" w:rsidRPr="008F1795">
        <w:rPr>
          <w:lang w:val="tr-TR"/>
        </w:rPr>
        <w:t>şiddet içermeyen meşru ifadeler üzerinde caydırıcı herhangi bir etki</w:t>
      </w:r>
      <w:r w:rsidR="00E73AF9" w:rsidRPr="008F1795">
        <w:rPr>
          <w:lang w:val="tr-TR"/>
        </w:rPr>
        <w:t xml:space="preserve">nin olmasını önleme yükümlülüğü açısından okunmalıdır. Bu bakımdan, </w:t>
      </w:r>
      <w:r w:rsidR="000D6407" w:rsidRPr="008F1795">
        <w:rPr>
          <w:lang w:val="tr-TR"/>
        </w:rPr>
        <w:t xml:space="preserve">sadece en yüksek mahkemelerin verdiği kararlar değil, </w:t>
      </w:r>
      <w:r w:rsidR="0006586B" w:rsidRPr="008F1795">
        <w:rPr>
          <w:lang w:val="tr-TR"/>
        </w:rPr>
        <w:t xml:space="preserve">söz konusu hükümler uyarınca yürütülen </w:t>
      </w:r>
      <w:r w:rsidR="000D6407" w:rsidRPr="008F1795">
        <w:rPr>
          <w:lang w:val="tr-TR"/>
        </w:rPr>
        <w:t xml:space="preserve">cezai soruşturma, kovuşturma ve alıkonulmaların sayısı ve içeriği de </w:t>
      </w:r>
      <w:r w:rsidR="0006586B" w:rsidRPr="008F1795">
        <w:rPr>
          <w:lang w:val="tr-TR"/>
        </w:rPr>
        <w:t xml:space="preserve">önemlidir. </w:t>
      </w:r>
    </w:p>
    <w:p w14:paraId="0185A41D" w14:textId="77777777" w:rsidR="008A48DF" w:rsidRPr="008F1795" w:rsidRDefault="008A48DF" w:rsidP="008A48DF">
      <w:pPr>
        <w:pStyle w:val="ListeParagraf"/>
        <w:tabs>
          <w:tab w:val="left" w:pos="717"/>
        </w:tabs>
        <w:rPr>
          <w:lang w:val="tr-TR"/>
        </w:rPr>
      </w:pPr>
    </w:p>
    <w:p w14:paraId="5BDB20E3" w14:textId="77777777" w:rsidR="00B74CEA" w:rsidRPr="008F1795" w:rsidRDefault="00B74CEA">
      <w:pPr>
        <w:pStyle w:val="GvdeMetni"/>
        <w:spacing w:before="8"/>
        <w:rPr>
          <w:sz w:val="21"/>
          <w:lang w:val="tr-TR"/>
        </w:rPr>
      </w:pPr>
    </w:p>
    <w:p w14:paraId="00899144" w14:textId="780D5D04" w:rsidR="00B74CEA" w:rsidRPr="008F1795" w:rsidRDefault="00BE381E">
      <w:pPr>
        <w:pStyle w:val="Balk1"/>
        <w:numPr>
          <w:ilvl w:val="1"/>
          <w:numId w:val="5"/>
        </w:numPr>
        <w:tabs>
          <w:tab w:val="left" w:pos="1331"/>
          <w:tab w:val="left" w:pos="1332"/>
        </w:tabs>
        <w:ind w:hanging="426"/>
        <w:rPr>
          <w:lang w:val="tr-TR"/>
        </w:rPr>
      </w:pPr>
      <w:bookmarkStart w:id="7" w:name="_bookmark7"/>
      <w:bookmarkEnd w:id="7"/>
      <w:r w:rsidRPr="008F1795">
        <w:rPr>
          <w:lang w:val="tr-TR"/>
        </w:rPr>
        <w:t>216</w:t>
      </w:r>
      <w:r w:rsidR="0006586B" w:rsidRPr="008F1795">
        <w:rPr>
          <w:lang w:val="tr-TR"/>
        </w:rPr>
        <w:t xml:space="preserve">. </w:t>
      </w:r>
      <w:r w:rsidR="00241305" w:rsidRPr="008F1795">
        <w:rPr>
          <w:lang w:val="tr-TR"/>
        </w:rPr>
        <w:t>Madde</w:t>
      </w:r>
      <w:r w:rsidRPr="008F1795">
        <w:rPr>
          <w:lang w:val="tr-TR"/>
        </w:rPr>
        <w:t xml:space="preserve"> (</w:t>
      </w:r>
      <w:r w:rsidR="00696C07" w:rsidRPr="008F1795">
        <w:rPr>
          <w:lang w:val="tr-TR"/>
        </w:rPr>
        <w:t>Halkı Kin ve Düşmanlığa Tahrik veya Aşağılama</w:t>
      </w:r>
      <w:r w:rsidRPr="008F1795">
        <w:rPr>
          <w:lang w:val="tr-TR"/>
        </w:rPr>
        <w:t>)</w:t>
      </w:r>
    </w:p>
    <w:p w14:paraId="3896874A" w14:textId="77777777" w:rsidR="00B74CEA" w:rsidRPr="008F1795" w:rsidRDefault="00B74CEA">
      <w:pPr>
        <w:pStyle w:val="GvdeMetni"/>
        <w:spacing w:before="4"/>
        <w:rPr>
          <w:b/>
          <w:lang w:val="tr-TR"/>
        </w:rPr>
      </w:pPr>
    </w:p>
    <w:p w14:paraId="0893A4F5" w14:textId="5DF29273" w:rsidR="000811B7" w:rsidRPr="008F1795" w:rsidRDefault="00C74CD0">
      <w:pPr>
        <w:pStyle w:val="ListeParagraf"/>
        <w:numPr>
          <w:ilvl w:val="0"/>
          <w:numId w:val="4"/>
        </w:numPr>
        <w:tabs>
          <w:tab w:val="left" w:pos="635"/>
        </w:tabs>
        <w:ind w:right="217" w:firstLine="0"/>
        <w:rPr>
          <w:lang w:val="tr-TR"/>
        </w:rPr>
      </w:pPr>
      <w:r w:rsidRPr="008F1795">
        <w:rPr>
          <w:lang w:val="tr-TR"/>
        </w:rPr>
        <w:t xml:space="preserve">Bu </w:t>
      </w:r>
      <w:r w:rsidR="00241305" w:rsidRPr="008F1795">
        <w:rPr>
          <w:lang w:val="tr-TR"/>
        </w:rPr>
        <w:t>madde</w:t>
      </w:r>
      <w:r w:rsidR="00FC6C0D" w:rsidRPr="008F1795">
        <w:rPr>
          <w:lang w:val="tr-TR"/>
        </w:rPr>
        <w:t>nin</w:t>
      </w:r>
      <w:r w:rsidRPr="008F1795">
        <w:rPr>
          <w:lang w:val="tr-TR"/>
        </w:rPr>
        <w:t xml:space="preserve"> her </w:t>
      </w:r>
      <w:r w:rsidR="00EC6225" w:rsidRPr="008F1795">
        <w:rPr>
          <w:lang w:val="tr-TR"/>
        </w:rPr>
        <w:t>fıkra</w:t>
      </w:r>
      <w:r w:rsidRPr="008F1795">
        <w:rPr>
          <w:lang w:val="tr-TR"/>
        </w:rPr>
        <w:t xml:space="preserve">sında ayrı bir suç düzenlenmektedir: </w:t>
      </w:r>
      <w:r w:rsidR="007D0F82" w:rsidRPr="008F1795">
        <w:rPr>
          <w:lang w:val="tr-TR"/>
        </w:rPr>
        <w:t>halkın farklı</w:t>
      </w:r>
      <w:r w:rsidR="00823416" w:rsidRPr="008F1795">
        <w:rPr>
          <w:lang w:val="tr-TR"/>
        </w:rPr>
        <w:t xml:space="preserve"> </w:t>
      </w:r>
      <w:r w:rsidR="00FE29F5" w:rsidRPr="008F1795">
        <w:rPr>
          <w:lang w:val="tr-TR"/>
        </w:rPr>
        <w:t>kesimleri</w:t>
      </w:r>
      <w:r w:rsidR="00823416" w:rsidRPr="008F1795">
        <w:rPr>
          <w:lang w:val="tr-TR"/>
        </w:rPr>
        <w:t xml:space="preserve"> arasında </w:t>
      </w:r>
      <w:r w:rsidR="00FB15D6" w:rsidRPr="008F1795">
        <w:rPr>
          <w:lang w:val="tr-TR"/>
        </w:rPr>
        <w:t>kin</w:t>
      </w:r>
      <w:r w:rsidR="00823416" w:rsidRPr="008F1795">
        <w:rPr>
          <w:lang w:val="tr-TR"/>
        </w:rPr>
        <w:t xml:space="preserve"> ya da düşmanlığı teşvik/tahrik etmek (216(1). </w:t>
      </w:r>
      <w:r w:rsidR="00241305" w:rsidRPr="008F1795">
        <w:rPr>
          <w:lang w:val="tr-TR"/>
        </w:rPr>
        <w:t>Madde</w:t>
      </w:r>
      <w:r w:rsidR="00823416" w:rsidRPr="008F1795">
        <w:rPr>
          <w:lang w:val="tr-TR"/>
        </w:rPr>
        <w:t>); halkın</w:t>
      </w:r>
      <w:r w:rsidR="009D7F1A" w:rsidRPr="008F1795">
        <w:rPr>
          <w:lang w:val="tr-TR"/>
        </w:rPr>
        <w:t xml:space="preserve"> bir kesimini alenen aşağılama </w:t>
      </w:r>
      <w:r w:rsidR="00823416" w:rsidRPr="008F1795">
        <w:rPr>
          <w:lang w:val="tr-TR"/>
        </w:rPr>
        <w:t xml:space="preserve">(216(2). </w:t>
      </w:r>
      <w:r w:rsidR="00241305" w:rsidRPr="008F1795">
        <w:rPr>
          <w:lang w:val="tr-TR"/>
        </w:rPr>
        <w:t>Madde</w:t>
      </w:r>
      <w:r w:rsidR="00823416" w:rsidRPr="008F1795">
        <w:rPr>
          <w:lang w:val="tr-TR"/>
        </w:rPr>
        <w:t xml:space="preserve">) </w:t>
      </w:r>
      <w:r w:rsidR="009D7F1A" w:rsidRPr="008F1795">
        <w:rPr>
          <w:lang w:val="tr-TR"/>
        </w:rPr>
        <w:t xml:space="preserve"> ve halkın bir kesiminin dini değerlerini alenen aşağılama</w:t>
      </w:r>
      <w:r w:rsidR="00FE29F5" w:rsidRPr="008F1795">
        <w:rPr>
          <w:lang w:val="tr-TR"/>
        </w:rPr>
        <w:t xml:space="preserve"> (216(3). </w:t>
      </w:r>
      <w:r w:rsidR="00241305" w:rsidRPr="008F1795">
        <w:rPr>
          <w:lang w:val="tr-TR"/>
        </w:rPr>
        <w:t>Madde</w:t>
      </w:r>
      <w:r w:rsidR="00FE29F5" w:rsidRPr="008F1795">
        <w:rPr>
          <w:lang w:val="tr-TR"/>
        </w:rPr>
        <w:t>)</w:t>
      </w:r>
      <w:r w:rsidR="00FC6C0D" w:rsidRPr="008F1795">
        <w:rPr>
          <w:lang w:val="tr-TR"/>
        </w:rPr>
        <w:t xml:space="preserve">. Bu </w:t>
      </w:r>
      <w:r w:rsidR="00241305" w:rsidRPr="008F1795">
        <w:rPr>
          <w:lang w:val="tr-TR"/>
        </w:rPr>
        <w:t>madde</w:t>
      </w:r>
      <w:r w:rsidR="00FC6C0D" w:rsidRPr="008F1795">
        <w:rPr>
          <w:lang w:val="tr-TR"/>
        </w:rPr>
        <w:t xml:space="preserve">nin ilk iki </w:t>
      </w:r>
      <w:r w:rsidR="00EC6225" w:rsidRPr="008F1795">
        <w:rPr>
          <w:lang w:val="tr-TR"/>
        </w:rPr>
        <w:t>fıkra</w:t>
      </w:r>
      <w:r w:rsidR="00FC6C0D" w:rsidRPr="008F1795">
        <w:rPr>
          <w:lang w:val="tr-TR"/>
        </w:rPr>
        <w:t>sınd</w:t>
      </w:r>
      <w:r w:rsidR="00DF53C5" w:rsidRPr="008F1795">
        <w:rPr>
          <w:lang w:val="tr-TR"/>
        </w:rPr>
        <w:t xml:space="preserve">a belirtilen suçların işlenmesi için, “aşağılama” eyleminin sosyal </w:t>
      </w:r>
      <w:r w:rsidR="00F871E3" w:rsidRPr="008F1795">
        <w:rPr>
          <w:lang w:val="tr-TR"/>
        </w:rPr>
        <w:t>sınıf</w:t>
      </w:r>
      <w:r w:rsidR="00DF53C5" w:rsidRPr="008F1795">
        <w:rPr>
          <w:lang w:val="tr-TR"/>
        </w:rPr>
        <w:t xml:space="preserve">, ırk, din, mezhep, toplumsal cinsiyet ya da dini farklılıklara dayalı olması gerekmektedir. </w:t>
      </w:r>
    </w:p>
    <w:p w14:paraId="0F30FB7B" w14:textId="77777777" w:rsidR="00AA5A8F" w:rsidRPr="008F1795" w:rsidRDefault="00AA5A8F" w:rsidP="00AA5A8F">
      <w:pPr>
        <w:pStyle w:val="ListeParagraf"/>
        <w:tabs>
          <w:tab w:val="left" w:pos="635"/>
        </w:tabs>
        <w:ind w:right="217"/>
        <w:rPr>
          <w:lang w:val="tr-TR"/>
        </w:rPr>
      </w:pPr>
    </w:p>
    <w:p w14:paraId="08664AAE" w14:textId="57B510E0" w:rsidR="00AA5A8F" w:rsidRPr="005A4AD6" w:rsidRDefault="00AA5A8F" w:rsidP="00DC58E9">
      <w:pPr>
        <w:pStyle w:val="ListeParagraf"/>
        <w:numPr>
          <w:ilvl w:val="0"/>
          <w:numId w:val="4"/>
        </w:numPr>
        <w:tabs>
          <w:tab w:val="left" w:pos="635"/>
        </w:tabs>
        <w:ind w:right="217" w:firstLine="0"/>
        <w:rPr>
          <w:lang w:val="tr-TR"/>
        </w:rPr>
      </w:pPr>
      <w:r w:rsidRPr="005A4AD6">
        <w:rPr>
          <w:lang w:val="tr-TR"/>
        </w:rPr>
        <w:t xml:space="preserve">Yetkililerin sunduğu açıklayıcı nota göre, ilk </w:t>
      </w:r>
      <w:r w:rsidR="00EC6225" w:rsidRPr="005A4AD6">
        <w:rPr>
          <w:lang w:val="tr-TR"/>
        </w:rPr>
        <w:t>fıkra</w:t>
      </w:r>
      <w:r w:rsidRPr="005A4AD6">
        <w:rPr>
          <w:lang w:val="tr-TR"/>
        </w:rPr>
        <w:t>da</w:t>
      </w:r>
      <w:r w:rsidR="001B238C" w:rsidRPr="005A4AD6">
        <w:rPr>
          <w:lang w:val="tr-TR"/>
        </w:rPr>
        <w:t>ki</w:t>
      </w:r>
      <w:r w:rsidRPr="005A4AD6">
        <w:rPr>
          <w:lang w:val="tr-TR"/>
        </w:rPr>
        <w:t xml:space="preserve"> suçu oluşturan “tahrik”, “soyut saygısızlık ve reddin ötesinde, halkın bir kesimine karşı düşmanca tavırlar gösterilmesini </w:t>
      </w:r>
      <w:r w:rsidR="001B238C" w:rsidRPr="005A4AD6">
        <w:rPr>
          <w:lang w:val="tr-TR"/>
        </w:rPr>
        <w:t>tahrik etmeye</w:t>
      </w:r>
      <w:r w:rsidRPr="005A4AD6">
        <w:rPr>
          <w:lang w:val="tr-TR"/>
        </w:rPr>
        <w:t xml:space="preserve"> objektif olarak elverişli olmalıdır”. “Kin” ve “düşmanlık” terimleri, “garez duygularına dayalı bir temel oluşturan ve zarar verme ve yenilgiye uğratma amacını güden psikolojik durum” olarak açıklanmıştır. Ayrıca, ilk </w:t>
      </w:r>
      <w:r w:rsidR="00EC6225" w:rsidRPr="005A4AD6">
        <w:rPr>
          <w:lang w:val="tr-TR"/>
        </w:rPr>
        <w:t>fıkra</w:t>
      </w:r>
      <w:r w:rsidRPr="005A4AD6">
        <w:rPr>
          <w:lang w:val="tr-TR"/>
        </w:rPr>
        <w:t xml:space="preserve">da belirtilen suçun işlenmesi için, “kin ya da düşmanlığa </w:t>
      </w:r>
      <w:proofErr w:type="spellStart"/>
      <w:r w:rsidRPr="005A4AD6">
        <w:rPr>
          <w:lang w:val="tr-TR"/>
        </w:rPr>
        <w:t>tahrik</w:t>
      </w:r>
      <w:r w:rsidR="00691586">
        <w:rPr>
          <w:lang w:val="tr-TR"/>
        </w:rPr>
        <w:t>”</w:t>
      </w:r>
      <w:r w:rsidRPr="005A4AD6">
        <w:rPr>
          <w:lang w:val="tr-TR"/>
        </w:rPr>
        <w:t>in</w:t>
      </w:r>
      <w:proofErr w:type="spellEnd"/>
      <w:r w:rsidRPr="005A4AD6">
        <w:rPr>
          <w:lang w:val="tr-TR"/>
        </w:rPr>
        <w:t xml:space="preserve"> kamu güvenliğine yönelik açık ve yakın bir tehlike oluşturması gerekmektedir. Hakimler, bu konuda önlerine gelen her davada, kamu güvenliğine yönelik tehlikenin ilk </w:t>
      </w:r>
      <w:r w:rsidR="00EC6225" w:rsidRPr="005A4AD6">
        <w:rPr>
          <w:lang w:val="tr-TR"/>
        </w:rPr>
        <w:t>fıkra</w:t>
      </w:r>
      <w:r w:rsidRPr="005A4AD6">
        <w:rPr>
          <w:lang w:val="tr-TR"/>
        </w:rPr>
        <w:t xml:space="preserve">da belirtilen suçu oluşturacak kadar açık ve yakın olup olmadığına somut gerçekler temelinde karar vermelidir. Açıklayıcı notta ayrıca, Ceza Kanununun 218. </w:t>
      </w:r>
      <w:r w:rsidR="00241305" w:rsidRPr="005A4AD6">
        <w:rPr>
          <w:lang w:val="tr-TR"/>
        </w:rPr>
        <w:t>Madde</w:t>
      </w:r>
      <w:r w:rsidRPr="005A4AD6">
        <w:rPr>
          <w:lang w:val="tr-TR"/>
        </w:rPr>
        <w:t xml:space="preserve">si ile haber verme sınırlarını aşmayan ve eleştiri amacıyla yapılan düşünce açıklamalarının suç oluşturmadığı da belirtilmiştir. Bu çerçevede, açıklayıcı nota göre sadece şiddete </w:t>
      </w:r>
      <w:r w:rsidR="00691586">
        <w:rPr>
          <w:lang w:val="tr-TR"/>
        </w:rPr>
        <w:t>tahrik eden</w:t>
      </w:r>
      <w:r w:rsidRPr="005A4AD6">
        <w:rPr>
          <w:lang w:val="tr-TR"/>
        </w:rPr>
        <w:t xml:space="preserve"> ifade biçimleri, 216. </w:t>
      </w:r>
      <w:r w:rsidR="00241305" w:rsidRPr="005A4AD6">
        <w:rPr>
          <w:lang w:val="tr-TR"/>
        </w:rPr>
        <w:t>Madde</w:t>
      </w:r>
      <w:r w:rsidRPr="005A4AD6">
        <w:rPr>
          <w:lang w:val="tr-TR"/>
        </w:rPr>
        <w:t xml:space="preserve">nin 1. </w:t>
      </w:r>
      <w:r w:rsidR="00EC6225" w:rsidRPr="005A4AD6">
        <w:rPr>
          <w:lang w:val="tr-TR"/>
        </w:rPr>
        <w:t>Fıkra</w:t>
      </w:r>
      <w:r w:rsidRPr="005A4AD6">
        <w:rPr>
          <w:lang w:val="tr-TR"/>
        </w:rPr>
        <w:t>sının ihlali sayılmaktadır.</w:t>
      </w:r>
    </w:p>
    <w:p w14:paraId="1DB59EA7" w14:textId="77777777" w:rsidR="00AA5A8F" w:rsidRPr="008F1795" w:rsidRDefault="00AA5A8F" w:rsidP="00AA5A8F">
      <w:pPr>
        <w:pStyle w:val="ListeParagraf"/>
        <w:tabs>
          <w:tab w:val="left" w:pos="635"/>
        </w:tabs>
        <w:ind w:right="217"/>
        <w:rPr>
          <w:lang w:val="tr-TR"/>
        </w:rPr>
      </w:pPr>
    </w:p>
    <w:p w14:paraId="75247110" w14:textId="0A2BB2AC" w:rsidR="00166013" w:rsidRPr="008F1795" w:rsidRDefault="00093B7F" w:rsidP="00166013">
      <w:pPr>
        <w:pStyle w:val="ListeParagraf"/>
        <w:numPr>
          <w:ilvl w:val="0"/>
          <w:numId w:val="4"/>
        </w:numPr>
        <w:ind w:hanging="56"/>
        <w:rPr>
          <w:lang w:val="tr-TR"/>
        </w:rPr>
      </w:pPr>
      <w:r w:rsidRPr="008F1795">
        <w:rPr>
          <w:lang w:val="tr-TR"/>
        </w:rPr>
        <w:t xml:space="preserve">Eski </w:t>
      </w:r>
      <w:r w:rsidR="00166013" w:rsidRPr="008F1795">
        <w:rPr>
          <w:lang w:val="tr-TR"/>
        </w:rPr>
        <w:t xml:space="preserve">Ceza Kanununun 312. </w:t>
      </w:r>
      <w:r w:rsidR="00241305" w:rsidRPr="008F1795">
        <w:rPr>
          <w:lang w:val="tr-TR"/>
        </w:rPr>
        <w:t>Madde</w:t>
      </w:r>
      <w:r w:rsidR="00166013" w:rsidRPr="008F1795">
        <w:rPr>
          <w:lang w:val="tr-TR"/>
        </w:rPr>
        <w:t>si</w:t>
      </w:r>
      <w:r w:rsidR="005172CD" w:rsidRPr="008F1795">
        <w:rPr>
          <w:rStyle w:val="DipnotBavurusu"/>
          <w:lang w:val="tr-TR"/>
        </w:rPr>
        <w:footnoteReference w:id="31"/>
      </w:r>
      <w:r w:rsidR="005172CD" w:rsidRPr="008F1795">
        <w:rPr>
          <w:lang w:val="tr-TR"/>
        </w:rPr>
        <w:t xml:space="preserve"> </w:t>
      </w:r>
      <w:r w:rsidR="00166013" w:rsidRPr="008F1795">
        <w:rPr>
          <w:lang w:val="tr-TR"/>
        </w:rPr>
        <w:t xml:space="preserve">yerine mevcut Ceza Kanununun 216(1)(2). </w:t>
      </w:r>
      <w:r w:rsidR="00241305" w:rsidRPr="008F1795">
        <w:rPr>
          <w:lang w:val="tr-TR"/>
        </w:rPr>
        <w:t>Madde</w:t>
      </w:r>
      <w:r w:rsidR="00166013" w:rsidRPr="008F1795">
        <w:rPr>
          <w:lang w:val="tr-TR"/>
        </w:rPr>
        <w:t xml:space="preserve">si getirilmiştir. AİHM, eski Ceza Kanununun 312. </w:t>
      </w:r>
      <w:r w:rsidR="00241305" w:rsidRPr="008F1795">
        <w:rPr>
          <w:lang w:val="tr-TR"/>
        </w:rPr>
        <w:t>Madde</w:t>
      </w:r>
      <w:r w:rsidR="00166013" w:rsidRPr="008F1795">
        <w:rPr>
          <w:lang w:val="tr-TR"/>
        </w:rPr>
        <w:t>si uyarınca ceza hükmü verilen kişilere ait pek çok davayı incelemiştir.</w:t>
      </w:r>
      <w:r w:rsidR="00B30A59" w:rsidRPr="008F1795">
        <w:rPr>
          <w:rStyle w:val="DipnotBavurusu"/>
          <w:lang w:val="tr-TR"/>
        </w:rPr>
        <w:footnoteReference w:id="32"/>
      </w:r>
      <w:r w:rsidR="00B30A59" w:rsidRPr="008F1795">
        <w:rPr>
          <w:lang w:val="tr-TR"/>
        </w:rPr>
        <w:t xml:space="preserve"> </w:t>
      </w:r>
      <w:r w:rsidR="00166013" w:rsidRPr="008F1795">
        <w:rPr>
          <w:lang w:val="tr-TR"/>
        </w:rPr>
        <w:t xml:space="preserve">AİHM, bu davalarda başvurucuların yayınladıkları makale ya da kitaplarda kin ya da düşmanlığa tahrik ettikleri ya da bir suçu veya suçluyu övdükleri iddiasıyla hüküm giymeleri nedeniyle 10. </w:t>
      </w:r>
      <w:r w:rsidR="00241305" w:rsidRPr="008F1795">
        <w:rPr>
          <w:lang w:val="tr-TR"/>
        </w:rPr>
        <w:t>Madde</w:t>
      </w:r>
      <w:r w:rsidR="00166013" w:rsidRPr="008F1795">
        <w:rPr>
          <w:lang w:val="tr-TR"/>
        </w:rPr>
        <w:t xml:space="preserve">nin ihlal edildiği sonucuna varmıştır. Mahkeme, söz konusu makale ve kitapların kamu politikalarını (özellikle terörizmle mücadele için alınan tedbirleri) sert bir şekilde eleştirmesine rağmen kin ve şiddete tahrik etmediklerini, ya da uygulanan yaptırımın müdahale ile elde edilmek istenen meşru amaca açıkça orantısız </w:t>
      </w:r>
      <w:r w:rsidR="00166013" w:rsidRPr="008F1795">
        <w:rPr>
          <w:lang w:val="tr-TR"/>
        </w:rPr>
        <w:lastRenderedPageBreak/>
        <w:t xml:space="preserve">olduğunu belirtmiştir. </w:t>
      </w:r>
    </w:p>
    <w:p w14:paraId="33AFCF67" w14:textId="77777777" w:rsidR="00166013" w:rsidRPr="008F1795" w:rsidRDefault="00166013" w:rsidP="00166013">
      <w:pPr>
        <w:pStyle w:val="ListeParagraf"/>
        <w:rPr>
          <w:lang w:val="tr-TR"/>
        </w:rPr>
      </w:pPr>
    </w:p>
    <w:p w14:paraId="72119D72" w14:textId="02DD1B87" w:rsidR="00715788" w:rsidRPr="008F1795" w:rsidRDefault="00FF59CD" w:rsidP="00E1071E">
      <w:pPr>
        <w:pStyle w:val="ListeParagraf"/>
        <w:numPr>
          <w:ilvl w:val="0"/>
          <w:numId w:val="4"/>
        </w:numPr>
        <w:tabs>
          <w:tab w:val="left" w:pos="635"/>
        </w:tabs>
        <w:spacing w:before="1"/>
        <w:ind w:right="215" w:firstLine="0"/>
        <w:rPr>
          <w:lang w:val="tr-TR"/>
        </w:rPr>
      </w:pPr>
      <w:r w:rsidRPr="008F1795">
        <w:rPr>
          <w:lang w:val="tr-TR"/>
        </w:rPr>
        <w:t>AİHM</w:t>
      </w:r>
      <w:r w:rsidRPr="008F1795">
        <w:rPr>
          <w:i/>
          <w:iCs/>
          <w:lang w:val="tr-TR"/>
        </w:rPr>
        <w:t xml:space="preserve">, </w:t>
      </w:r>
      <w:r w:rsidR="00207269" w:rsidRPr="008F1795">
        <w:rPr>
          <w:i/>
          <w:iCs/>
          <w:lang w:val="tr-TR"/>
        </w:rPr>
        <w:t>Dicle-Türkiye davasında</w:t>
      </w:r>
      <w:r w:rsidR="00141E98" w:rsidRPr="008F1795">
        <w:rPr>
          <w:rStyle w:val="DipnotBavurusu"/>
          <w:i/>
          <w:iCs/>
          <w:lang w:val="tr-TR"/>
        </w:rPr>
        <w:footnoteReference w:id="33"/>
      </w:r>
      <w:r w:rsidR="00207269" w:rsidRPr="008F1795">
        <w:rPr>
          <w:lang w:val="tr-TR"/>
        </w:rPr>
        <w:t xml:space="preserve"> olduğu gibi, polemik içer</w:t>
      </w:r>
      <w:r w:rsidR="00DF25DC" w:rsidRPr="008F1795">
        <w:rPr>
          <w:lang w:val="tr-TR"/>
        </w:rPr>
        <w:t xml:space="preserve">en bazı </w:t>
      </w:r>
      <w:r w:rsidR="00B426E3">
        <w:rPr>
          <w:lang w:val="tr-TR"/>
        </w:rPr>
        <w:t>bölümlere</w:t>
      </w:r>
      <w:r w:rsidR="002C3BAD" w:rsidRPr="008F1795">
        <w:rPr>
          <w:lang w:val="tr-TR"/>
        </w:rPr>
        <w:t xml:space="preserve"> rağmen</w:t>
      </w:r>
      <w:r w:rsidR="00E73F68" w:rsidRPr="008F1795">
        <w:rPr>
          <w:lang w:val="tr-TR"/>
        </w:rPr>
        <w:t xml:space="preserve"> t</w:t>
      </w:r>
      <w:r w:rsidR="000F5AC6" w:rsidRPr="008F1795">
        <w:rPr>
          <w:lang w:val="tr-TR"/>
        </w:rPr>
        <w:t>erörizm ile mücadelede devlet politikalarını</w:t>
      </w:r>
      <w:r w:rsidR="00207269" w:rsidRPr="008F1795">
        <w:rPr>
          <w:lang w:val="tr-TR"/>
        </w:rPr>
        <w:t xml:space="preserve"> </w:t>
      </w:r>
      <w:proofErr w:type="gramStart"/>
      <w:r w:rsidR="00207269" w:rsidRPr="008F1795">
        <w:rPr>
          <w:lang w:val="tr-TR"/>
        </w:rPr>
        <w:t>eleştirmenin,</w:t>
      </w:r>
      <w:proofErr w:type="gramEnd"/>
      <w:r w:rsidR="00207269" w:rsidRPr="008F1795">
        <w:rPr>
          <w:lang w:val="tr-TR"/>
        </w:rPr>
        <w:t xml:space="preserve"> </w:t>
      </w:r>
      <w:r w:rsidR="00036C5E" w:rsidRPr="008F1795">
        <w:rPr>
          <w:lang w:val="tr-TR"/>
        </w:rPr>
        <w:t>ve “Türk Devleti</w:t>
      </w:r>
      <w:r w:rsidR="005D48EF" w:rsidRPr="008F1795">
        <w:rPr>
          <w:lang w:val="tr-TR"/>
        </w:rPr>
        <w:t xml:space="preserve"> hakkında</w:t>
      </w:r>
      <w:r w:rsidR="00036C5E" w:rsidRPr="008F1795">
        <w:rPr>
          <w:lang w:val="tr-TR"/>
        </w:rPr>
        <w:t xml:space="preserve"> aşırı olumsuz </w:t>
      </w:r>
      <w:r w:rsidR="005D48EF" w:rsidRPr="008F1795">
        <w:rPr>
          <w:lang w:val="tr-TR"/>
        </w:rPr>
        <w:t>bir tablo çizerek</w:t>
      </w:r>
      <w:r w:rsidR="00036C5E" w:rsidRPr="008F1795">
        <w:rPr>
          <w:lang w:val="tr-TR"/>
        </w:rPr>
        <w:t xml:space="preserve">, </w:t>
      </w:r>
      <w:r w:rsidR="002C3BAD" w:rsidRPr="008F1795">
        <w:rPr>
          <w:lang w:val="tr-TR"/>
        </w:rPr>
        <w:t>anlatıma düşmanca bir ton verme</w:t>
      </w:r>
      <w:r w:rsidR="008E1784" w:rsidRPr="008F1795">
        <w:rPr>
          <w:lang w:val="tr-TR"/>
        </w:rPr>
        <w:t>nin</w:t>
      </w:r>
      <w:r w:rsidR="002C3BAD" w:rsidRPr="008F1795">
        <w:rPr>
          <w:lang w:val="tr-TR"/>
        </w:rPr>
        <w:t>”</w:t>
      </w:r>
      <w:r w:rsidR="000A4BDC" w:rsidRPr="008F1795">
        <w:rPr>
          <w:lang w:val="tr-TR"/>
        </w:rPr>
        <w:t xml:space="preserve">, şiddet, silahlı direniş ya da ayaklanmayı teşvik eden bir nefret söylemi </w:t>
      </w:r>
      <w:r w:rsidR="008E1784" w:rsidRPr="008F1795">
        <w:rPr>
          <w:lang w:val="tr-TR"/>
        </w:rPr>
        <w:t>olmadığı</w:t>
      </w:r>
      <w:r w:rsidR="000A4BDC" w:rsidRPr="008F1795">
        <w:rPr>
          <w:lang w:val="tr-TR"/>
        </w:rPr>
        <w:t xml:space="preserve"> kanaatindedir. </w:t>
      </w:r>
      <w:r w:rsidR="00E1071E" w:rsidRPr="008F1795">
        <w:rPr>
          <w:lang w:val="tr-TR"/>
        </w:rPr>
        <w:t xml:space="preserve">Eski Ceza Kanununun 312. </w:t>
      </w:r>
      <w:r w:rsidR="00241305" w:rsidRPr="008F1795">
        <w:rPr>
          <w:lang w:val="tr-TR"/>
        </w:rPr>
        <w:t>Madde</w:t>
      </w:r>
      <w:r w:rsidR="00E1071E" w:rsidRPr="008F1795">
        <w:rPr>
          <w:lang w:val="tr-TR"/>
        </w:rPr>
        <w:t xml:space="preserve">si </w:t>
      </w:r>
      <w:r w:rsidR="00C823F5" w:rsidRPr="008F1795">
        <w:rPr>
          <w:lang w:val="tr-TR"/>
        </w:rPr>
        <w:t>uyarınca</w:t>
      </w:r>
      <w:r w:rsidR="00E1071E" w:rsidRPr="008F1795">
        <w:rPr>
          <w:lang w:val="tr-TR"/>
        </w:rPr>
        <w:t xml:space="preserve"> verilen </w:t>
      </w:r>
      <w:r w:rsidR="00052339">
        <w:rPr>
          <w:lang w:val="tr-TR"/>
        </w:rPr>
        <w:t>mahkumiyetlerin</w:t>
      </w:r>
      <w:r w:rsidR="00E1071E" w:rsidRPr="008F1795">
        <w:rPr>
          <w:lang w:val="tr-TR"/>
        </w:rPr>
        <w:t xml:space="preserve"> temelini oluşturan</w:t>
      </w:r>
      <w:r w:rsidR="00F658C3" w:rsidRPr="008F1795">
        <w:rPr>
          <w:lang w:val="tr-TR"/>
        </w:rPr>
        <w:t>,</w:t>
      </w:r>
      <w:r w:rsidR="00E1071E" w:rsidRPr="008F1795">
        <w:rPr>
          <w:lang w:val="tr-TR"/>
        </w:rPr>
        <w:t xml:space="preserve"> </w:t>
      </w:r>
      <w:r w:rsidR="00150B0A" w:rsidRPr="008F1795">
        <w:rPr>
          <w:lang w:val="tr-TR"/>
        </w:rPr>
        <w:t>“</w:t>
      </w:r>
      <w:r w:rsidR="005B7BD0" w:rsidRPr="008F1795">
        <w:rPr>
          <w:i/>
          <w:iCs/>
          <w:lang w:val="tr-TR"/>
        </w:rPr>
        <w:t>Bu</w:t>
      </w:r>
      <w:r w:rsidR="005B7BD0" w:rsidRPr="008F1795">
        <w:rPr>
          <w:lang w:val="tr-TR"/>
        </w:rPr>
        <w:t xml:space="preserve">, </w:t>
      </w:r>
      <w:r w:rsidR="00150B0A" w:rsidRPr="008F1795">
        <w:rPr>
          <w:i/>
          <w:iCs/>
          <w:lang w:val="tr-TR"/>
        </w:rPr>
        <w:t>Türk ve Kürt proleterlere karşı bir Devlet terörüdür!</w:t>
      </w:r>
      <w:r w:rsidR="00115B49" w:rsidRPr="008F1795">
        <w:rPr>
          <w:i/>
          <w:iCs/>
          <w:lang w:val="tr-TR"/>
        </w:rPr>
        <w:t>”</w:t>
      </w:r>
      <w:r w:rsidR="00E56C1B" w:rsidRPr="008F1795">
        <w:rPr>
          <w:rStyle w:val="DipnotBavurusu"/>
          <w:i/>
          <w:iCs/>
          <w:lang w:val="tr-TR"/>
        </w:rPr>
        <w:footnoteReference w:id="34"/>
      </w:r>
      <w:r w:rsidR="00115B49" w:rsidRPr="008F1795">
        <w:rPr>
          <w:i/>
          <w:iCs/>
          <w:lang w:val="tr-TR"/>
        </w:rPr>
        <w:t xml:space="preserve"> “(…) Ülkede şu an Kürt halkına karşı</w:t>
      </w:r>
      <w:r w:rsidR="00C61B5F" w:rsidRPr="008F1795">
        <w:rPr>
          <w:i/>
          <w:iCs/>
          <w:lang w:val="tr-TR"/>
        </w:rPr>
        <w:t xml:space="preserve"> özel bir savaş </w:t>
      </w:r>
      <w:r w:rsidR="00E60747" w:rsidRPr="008F1795">
        <w:rPr>
          <w:i/>
          <w:iCs/>
          <w:lang w:val="tr-TR"/>
        </w:rPr>
        <w:t>açılmıştır</w:t>
      </w:r>
      <w:r w:rsidR="00115B49" w:rsidRPr="008F1795">
        <w:rPr>
          <w:i/>
          <w:iCs/>
          <w:lang w:val="tr-TR"/>
        </w:rPr>
        <w:t>”</w:t>
      </w:r>
      <w:r w:rsidR="009465F4" w:rsidRPr="008F1795">
        <w:rPr>
          <w:rStyle w:val="DipnotBavurusu"/>
          <w:i/>
          <w:iCs/>
          <w:lang w:val="tr-TR"/>
        </w:rPr>
        <w:footnoteReference w:id="35"/>
      </w:r>
      <w:r w:rsidR="00115B49" w:rsidRPr="008F1795">
        <w:rPr>
          <w:i/>
          <w:iCs/>
          <w:lang w:val="tr-TR"/>
        </w:rPr>
        <w:t xml:space="preserve">; “İslam adına Kürtleri öldüreceksiniz (…); </w:t>
      </w:r>
      <w:r w:rsidR="00A071D0" w:rsidRPr="008F1795">
        <w:rPr>
          <w:i/>
          <w:iCs/>
          <w:lang w:val="tr-TR"/>
        </w:rPr>
        <w:t>Anadolu’nun zavallı oğulları, köyleri zorla boşaltıldı, işkence gördüler (…) ve</w:t>
      </w:r>
      <w:r w:rsidR="00115B49" w:rsidRPr="008F1795">
        <w:rPr>
          <w:i/>
          <w:iCs/>
          <w:lang w:val="tr-TR"/>
        </w:rPr>
        <w:t xml:space="preserve"> </w:t>
      </w:r>
      <w:r w:rsidR="00C61B5F" w:rsidRPr="008F1795">
        <w:rPr>
          <w:i/>
          <w:iCs/>
          <w:lang w:val="tr-TR"/>
        </w:rPr>
        <w:t xml:space="preserve">faili meçhul katillerin </w:t>
      </w:r>
      <w:r w:rsidR="00D36BDD" w:rsidRPr="008F1795">
        <w:rPr>
          <w:i/>
          <w:iCs/>
          <w:lang w:val="tr-TR"/>
        </w:rPr>
        <w:t>k</w:t>
      </w:r>
      <w:r w:rsidR="00C61B5F" w:rsidRPr="008F1795">
        <w:rPr>
          <w:i/>
          <w:iCs/>
          <w:lang w:val="tr-TR"/>
        </w:rPr>
        <w:t>urbanı oldular</w:t>
      </w:r>
      <w:r w:rsidR="00160D3D" w:rsidRPr="008F1795">
        <w:rPr>
          <w:i/>
          <w:iCs/>
          <w:lang w:val="tr-TR"/>
        </w:rPr>
        <w:t>, hapishaneleri Kürtler ile doldurdular</w:t>
      </w:r>
      <w:r w:rsidR="00160D3D" w:rsidRPr="008F1795">
        <w:rPr>
          <w:lang w:val="tr-TR"/>
        </w:rPr>
        <w:t xml:space="preserve"> (…)</w:t>
      </w:r>
      <w:r w:rsidR="00320219" w:rsidRPr="008F1795">
        <w:rPr>
          <w:lang w:val="tr-TR"/>
        </w:rPr>
        <w:t>”</w:t>
      </w:r>
      <w:r w:rsidR="009465F4" w:rsidRPr="008F1795">
        <w:rPr>
          <w:rStyle w:val="DipnotBavurusu"/>
          <w:lang w:val="tr-TR"/>
        </w:rPr>
        <w:footnoteReference w:id="36"/>
      </w:r>
      <w:r w:rsidR="00320219" w:rsidRPr="008F1795">
        <w:rPr>
          <w:lang w:val="tr-TR"/>
        </w:rPr>
        <w:t xml:space="preserve"> gibi </w:t>
      </w:r>
      <w:r w:rsidR="00232FBB" w:rsidRPr="008F1795">
        <w:rPr>
          <w:lang w:val="tr-TR"/>
        </w:rPr>
        <w:t xml:space="preserve">terörle mücadele bağlamında </w:t>
      </w:r>
      <w:r w:rsidR="00D36BDD" w:rsidRPr="008F1795">
        <w:rPr>
          <w:lang w:val="tr-TR"/>
        </w:rPr>
        <w:t xml:space="preserve">sarf edilen </w:t>
      </w:r>
      <w:r w:rsidR="00232FBB" w:rsidRPr="008F1795">
        <w:rPr>
          <w:lang w:val="tr-TR"/>
        </w:rPr>
        <w:t xml:space="preserve">ifade biçimleri ya da </w:t>
      </w:r>
      <w:r w:rsidR="00F2747F" w:rsidRPr="008F1795">
        <w:rPr>
          <w:lang w:val="tr-TR"/>
        </w:rPr>
        <w:t>“</w:t>
      </w:r>
      <w:r w:rsidR="00F2747F" w:rsidRPr="008F1795">
        <w:rPr>
          <w:i/>
          <w:iCs/>
          <w:lang w:val="tr-TR"/>
        </w:rPr>
        <w:t>Devlet terörizmi</w:t>
      </w:r>
      <w:r w:rsidR="00F2747F" w:rsidRPr="008F1795">
        <w:rPr>
          <w:lang w:val="tr-TR"/>
        </w:rPr>
        <w:t>” ve “</w:t>
      </w:r>
      <w:r w:rsidR="00F2747F" w:rsidRPr="008F1795">
        <w:rPr>
          <w:i/>
          <w:iCs/>
          <w:lang w:val="tr-TR"/>
        </w:rPr>
        <w:t>soykırım</w:t>
      </w:r>
      <w:r w:rsidR="00F2747F" w:rsidRPr="008F1795">
        <w:rPr>
          <w:lang w:val="tr-TR"/>
        </w:rPr>
        <w:t>”</w:t>
      </w:r>
      <w:r w:rsidR="00576F02" w:rsidRPr="008F1795">
        <w:rPr>
          <w:rStyle w:val="DipnotBavurusu"/>
          <w:lang w:val="tr-TR"/>
        </w:rPr>
        <w:footnoteReference w:id="37"/>
      </w:r>
      <w:r w:rsidR="00F2747F" w:rsidRPr="008F1795">
        <w:rPr>
          <w:lang w:val="tr-TR"/>
        </w:rPr>
        <w:t xml:space="preserve"> gibi </w:t>
      </w:r>
      <w:r w:rsidR="000D41F6" w:rsidRPr="008F1795">
        <w:rPr>
          <w:lang w:val="tr-TR"/>
        </w:rPr>
        <w:t xml:space="preserve">nefret </w:t>
      </w:r>
      <w:r w:rsidR="00D36BDD" w:rsidRPr="008F1795">
        <w:rPr>
          <w:lang w:val="tr-TR"/>
        </w:rPr>
        <w:t xml:space="preserve">dolu bir </w:t>
      </w:r>
      <w:r w:rsidR="00504659">
        <w:rPr>
          <w:lang w:val="tr-TR"/>
        </w:rPr>
        <w:t>üslup</w:t>
      </w:r>
      <w:r w:rsidR="00D36BDD" w:rsidRPr="008F1795">
        <w:rPr>
          <w:lang w:val="tr-TR"/>
        </w:rPr>
        <w:t xml:space="preserve"> kullanarak </w:t>
      </w:r>
      <w:r w:rsidR="00671DE4" w:rsidRPr="008F1795">
        <w:rPr>
          <w:lang w:val="tr-TR"/>
        </w:rPr>
        <w:t xml:space="preserve">yapılan </w:t>
      </w:r>
      <w:r w:rsidR="00D36BDD" w:rsidRPr="008F1795">
        <w:rPr>
          <w:lang w:val="tr-TR"/>
        </w:rPr>
        <w:t>eleştiri</w:t>
      </w:r>
      <w:r w:rsidR="00671DE4" w:rsidRPr="008F1795">
        <w:rPr>
          <w:lang w:val="tr-TR"/>
        </w:rPr>
        <w:t>ler</w:t>
      </w:r>
      <w:r w:rsidR="00E60747" w:rsidRPr="008F1795">
        <w:rPr>
          <w:lang w:val="tr-TR"/>
        </w:rPr>
        <w:t xml:space="preserve">, </w:t>
      </w:r>
      <w:r w:rsidR="008E0614" w:rsidRPr="008F1795">
        <w:rPr>
          <w:lang w:val="tr-TR"/>
        </w:rPr>
        <w:t xml:space="preserve">AİHM tarafından AİHS 10. </w:t>
      </w:r>
      <w:r w:rsidR="00241305" w:rsidRPr="008F1795">
        <w:rPr>
          <w:lang w:val="tr-TR"/>
        </w:rPr>
        <w:t>Madde</w:t>
      </w:r>
      <w:r w:rsidR="008E0614" w:rsidRPr="008F1795">
        <w:rPr>
          <w:lang w:val="tr-TR"/>
        </w:rPr>
        <w:t>si kapsamında korunan eleştiri</w:t>
      </w:r>
      <w:r w:rsidR="00420815">
        <w:rPr>
          <w:lang w:val="tr-TR"/>
        </w:rPr>
        <w:t>ler</w:t>
      </w:r>
      <w:r w:rsidR="00C823F5" w:rsidRPr="008F1795">
        <w:rPr>
          <w:lang w:val="tr-TR"/>
        </w:rPr>
        <w:t xml:space="preserve"> olarak değerlendirilmiştir. </w:t>
      </w:r>
      <w:r w:rsidR="00387639" w:rsidRPr="008F1795">
        <w:rPr>
          <w:lang w:val="tr-TR"/>
        </w:rPr>
        <w:t xml:space="preserve">AİHM, yeni Ceza Kanununun 216. </w:t>
      </w:r>
      <w:r w:rsidR="00241305" w:rsidRPr="008F1795">
        <w:rPr>
          <w:lang w:val="tr-TR"/>
        </w:rPr>
        <w:t>Madde</w:t>
      </w:r>
      <w:r w:rsidR="00387639" w:rsidRPr="008F1795">
        <w:rPr>
          <w:lang w:val="tr-TR"/>
        </w:rPr>
        <w:t xml:space="preserve">sinin </w:t>
      </w:r>
      <w:r w:rsidR="00150D91" w:rsidRPr="008F1795">
        <w:rPr>
          <w:lang w:val="tr-TR"/>
        </w:rPr>
        <w:t>uygulanışına</w:t>
      </w:r>
      <w:r w:rsidR="00387639" w:rsidRPr="008F1795">
        <w:rPr>
          <w:lang w:val="tr-TR"/>
        </w:rPr>
        <w:t xml:space="preserve"> ilişkin </w:t>
      </w:r>
      <w:r w:rsidR="00150D91" w:rsidRPr="008F1795">
        <w:rPr>
          <w:lang w:val="tr-TR"/>
        </w:rPr>
        <w:t>Türkiye</w:t>
      </w:r>
      <w:r w:rsidR="005B4F6F" w:rsidRPr="008F1795">
        <w:rPr>
          <w:lang w:val="tr-TR"/>
        </w:rPr>
        <w:t xml:space="preserve"> aleyhine</w:t>
      </w:r>
      <w:r w:rsidR="00150D91" w:rsidRPr="008F1795">
        <w:rPr>
          <w:lang w:val="tr-TR"/>
        </w:rPr>
        <w:t xml:space="preserve"> açılan bir davayı henüz değerlendirmemiştir. </w:t>
      </w:r>
    </w:p>
    <w:p w14:paraId="2237D861" w14:textId="5374BD68" w:rsidR="009420EB" w:rsidRPr="008F1795" w:rsidRDefault="009420EB" w:rsidP="009420EB">
      <w:pPr>
        <w:pStyle w:val="ListeParagraf"/>
        <w:tabs>
          <w:tab w:val="left" w:pos="742"/>
        </w:tabs>
        <w:rPr>
          <w:lang w:val="tr-TR"/>
        </w:rPr>
      </w:pPr>
    </w:p>
    <w:p w14:paraId="41381B8A" w14:textId="28620506" w:rsidR="005B4F6F" w:rsidRPr="008F1795" w:rsidRDefault="00AC22F0" w:rsidP="00243654">
      <w:pPr>
        <w:pStyle w:val="ListeParagraf"/>
        <w:numPr>
          <w:ilvl w:val="0"/>
          <w:numId w:val="4"/>
        </w:numPr>
        <w:tabs>
          <w:tab w:val="left" w:pos="674"/>
        </w:tabs>
        <w:spacing w:before="94"/>
        <w:ind w:firstLine="0"/>
        <w:rPr>
          <w:lang w:val="tr-TR"/>
        </w:rPr>
      </w:pPr>
      <w:r w:rsidRPr="008F1795">
        <w:rPr>
          <w:lang w:val="tr-TR"/>
        </w:rPr>
        <w:t>Türkiye, e</w:t>
      </w:r>
      <w:r w:rsidR="006719BC" w:rsidRPr="008F1795">
        <w:rPr>
          <w:lang w:val="tr-TR"/>
        </w:rPr>
        <w:t xml:space="preserve">ski Ceza Kanununun 312. </w:t>
      </w:r>
      <w:r w:rsidR="00241305" w:rsidRPr="008F1795">
        <w:rPr>
          <w:lang w:val="tr-TR"/>
        </w:rPr>
        <w:t>Madde</w:t>
      </w:r>
      <w:r w:rsidR="006719BC" w:rsidRPr="008F1795">
        <w:rPr>
          <w:lang w:val="tr-TR"/>
        </w:rPr>
        <w:t xml:space="preserve">si ile ilgili AİHM kararlarına </w:t>
      </w:r>
      <w:r w:rsidR="00ED0F8D">
        <w:rPr>
          <w:lang w:val="tr-TR"/>
        </w:rPr>
        <w:t>karşılık</w:t>
      </w:r>
      <w:r w:rsidR="006719BC" w:rsidRPr="008F1795">
        <w:rPr>
          <w:lang w:val="tr-TR"/>
        </w:rPr>
        <w:t xml:space="preserve"> olarak </w:t>
      </w:r>
      <w:r w:rsidR="00E9704F" w:rsidRPr="008F1795">
        <w:rPr>
          <w:lang w:val="tr-TR"/>
        </w:rPr>
        <w:t>yeni bir Ceza Kanunu</w:t>
      </w:r>
      <w:r w:rsidR="00ED0F8D">
        <w:rPr>
          <w:lang w:val="tr-TR"/>
        </w:rPr>
        <w:t>nu</w:t>
      </w:r>
      <w:r w:rsidR="00E9704F" w:rsidRPr="008F1795">
        <w:rPr>
          <w:lang w:val="tr-TR"/>
        </w:rPr>
        <w:t xml:space="preserve"> kabul etmiştir. Ancak, Türkiye’nin AİHM kararlarını uygula</w:t>
      </w:r>
      <w:r w:rsidRPr="008F1795">
        <w:rPr>
          <w:lang w:val="tr-TR"/>
        </w:rPr>
        <w:t>yışı</w:t>
      </w:r>
      <w:r w:rsidR="00E9704F" w:rsidRPr="008F1795">
        <w:rPr>
          <w:lang w:val="tr-TR"/>
        </w:rPr>
        <w:t xml:space="preserve"> hakkında </w:t>
      </w:r>
      <w:r w:rsidR="00C36470" w:rsidRPr="008F1795">
        <w:rPr>
          <w:lang w:val="tr-TR"/>
        </w:rPr>
        <w:t xml:space="preserve">Bakanlar </w:t>
      </w:r>
      <w:r w:rsidR="00C36470">
        <w:rPr>
          <w:lang w:val="tr-TR"/>
        </w:rPr>
        <w:t>Komitesinin</w:t>
      </w:r>
      <w:r w:rsidR="00C36470" w:rsidRPr="008F1795">
        <w:rPr>
          <w:lang w:val="tr-TR"/>
        </w:rPr>
        <w:t xml:space="preserve"> </w:t>
      </w:r>
      <w:r w:rsidR="00E9704F" w:rsidRPr="008F1795">
        <w:rPr>
          <w:lang w:val="tr-TR"/>
        </w:rPr>
        <w:t>2008 tarihli raporunda</w:t>
      </w:r>
      <w:r w:rsidR="00A567DB" w:rsidRPr="008F1795">
        <w:rPr>
          <w:lang w:val="tr-TR"/>
        </w:rPr>
        <w:t xml:space="preserve">, </w:t>
      </w:r>
      <w:r w:rsidR="00D43DD7" w:rsidRPr="008F1795">
        <w:rPr>
          <w:lang w:val="tr-TR"/>
        </w:rPr>
        <w:t xml:space="preserve">sorunlu 312. </w:t>
      </w:r>
      <w:r w:rsidR="00241305" w:rsidRPr="008F1795">
        <w:rPr>
          <w:lang w:val="tr-TR"/>
        </w:rPr>
        <w:t>Madde</w:t>
      </w:r>
      <w:r w:rsidR="00D43DD7" w:rsidRPr="008F1795">
        <w:rPr>
          <w:lang w:val="tr-TR"/>
        </w:rPr>
        <w:t xml:space="preserve"> yerine </w:t>
      </w:r>
      <w:r w:rsidR="00F04656" w:rsidRPr="008F1795">
        <w:rPr>
          <w:lang w:val="tr-TR"/>
        </w:rPr>
        <w:t xml:space="preserve">216. </w:t>
      </w:r>
      <w:r w:rsidR="00241305" w:rsidRPr="008F1795">
        <w:rPr>
          <w:lang w:val="tr-TR"/>
        </w:rPr>
        <w:t>Madde</w:t>
      </w:r>
      <w:r w:rsidR="00F04656" w:rsidRPr="008F1795">
        <w:rPr>
          <w:lang w:val="tr-TR"/>
        </w:rPr>
        <w:t xml:space="preserve"> </w:t>
      </w:r>
      <w:r w:rsidR="002C7CCA">
        <w:rPr>
          <w:lang w:val="tr-TR"/>
        </w:rPr>
        <w:t>gibi</w:t>
      </w:r>
      <w:r w:rsidR="00D43DD7" w:rsidRPr="008F1795">
        <w:rPr>
          <w:lang w:val="tr-TR"/>
        </w:rPr>
        <w:t xml:space="preserve"> yeni hükümler getirilmiş olmasına rağmen, </w:t>
      </w:r>
      <w:r w:rsidR="00C34A85" w:rsidRPr="008F1795">
        <w:rPr>
          <w:lang w:val="tr-TR"/>
        </w:rPr>
        <w:t>“</w:t>
      </w:r>
      <w:r w:rsidR="00445E7F" w:rsidRPr="008F1795">
        <w:rPr>
          <w:i/>
          <w:iCs/>
          <w:lang w:val="tr-TR"/>
        </w:rPr>
        <w:t xml:space="preserve">eski metindeki </w:t>
      </w:r>
      <w:r w:rsidR="00445E7F">
        <w:rPr>
          <w:i/>
          <w:iCs/>
          <w:lang w:val="tr-TR"/>
        </w:rPr>
        <w:t xml:space="preserve">yazılış </w:t>
      </w:r>
      <w:r w:rsidR="00651F48">
        <w:rPr>
          <w:i/>
          <w:iCs/>
          <w:lang w:val="tr-TR"/>
        </w:rPr>
        <w:t>tarzı</w:t>
      </w:r>
      <w:r w:rsidR="00651F48" w:rsidRPr="008F1795">
        <w:rPr>
          <w:i/>
          <w:iCs/>
          <w:lang w:val="tr-TR"/>
        </w:rPr>
        <w:t xml:space="preserve"> </w:t>
      </w:r>
      <w:r w:rsidR="00445E7F" w:rsidRPr="008F1795">
        <w:rPr>
          <w:i/>
          <w:iCs/>
          <w:lang w:val="tr-TR"/>
        </w:rPr>
        <w:t>değiş</w:t>
      </w:r>
      <w:r w:rsidR="00180301">
        <w:rPr>
          <w:i/>
          <w:iCs/>
          <w:lang w:val="tr-TR"/>
        </w:rPr>
        <w:t>tiril</w:t>
      </w:r>
      <w:r w:rsidR="00445E7F" w:rsidRPr="008F1795">
        <w:rPr>
          <w:i/>
          <w:iCs/>
          <w:lang w:val="tr-TR"/>
        </w:rPr>
        <w:t xml:space="preserve">mekle birlikte </w:t>
      </w:r>
      <w:r w:rsidR="00C34A85" w:rsidRPr="008F1795">
        <w:rPr>
          <w:i/>
          <w:iCs/>
          <w:lang w:val="tr-TR"/>
        </w:rPr>
        <w:t>yeni hükümler</w:t>
      </w:r>
      <w:r w:rsidR="00651F48">
        <w:rPr>
          <w:i/>
          <w:iCs/>
          <w:lang w:val="tr-TR"/>
        </w:rPr>
        <w:t>de</w:t>
      </w:r>
      <w:r w:rsidR="00C34A85" w:rsidRPr="008F1795">
        <w:rPr>
          <w:i/>
          <w:iCs/>
          <w:lang w:val="tr-TR"/>
        </w:rPr>
        <w:t xml:space="preserve"> </w:t>
      </w:r>
      <w:r w:rsidR="00145190" w:rsidRPr="008F1795">
        <w:rPr>
          <w:i/>
          <w:iCs/>
          <w:lang w:val="tr-TR"/>
        </w:rPr>
        <w:t>içeri</w:t>
      </w:r>
      <w:r w:rsidR="00EB7B2F" w:rsidRPr="008F1795">
        <w:rPr>
          <w:i/>
          <w:iCs/>
          <w:lang w:val="tr-TR"/>
        </w:rPr>
        <w:t>ğin</w:t>
      </w:r>
      <w:r w:rsidR="00145190" w:rsidRPr="008F1795">
        <w:rPr>
          <w:i/>
          <w:iCs/>
          <w:lang w:val="tr-TR"/>
        </w:rPr>
        <w:t xml:space="preserve"> aynı </w:t>
      </w:r>
      <w:r w:rsidR="00EB7B2F" w:rsidRPr="008F1795">
        <w:rPr>
          <w:i/>
          <w:iCs/>
          <w:lang w:val="tr-TR"/>
        </w:rPr>
        <w:t>kaldığını</w:t>
      </w:r>
      <w:r w:rsidR="007D3641" w:rsidRPr="008F1795">
        <w:rPr>
          <w:i/>
          <w:iCs/>
          <w:lang w:val="tr-TR"/>
        </w:rPr>
        <w:t xml:space="preserve">; “kamu organlarına </w:t>
      </w:r>
      <w:r w:rsidR="00551158" w:rsidRPr="008F1795">
        <w:rPr>
          <w:i/>
          <w:iCs/>
          <w:lang w:val="tr-TR"/>
        </w:rPr>
        <w:t>hakaret</w:t>
      </w:r>
      <w:r w:rsidR="007D3641" w:rsidRPr="008F1795">
        <w:rPr>
          <w:i/>
          <w:iCs/>
          <w:lang w:val="tr-TR"/>
        </w:rPr>
        <w:t>” ve “kine tahrik ve kanunlara uyulmaması” ile ilgili hükümler</w:t>
      </w:r>
      <w:r w:rsidR="00EB7B2F" w:rsidRPr="008F1795">
        <w:rPr>
          <w:i/>
          <w:iCs/>
          <w:lang w:val="tr-TR"/>
        </w:rPr>
        <w:t>in</w:t>
      </w:r>
      <w:r w:rsidR="007D3641" w:rsidRPr="008F1795">
        <w:rPr>
          <w:i/>
          <w:iCs/>
          <w:lang w:val="tr-TR"/>
        </w:rPr>
        <w:t xml:space="preserve"> yeni kanunda da yer almaya devam </w:t>
      </w:r>
      <w:r w:rsidR="00EB7B2F" w:rsidRPr="008F1795">
        <w:rPr>
          <w:i/>
          <w:iCs/>
          <w:lang w:val="tr-TR"/>
        </w:rPr>
        <w:t>ettiğini</w:t>
      </w:r>
      <w:r w:rsidR="007D3641" w:rsidRPr="008F1795">
        <w:rPr>
          <w:lang w:val="tr-TR"/>
        </w:rPr>
        <w:t>”</w:t>
      </w:r>
      <w:r w:rsidR="00551158" w:rsidRPr="008F1795">
        <w:rPr>
          <w:lang w:val="tr-TR"/>
        </w:rPr>
        <w:t xml:space="preserve"> </w:t>
      </w:r>
      <w:r w:rsidR="00EB7B2F" w:rsidRPr="008F1795">
        <w:rPr>
          <w:lang w:val="tr-TR"/>
        </w:rPr>
        <w:t>belirt</w:t>
      </w:r>
      <w:r w:rsidR="00C36470">
        <w:rPr>
          <w:lang w:val="tr-TR"/>
        </w:rPr>
        <w:t>il</w:t>
      </w:r>
      <w:r w:rsidR="00EB7B2F" w:rsidRPr="008F1795">
        <w:rPr>
          <w:lang w:val="tr-TR"/>
        </w:rPr>
        <w:t>miştir.</w:t>
      </w:r>
      <w:r w:rsidR="00026E78" w:rsidRPr="008F1795">
        <w:rPr>
          <w:rStyle w:val="DipnotBavurusu"/>
          <w:lang w:val="tr-TR"/>
        </w:rPr>
        <w:footnoteReference w:id="38"/>
      </w:r>
    </w:p>
    <w:p w14:paraId="35668BA4" w14:textId="77777777" w:rsidR="005B4F6F" w:rsidRPr="008F1795" w:rsidRDefault="005B4F6F" w:rsidP="005B4F6F">
      <w:pPr>
        <w:pStyle w:val="ListeParagraf"/>
        <w:tabs>
          <w:tab w:val="left" w:pos="674"/>
        </w:tabs>
        <w:spacing w:before="94"/>
        <w:rPr>
          <w:lang w:val="tr-TR"/>
        </w:rPr>
      </w:pPr>
    </w:p>
    <w:p w14:paraId="5E1B4950" w14:textId="6BB6AA44" w:rsidR="0096263D" w:rsidRPr="008F1795" w:rsidRDefault="0096263D">
      <w:pPr>
        <w:pStyle w:val="ListeParagraf"/>
        <w:numPr>
          <w:ilvl w:val="0"/>
          <w:numId w:val="4"/>
        </w:numPr>
        <w:tabs>
          <w:tab w:val="left" w:pos="705"/>
        </w:tabs>
        <w:ind w:right="214" w:firstLine="0"/>
        <w:rPr>
          <w:lang w:val="tr-TR"/>
        </w:rPr>
      </w:pPr>
      <w:r w:rsidRPr="008F1795">
        <w:rPr>
          <w:lang w:val="tr-TR"/>
        </w:rPr>
        <w:t xml:space="preserve">Venedik Komisyonu, 216. </w:t>
      </w:r>
      <w:r w:rsidR="00241305" w:rsidRPr="008F1795">
        <w:rPr>
          <w:lang w:val="tr-TR"/>
        </w:rPr>
        <w:t>Madde</w:t>
      </w:r>
      <w:r w:rsidRPr="008F1795">
        <w:rPr>
          <w:lang w:val="tr-TR"/>
        </w:rPr>
        <w:t>nin</w:t>
      </w:r>
      <w:r w:rsidR="0000401A" w:rsidRPr="008F1795">
        <w:rPr>
          <w:lang w:val="tr-TR"/>
        </w:rPr>
        <w:t xml:space="preserve"> </w:t>
      </w:r>
      <w:r w:rsidRPr="008F1795">
        <w:rPr>
          <w:lang w:val="tr-TR"/>
        </w:rPr>
        <w:t>(2).</w:t>
      </w:r>
      <w:r w:rsidR="00564486">
        <w:rPr>
          <w:lang w:val="tr-TR"/>
        </w:rPr>
        <w:t xml:space="preserve"> </w:t>
      </w:r>
      <w:proofErr w:type="gramStart"/>
      <w:r w:rsidR="00564486">
        <w:rPr>
          <w:lang w:val="tr-TR"/>
        </w:rPr>
        <w:t>fıkrasında</w:t>
      </w:r>
      <w:proofErr w:type="gramEnd"/>
      <w:r w:rsidR="00564486">
        <w:rPr>
          <w:lang w:val="tr-TR"/>
        </w:rPr>
        <w:t xml:space="preserve"> </w:t>
      </w:r>
      <w:r w:rsidR="007E5E48">
        <w:rPr>
          <w:lang w:val="tr-TR"/>
        </w:rPr>
        <w:t>düzenlenen</w:t>
      </w:r>
      <w:r w:rsidR="00FD4FA3">
        <w:rPr>
          <w:lang w:val="tr-TR"/>
        </w:rPr>
        <w:t xml:space="preserve"> </w:t>
      </w:r>
      <w:r w:rsidR="00564486" w:rsidRPr="008F1795">
        <w:rPr>
          <w:lang w:val="tr-TR"/>
        </w:rPr>
        <w:t>halkın bir kesimini aşağılama</w:t>
      </w:r>
      <w:r w:rsidR="0001442C">
        <w:rPr>
          <w:lang w:val="tr-TR"/>
        </w:rPr>
        <w:t>nın</w:t>
      </w:r>
      <w:r w:rsidR="007E5E48">
        <w:rPr>
          <w:lang w:val="tr-TR"/>
        </w:rPr>
        <w:t xml:space="preserve"> </w:t>
      </w:r>
      <w:r w:rsidRPr="008F1795">
        <w:rPr>
          <w:lang w:val="tr-TR"/>
        </w:rPr>
        <w:t xml:space="preserve">ve (3). </w:t>
      </w:r>
      <w:proofErr w:type="gramStart"/>
      <w:r w:rsidR="00126832">
        <w:rPr>
          <w:lang w:val="tr-TR"/>
        </w:rPr>
        <w:t>f</w:t>
      </w:r>
      <w:r w:rsidR="00EC6225" w:rsidRPr="008F1795">
        <w:rPr>
          <w:lang w:val="tr-TR"/>
        </w:rPr>
        <w:t>ıkra</w:t>
      </w:r>
      <w:r w:rsidR="00564486">
        <w:rPr>
          <w:lang w:val="tr-TR"/>
        </w:rPr>
        <w:t>sında</w:t>
      </w:r>
      <w:proofErr w:type="gramEnd"/>
      <w:r w:rsidR="00564486">
        <w:rPr>
          <w:lang w:val="tr-TR"/>
        </w:rPr>
        <w:t xml:space="preserve"> </w:t>
      </w:r>
      <w:r w:rsidR="00FD4FA3">
        <w:rPr>
          <w:lang w:val="tr-TR"/>
        </w:rPr>
        <w:t xml:space="preserve">ele alınan </w:t>
      </w:r>
      <w:r w:rsidR="0000401A" w:rsidRPr="008F1795">
        <w:rPr>
          <w:lang w:val="tr-TR"/>
        </w:rPr>
        <w:t>dini değerleri aşağılama</w:t>
      </w:r>
      <w:r w:rsidR="0001442C">
        <w:rPr>
          <w:lang w:val="tr-TR"/>
        </w:rPr>
        <w:t>nın</w:t>
      </w:r>
      <w:r w:rsidR="005223F8" w:rsidRPr="008F1795">
        <w:rPr>
          <w:lang w:val="tr-TR"/>
        </w:rPr>
        <w:t>,</w:t>
      </w:r>
      <w:r w:rsidR="007B4E69" w:rsidRPr="008F1795">
        <w:rPr>
          <w:lang w:val="tr-TR"/>
        </w:rPr>
        <w:t xml:space="preserve"> birinci </w:t>
      </w:r>
      <w:r w:rsidR="00EC6225" w:rsidRPr="008F1795">
        <w:rPr>
          <w:lang w:val="tr-TR"/>
        </w:rPr>
        <w:t>fıkra</w:t>
      </w:r>
      <w:r w:rsidR="007B4E69" w:rsidRPr="008F1795">
        <w:rPr>
          <w:lang w:val="tr-TR"/>
        </w:rPr>
        <w:t>da geçen kin ve düşmanlığ</w:t>
      </w:r>
      <w:r w:rsidR="005223F8" w:rsidRPr="008F1795">
        <w:rPr>
          <w:lang w:val="tr-TR"/>
        </w:rPr>
        <w:t xml:space="preserve">a </w:t>
      </w:r>
      <w:r w:rsidR="007B4E69" w:rsidRPr="008F1795">
        <w:rPr>
          <w:lang w:val="tr-TR"/>
        </w:rPr>
        <w:t>tahrik</w:t>
      </w:r>
      <w:r w:rsidR="00F661E6" w:rsidRPr="008F1795">
        <w:rPr>
          <w:lang w:val="tr-TR"/>
        </w:rPr>
        <w:t xml:space="preserve"> suçunda</w:t>
      </w:r>
      <w:r w:rsidR="008167D1" w:rsidRPr="008F1795">
        <w:rPr>
          <w:lang w:val="tr-TR"/>
        </w:rPr>
        <w:t>n</w:t>
      </w:r>
      <w:r w:rsidR="00F661E6" w:rsidRPr="008F1795">
        <w:rPr>
          <w:lang w:val="tr-TR"/>
        </w:rPr>
        <w:t xml:space="preserve"> ayrı olarak cezalandırıldığını</w:t>
      </w:r>
      <w:r w:rsidR="008167D1" w:rsidRPr="008F1795">
        <w:rPr>
          <w:lang w:val="tr-TR"/>
        </w:rPr>
        <w:t xml:space="preserve"> </w:t>
      </w:r>
      <w:r w:rsidR="005223F8" w:rsidRPr="008F1795">
        <w:rPr>
          <w:lang w:val="tr-TR"/>
        </w:rPr>
        <w:t>gözlemlemektedir</w:t>
      </w:r>
      <w:r w:rsidR="008167D1" w:rsidRPr="008F1795">
        <w:rPr>
          <w:lang w:val="tr-TR"/>
        </w:rPr>
        <w:t xml:space="preserve">. </w:t>
      </w:r>
      <w:r w:rsidR="001F20AC" w:rsidRPr="008F1795">
        <w:rPr>
          <w:lang w:val="tr-TR"/>
        </w:rPr>
        <w:t xml:space="preserve">Bu ek iki </w:t>
      </w:r>
      <w:r w:rsidR="00EC6225" w:rsidRPr="008F1795">
        <w:rPr>
          <w:lang w:val="tr-TR"/>
        </w:rPr>
        <w:t>fıkra</w:t>
      </w:r>
      <w:r w:rsidR="001F20AC" w:rsidRPr="008F1795">
        <w:rPr>
          <w:lang w:val="tr-TR"/>
        </w:rPr>
        <w:t xml:space="preserve"> sorunludur çünkü </w:t>
      </w:r>
      <w:r w:rsidR="00B511F5" w:rsidRPr="008F1795">
        <w:rPr>
          <w:lang w:val="tr-TR"/>
        </w:rPr>
        <w:t xml:space="preserve">“aşağılama” </w:t>
      </w:r>
      <w:r w:rsidR="0001442C">
        <w:rPr>
          <w:lang w:val="tr-TR"/>
        </w:rPr>
        <w:t>terimine</w:t>
      </w:r>
      <w:r w:rsidR="00B511F5" w:rsidRPr="008F1795">
        <w:rPr>
          <w:lang w:val="tr-TR"/>
        </w:rPr>
        <w:t xml:space="preserve"> çok geniş bir anlam verilmesi mümkündür</w:t>
      </w:r>
      <w:r w:rsidR="00FB04CA" w:rsidRPr="008F1795">
        <w:rPr>
          <w:lang w:val="tr-TR"/>
        </w:rPr>
        <w:t xml:space="preserve">, </w:t>
      </w:r>
      <w:proofErr w:type="gramStart"/>
      <w:r w:rsidR="00C50688" w:rsidRPr="008F1795">
        <w:rPr>
          <w:lang w:val="tr-TR"/>
        </w:rPr>
        <w:t>oysa ki</w:t>
      </w:r>
      <w:proofErr w:type="gramEnd"/>
      <w:r w:rsidR="00FB04CA" w:rsidRPr="008F1795">
        <w:rPr>
          <w:lang w:val="tr-TR"/>
        </w:rPr>
        <w:t xml:space="preserve"> rencide eden, şok eden ya da </w:t>
      </w:r>
      <w:r w:rsidR="00220BF2" w:rsidRPr="008F1795">
        <w:rPr>
          <w:lang w:val="tr-TR"/>
        </w:rPr>
        <w:t xml:space="preserve">rahatsız eden </w:t>
      </w:r>
      <w:r w:rsidR="003947CE" w:rsidRPr="008F1795">
        <w:rPr>
          <w:lang w:val="tr-TR"/>
        </w:rPr>
        <w:t xml:space="preserve">düşüncelere ait ifadeler ilke olarak AİHS 10. </w:t>
      </w:r>
      <w:r w:rsidR="00241305" w:rsidRPr="008F1795">
        <w:rPr>
          <w:lang w:val="tr-TR"/>
        </w:rPr>
        <w:t>Madde</w:t>
      </w:r>
      <w:r w:rsidR="003947CE" w:rsidRPr="008F1795">
        <w:rPr>
          <w:lang w:val="tr-TR"/>
        </w:rPr>
        <w:t xml:space="preserve">si kapsamında koruma altındadır. </w:t>
      </w:r>
      <w:r w:rsidR="00C50688" w:rsidRPr="008F1795">
        <w:rPr>
          <w:lang w:val="tr-TR"/>
        </w:rPr>
        <w:t xml:space="preserve">Öte yandan, </w:t>
      </w:r>
      <w:r w:rsidR="009E4A90" w:rsidRPr="008F1795">
        <w:rPr>
          <w:lang w:val="tr-TR"/>
        </w:rPr>
        <w:t xml:space="preserve">216. </w:t>
      </w:r>
      <w:r w:rsidR="00241305" w:rsidRPr="008F1795">
        <w:rPr>
          <w:lang w:val="tr-TR"/>
        </w:rPr>
        <w:t>Madde</w:t>
      </w:r>
      <w:r w:rsidR="009E4A90" w:rsidRPr="008F1795">
        <w:rPr>
          <w:lang w:val="tr-TR"/>
        </w:rPr>
        <w:t xml:space="preserve">nin (1). </w:t>
      </w:r>
      <w:proofErr w:type="gramStart"/>
      <w:r w:rsidR="00401FFA">
        <w:rPr>
          <w:lang w:val="tr-TR"/>
        </w:rPr>
        <w:t>f</w:t>
      </w:r>
      <w:r w:rsidR="00EC6225" w:rsidRPr="008F1795">
        <w:rPr>
          <w:lang w:val="tr-TR"/>
        </w:rPr>
        <w:t>ıkra</w:t>
      </w:r>
      <w:r w:rsidR="009E4A90" w:rsidRPr="008F1795">
        <w:rPr>
          <w:lang w:val="tr-TR"/>
        </w:rPr>
        <w:t>sında</w:t>
      </w:r>
      <w:proofErr w:type="gramEnd"/>
      <w:r w:rsidR="009E4A90" w:rsidRPr="008F1795">
        <w:rPr>
          <w:lang w:val="tr-TR"/>
        </w:rPr>
        <w:t xml:space="preserve"> </w:t>
      </w:r>
      <w:r w:rsidR="00913BAA" w:rsidRPr="008F1795">
        <w:rPr>
          <w:lang w:val="tr-TR"/>
        </w:rPr>
        <w:t xml:space="preserve">ifade </w:t>
      </w:r>
      <w:r w:rsidR="0075146F" w:rsidRPr="008F1795">
        <w:rPr>
          <w:lang w:val="tr-TR"/>
        </w:rPr>
        <w:t xml:space="preserve">nedeniyle </w:t>
      </w:r>
      <w:r w:rsidR="009E4A90" w:rsidRPr="008F1795">
        <w:rPr>
          <w:lang w:val="tr-TR"/>
        </w:rPr>
        <w:t>“</w:t>
      </w:r>
      <w:r w:rsidR="001C055F" w:rsidRPr="008F1795">
        <w:rPr>
          <w:i/>
          <w:iCs/>
          <w:lang w:val="tr-TR"/>
        </w:rPr>
        <w:t>kamu güvenliği açısından açık ve yakın bir tehlikenin ortaya çıkması</w:t>
      </w:r>
      <w:r w:rsidR="009E4A90" w:rsidRPr="008F1795">
        <w:rPr>
          <w:lang w:val="tr-TR"/>
        </w:rPr>
        <w:t>”</w:t>
      </w:r>
      <w:r w:rsidR="00913BAA" w:rsidRPr="008F1795">
        <w:rPr>
          <w:lang w:val="tr-TR"/>
        </w:rPr>
        <w:t xml:space="preserve"> koşulu</w:t>
      </w:r>
      <w:r w:rsidR="0075146F" w:rsidRPr="008F1795">
        <w:rPr>
          <w:lang w:val="tr-TR"/>
        </w:rPr>
        <w:t xml:space="preserve">, (2). </w:t>
      </w:r>
      <w:proofErr w:type="gramStart"/>
      <w:r w:rsidR="0075146F" w:rsidRPr="008F1795">
        <w:rPr>
          <w:lang w:val="tr-TR"/>
        </w:rPr>
        <w:t>ve</w:t>
      </w:r>
      <w:proofErr w:type="gramEnd"/>
      <w:r w:rsidR="0075146F" w:rsidRPr="008F1795">
        <w:rPr>
          <w:lang w:val="tr-TR"/>
        </w:rPr>
        <w:t xml:space="preserve"> (3). </w:t>
      </w:r>
      <w:proofErr w:type="gramStart"/>
      <w:r w:rsidR="00401FFA">
        <w:rPr>
          <w:lang w:val="tr-TR"/>
        </w:rPr>
        <w:t>f</w:t>
      </w:r>
      <w:r w:rsidR="00EC6225" w:rsidRPr="008F1795">
        <w:rPr>
          <w:lang w:val="tr-TR"/>
        </w:rPr>
        <w:t>ıkra</w:t>
      </w:r>
      <w:r w:rsidR="0075146F" w:rsidRPr="008F1795">
        <w:rPr>
          <w:lang w:val="tr-TR"/>
        </w:rPr>
        <w:t>larda</w:t>
      </w:r>
      <w:proofErr w:type="gramEnd"/>
      <w:r w:rsidR="0075146F" w:rsidRPr="008F1795">
        <w:rPr>
          <w:lang w:val="tr-TR"/>
        </w:rPr>
        <w:t xml:space="preserve"> yer </w:t>
      </w:r>
      <w:r w:rsidR="00020E1E" w:rsidRPr="008F1795">
        <w:rPr>
          <w:lang w:val="tr-TR"/>
        </w:rPr>
        <w:t>almamaktadır</w:t>
      </w:r>
      <w:r w:rsidR="0075146F" w:rsidRPr="008F1795">
        <w:rPr>
          <w:lang w:val="tr-TR"/>
        </w:rPr>
        <w:t xml:space="preserve">. </w:t>
      </w:r>
      <w:r w:rsidR="00020E1E" w:rsidRPr="008F1795">
        <w:rPr>
          <w:lang w:val="tr-TR"/>
        </w:rPr>
        <w:t xml:space="preserve">Dolayısıyla, (2). </w:t>
      </w:r>
      <w:proofErr w:type="gramStart"/>
      <w:r w:rsidR="00020E1E" w:rsidRPr="008F1795">
        <w:rPr>
          <w:lang w:val="tr-TR"/>
        </w:rPr>
        <w:t>ve</w:t>
      </w:r>
      <w:proofErr w:type="gramEnd"/>
      <w:r w:rsidR="00020E1E" w:rsidRPr="008F1795">
        <w:rPr>
          <w:lang w:val="tr-TR"/>
        </w:rPr>
        <w:t xml:space="preserve"> (3). </w:t>
      </w:r>
      <w:proofErr w:type="gramStart"/>
      <w:r w:rsidR="00401FFA">
        <w:rPr>
          <w:lang w:val="tr-TR"/>
        </w:rPr>
        <w:t>f</w:t>
      </w:r>
      <w:r w:rsidR="00EC6225" w:rsidRPr="008F1795">
        <w:rPr>
          <w:lang w:val="tr-TR"/>
        </w:rPr>
        <w:t>ıkra</w:t>
      </w:r>
      <w:r w:rsidR="00020E1E" w:rsidRPr="008F1795">
        <w:rPr>
          <w:lang w:val="tr-TR"/>
        </w:rPr>
        <w:t>lar</w:t>
      </w:r>
      <w:proofErr w:type="gramEnd"/>
      <w:r w:rsidR="00020E1E" w:rsidRPr="008F1795">
        <w:rPr>
          <w:lang w:val="tr-TR"/>
        </w:rPr>
        <w:t xml:space="preserve"> daha kısıtlı şekilde formüle edilmeli, ya da </w:t>
      </w:r>
      <w:r w:rsidR="00A93D1D" w:rsidRPr="008F1795">
        <w:rPr>
          <w:lang w:val="tr-TR"/>
        </w:rPr>
        <w:t xml:space="preserve">(1). </w:t>
      </w:r>
      <w:proofErr w:type="gramStart"/>
      <w:r w:rsidR="00401FFA">
        <w:rPr>
          <w:lang w:val="tr-TR"/>
        </w:rPr>
        <w:t>f</w:t>
      </w:r>
      <w:r w:rsidR="00EC6225" w:rsidRPr="008F1795">
        <w:rPr>
          <w:lang w:val="tr-TR"/>
        </w:rPr>
        <w:t>ıkra</w:t>
      </w:r>
      <w:proofErr w:type="gramEnd"/>
      <w:r w:rsidR="00A93D1D" w:rsidRPr="008F1795">
        <w:rPr>
          <w:lang w:val="tr-TR"/>
        </w:rPr>
        <w:t xml:space="preserve"> ile birleştirilmelidir. </w:t>
      </w:r>
    </w:p>
    <w:p w14:paraId="26E50991" w14:textId="77777777" w:rsidR="0096263D" w:rsidRPr="008F1795" w:rsidRDefault="0096263D" w:rsidP="0096263D">
      <w:pPr>
        <w:pStyle w:val="ListeParagraf"/>
        <w:tabs>
          <w:tab w:val="left" w:pos="705"/>
        </w:tabs>
        <w:ind w:right="214"/>
        <w:rPr>
          <w:lang w:val="tr-TR"/>
        </w:rPr>
      </w:pPr>
    </w:p>
    <w:p w14:paraId="4ABB0DDF" w14:textId="7BF90E4A" w:rsidR="004D4E91" w:rsidRPr="008F1795" w:rsidRDefault="004D4E91">
      <w:pPr>
        <w:pStyle w:val="ListeParagraf"/>
        <w:numPr>
          <w:ilvl w:val="0"/>
          <w:numId w:val="4"/>
        </w:numPr>
        <w:tabs>
          <w:tab w:val="left" w:pos="655"/>
        </w:tabs>
        <w:ind w:firstLine="0"/>
        <w:rPr>
          <w:lang w:val="tr-TR"/>
        </w:rPr>
      </w:pPr>
      <w:r w:rsidRPr="008F1795">
        <w:rPr>
          <w:lang w:val="tr-TR"/>
        </w:rPr>
        <w:t xml:space="preserve">Bununla birlikte Venedik Komisyonu, </w:t>
      </w:r>
      <w:r w:rsidR="002211B0" w:rsidRPr="008F1795">
        <w:rPr>
          <w:lang w:val="tr-TR"/>
        </w:rPr>
        <w:t>yukarıda belirtilen içtiha</w:t>
      </w:r>
      <w:r w:rsidR="00CD097E" w:rsidRPr="008F1795">
        <w:rPr>
          <w:lang w:val="tr-TR"/>
        </w:rPr>
        <w:t xml:space="preserve">tların ışığında, </w:t>
      </w:r>
      <w:r w:rsidR="002211B0" w:rsidRPr="008F1795">
        <w:rPr>
          <w:lang w:val="tr-TR"/>
        </w:rPr>
        <w:t xml:space="preserve">216. </w:t>
      </w:r>
      <w:r w:rsidR="00241305" w:rsidRPr="008F1795">
        <w:rPr>
          <w:lang w:val="tr-TR"/>
        </w:rPr>
        <w:t>Madde</w:t>
      </w:r>
      <w:r w:rsidR="002211B0" w:rsidRPr="008F1795">
        <w:rPr>
          <w:lang w:val="tr-TR"/>
        </w:rPr>
        <w:t xml:space="preserve"> ile ilgili ciddi problemlerin</w:t>
      </w:r>
      <w:r w:rsidR="00CD097E" w:rsidRPr="008F1795">
        <w:rPr>
          <w:lang w:val="tr-TR"/>
        </w:rPr>
        <w:t xml:space="preserve">, </w:t>
      </w:r>
      <w:r w:rsidR="001C4E10">
        <w:rPr>
          <w:lang w:val="tr-TR"/>
        </w:rPr>
        <w:t>yazılış tarzının</w:t>
      </w:r>
      <w:r w:rsidR="00CD097E" w:rsidRPr="008F1795">
        <w:rPr>
          <w:lang w:val="tr-TR"/>
        </w:rPr>
        <w:t xml:space="preserve"> ötesinde,</w:t>
      </w:r>
      <w:r w:rsidR="002211B0" w:rsidRPr="008F1795">
        <w:rPr>
          <w:lang w:val="tr-TR"/>
        </w:rPr>
        <w:t xml:space="preserve"> yerel mahkemelerin ve kolluk kuvveti kuruluşlarının hükmü yorumlayışı ve </w:t>
      </w:r>
      <w:r w:rsidR="00CD097E" w:rsidRPr="008F1795">
        <w:rPr>
          <w:lang w:val="tr-TR"/>
        </w:rPr>
        <w:t>uygulayışından</w:t>
      </w:r>
      <w:r w:rsidR="002211B0" w:rsidRPr="008F1795">
        <w:rPr>
          <w:lang w:val="tr-TR"/>
        </w:rPr>
        <w:t xml:space="preserve"> kaynaklandığı kanaatindedir. </w:t>
      </w:r>
      <w:r w:rsidR="00CD097E" w:rsidRPr="008F1795">
        <w:rPr>
          <w:lang w:val="tr-TR"/>
        </w:rPr>
        <w:t xml:space="preserve">AİHS 10(2). </w:t>
      </w:r>
      <w:r w:rsidR="00241305" w:rsidRPr="008F1795">
        <w:rPr>
          <w:lang w:val="tr-TR"/>
        </w:rPr>
        <w:t>Madde</w:t>
      </w:r>
      <w:r w:rsidR="00CD097E" w:rsidRPr="008F1795">
        <w:rPr>
          <w:lang w:val="tr-TR"/>
        </w:rPr>
        <w:t xml:space="preserve">si </w:t>
      </w:r>
      <w:r w:rsidR="007718EA" w:rsidRPr="008F1795">
        <w:rPr>
          <w:lang w:val="tr-TR"/>
        </w:rPr>
        <w:t>uyarınca,</w:t>
      </w:r>
      <w:r w:rsidR="00CD097E" w:rsidRPr="008F1795">
        <w:rPr>
          <w:lang w:val="tr-TR"/>
        </w:rPr>
        <w:t xml:space="preserve"> siyasi söylem ya da kamu</w:t>
      </w:r>
      <w:r w:rsidR="000A590E" w:rsidRPr="008F1795">
        <w:rPr>
          <w:lang w:val="tr-TR"/>
        </w:rPr>
        <w:t xml:space="preserve"> yararını ilgilendiren konularda</w:t>
      </w:r>
      <w:r w:rsidR="00273C64">
        <w:rPr>
          <w:lang w:val="tr-TR"/>
        </w:rPr>
        <w:t>ki</w:t>
      </w:r>
      <w:r w:rsidR="000A590E" w:rsidRPr="008F1795">
        <w:rPr>
          <w:lang w:val="tr-TR"/>
        </w:rPr>
        <w:t xml:space="preserve"> tartışmalara yönelik kısıtlama yapılmasına </w:t>
      </w:r>
      <w:r w:rsidR="007718EA" w:rsidRPr="008F1795">
        <w:rPr>
          <w:lang w:val="tr-TR"/>
        </w:rPr>
        <w:t xml:space="preserve">ancak </w:t>
      </w:r>
      <w:r w:rsidR="000A590E" w:rsidRPr="008F1795">
        <w:rPr>
          <w:lang w:val="tr-TR"/>
        </w:rPr>
        <w:t xml:space="preserve">çok dar </w:t>
      </w:r>
      <w:r w:rsidR="007718EA" w:rsidRPr="008F1795">
        <w:rPr>
          <w:lang w:val="tr-TR"/>
        </w:rPr>
        <w:t>bir kapsamda izin verildiği unutulmamalıdır. Venedik Komisyonu</w:t>
      </w:r>
      <w:r w:rsidR="00156AF3" w:rsidRPr="008F1795">
        <w:rPr>
          <w:lang w:val="tr-TR"/>
        </w:rPr>
        <w:t>, terörizmle mücadele bağlamında ortaya çıkan sorunlar ve zorlukları</w:t>
      </w:r>
      <w:r w:rsidR="00925B73" w:rsidRPr="008F1795">
        <w:rPr>
          <w:lang w:val="tr-TR"/>
        </w:rPr>
        <w:t xml:space="preserve"> da dikkate almaktadır. Ancak, demokratik bir toplumda hükümetin eylemleri </w:t>
      </w:r>
      <w:r w:rsidR="00382936" w:rsidRPr="008F1795">
        <w:rPr>
          <w:lang w:val="tr-TR"/>
        </w:rPr>
        <w:t>ve ihmalleri</w:t>
      </w:r>
      <w:r w:rsidR="00C2364E" w:rsidRPr="008F1795">
        <w:rPr>
          <w:lang w:val="tr-TR"/>
        </w:rPr>
        <w:t>, sadece yasama ve yargı makamlara tarafından değil, aynı zamanda kamuoyu</w:t>
      </w:r>
      <w:r w:rsidR="00340ACC" w:rsidRPr="008F1795">
        <w:rPr>
          <w:lang w:val="tr-TR"/>
        </w:rPr>
        <w:t xml:space="preserve"> tarafından da yakın gözetime tabi olmalıdır. Bu nedenle, </w:t>
      </w:r>
      <w:r w:rsidR="002024C6" w:rsidRPr="008F1795">
        <w:rPr>
          <w:lang w:val="tr-TR"/>
        </w:rPr>
        <w:t>hükümet politikalarına karşı çok sert eleştiri içeren ifadeler</w:t>
      </w:r>
      <w:r w:rsidR="00393BF1" w:rsidRPr="008F1795">
        <w:rPr>
          <w:lang w:val="tr-TR"/>
        </w:rPr>
        <w:t xml:space="preserve"> ve düşmanca bir ton kullanan, ya da rencide eden, şok eden veya rahatsız eden</w:t>
      </w:r>
      <w:r w:rsidR="00A379FC" w:rsidRPr="008F1795">
        <w:rPr>
          <w:lang w:val="tr-TR"/>
        </w:rPr>
        <w:t xml:space="preserve"> ifadeler hakkında ceza </w:t>
      </w:r>
      <w:r w:rsidR="001558BA">
        <w:rPr>
          <w:lang w:val="tr-TR"/>
        </w:rPr>
        <w:t>kovuşturması</w:t>
      </w:r>
      <w:r w:rsidR="00CD265F" w:rsidRPr="008F1795">
        <w:rPr>
          <w:lang w:val="tr-TR"/>
        </w:rPr>
        <w:t xml:space="preserve"> yapılması (216. </w:t>
      </w:r>
      <w:r w:rsidR="00241305" w:rsidRPr="008F1795">
        <w:rPr>
          <w:lang w:val="tr-TR"/>
        </w:rPr>
        <w:t>Madde</w:t>
      </w:r>
      <w:r w:rsidR="00CD265F" w:rsidRPr="008F1795">
        <w:rPr>
          <w:lang w:val="tr-TR"/>
        </w:rPr>
        <w:t xml:space="preserve"> temelinde </w:t>
      </w:r>
      <w:r w:rsidR="0071784B" w:rsidRPr="008F1795">
        <w:rPr>
          <w:lang w:val="tr-TR"/>
        </w:rPr>
        <w:t xml:space="preserve">yapılan ceza </w:t>
      </w:r>
      <w:r w:rsidR="001558BA" w:rsidRPr="001558BA">
        <w:rPr>
          <w:lang w:val="tr-TR"/>
        </w:rPr>
        <w:t>kovuşturma</w:t>
      </w:r>
      <w:r w:rsidR="001558BA">
        <w:rPr>
          <w:lang w:val="tr-TR"/>
        </w:rPr>
        <w:t>ları</w:t>
      </w:r>
      <w:r w:rsidR="001558BA" w:rsidRPr="001558BA">
        <w:rPr>
          <w:lang w:val="tr-TR"/>
        </w:rPr>
        <w:t xml:space="preserve"> </w:t>
      </w:r>
      <w:r w:rsidR="00CD265F" w:rsidRPr="008F1795">
        <w:rPr>
          <w:lang w:val="tr-TR"/>
        </w:rPr>
        <w:t>dahil)</w:t>
      </w:r>
      <w:r w:rsidR="0071784B" w:rsidRPr="008F1795">
        <w:rPr>
          <w:lang w:val="tr-TR"/>
        </w:rPr>
        <w:t>,</w:t>
      </w:r>
      <w:r w:rsidR="001558BA">
        <w:rPr>
          <w:lang w:val="tr-TR"/>
        </w:rPr>
        <w:t xml:space="preserve"> </w:t>
      </w:r>
      <w:r w:rsidR="00D6087C" w:rsidRPr="008F1795">
        <w:rPr>
          <w:lang w:val="tr-TR"/>
        </w:rPr>
        <w:t xml:space="preserve">ancak bu ifadeler şiddete tahrik içeriyor ise </w:t>
      </w:r>
      <w:r w:rsidR="0071784B" w:rsidRPr="008F1795">
        <w:rPr>
          <w:lang w:val="tr-TR"/>
        </w:rPr>
        <w:t xml:space="preserve">mümkün olmalıdır. </w:t>
      </w:r>
      <w:r w:rsidR="00D14ABA" w:rsidRPr="008F1795">
        <w:rPr>
          <w:lang w:val="tr-TR"/>
        </w:rPr>
        <w:t xml:space="preserve">Demokratik bir toplumda ifade özgürlüğü hakkında yapılan bir müdahalenin “gerekliliği” incelenirken dikkate alınması gereken zaruri etkenler bunlardır. </w:t>
      </w:r>
    </w:p>
    <w:p w14:paraId="549562D2" w14:textId="0FE0EFE6" w:rsidR="004D4E91" w:rsidRPr="008F1795" w:rsidRDefault="004D4E91" w:rsidP="004D4E91">
      <w:pPr>
        <w:pStyle w:val="ListeParagraf"/>
        <w:tabs>
          <w:tab w:val="left" w:pos="655"/>
        </w:tabs>
        <w:rPr>
          <w:lang w:val="tr-TR"/>
        </w:rPr>
      </w:pPr>
    </w:p>
    <w:p w14:paraId="0A0F00BE" w14:textId="6207EED8" w:rsidR="00415C89" w:rsidRPr="008F1795" w:rsidRDefault="0043727A">
      <w:pPr>
        <w:pStyle w:val="ListeParagraf"/>
        <w:numPr>
          <w:ilvl w:val="0"/>
          <w:numId w:val="4"/>
        </w:numPr>
        <w:tabs>
          <w:tab w:val="left" w:pos="818"/>
        </w:tabs>
        <w:spacing w:before="1"/>
        <w:ind w:right="215" w:firstLine="0"/>
        <w:rPr>
          <w:lang w:val="tr-TR"/>
        </w:rPr>
      </w:pPr>
      <w:r w:rsidRPr="008F1795">
        <w:rPr>
          <w:lang w:val="tr-TR"/>
        </w:rPr>
        <w:t>Ayrıca</w:t>
      </w:r>
      <w:r w:rsidR="00360699" w:rsidRPr="008F1795">
        <w:rPr>
          <w:lang w:val="tr-TR"/>
        </w:rPr>
        <w:t xml:space="preserve">, </w:t>
      </w:r>
      <w:r w:rsidR="0023481A" w:rsidRPr="008F1795">
        <w:rPr>
          <w:lang w:val="tr-TR"/>
        </w:rPr>
        <w:t>Irkçılık ve Hoşgörüsüzlüğe Karşı Avrupa Komisyonu</w:t>
      </w:r>
      <w:r w:rsidR="007F0E6C" w:rsidRPr="008F1795">
        <w:rPr>
          <w:lang w:val="tr-TR"/>
        </w:rPr>
        <w:t xml:space="preserve"> (ECRI)</w:t>
      </w:r>
      <w:r w:rsidRPr="008F1795">
        <w:rPr>
          <w:lang w:val="tr-TR"/>
        </w:rPr>
        <w:t xml:space="preserve">, Türkiye hakkında dördüncü izleme döngüsü raporunda (2011), </w:t>
      </w:r>
      <w:r w:rsidR="001470F2" w:rsidRPr="008F1795">
        <w:rPr>
          <w:lang w:val="tr-TR"/>
        </w:rPr>
        <w:t xml:space="preserve">216 (1). </w:t>
      </w:r>
      <w:proofErr w:type="gramStart"/>
      <w:r w:rsidR="001470F2" w:rsidRPr="008F1795">
        <w:rPr>
          <w:lang w:val="tr-TR"/>
        </w:rPr>
        <w:t>ve</w:t>
      </w:r>
      <w:proofErr w:type="gramEnd"/>
      <w:r w:rsidR="001470F2" w:rsidRPr="008F1795">
        <w:rPr>
          <w:lang w:val="tr-TR"/>
        </w:rPr>
        <w:t xml:space="preserve"> (2). </w:t>
      </w:r>
      <w:r w:rsidR="00241305" w:rsidRPr="008F1795">
        <w:rPr>
          <w:lang w:val="tr-TR"/>
        </w:rPr>
        <w:t>Madde</w:t>
      </w:r>
      <w:r w:rsidR="001470F2" w:rsidRPr="008F1795">
        <w:rPr>
          <w:lang w:val="tr-TR"/>
        </w:rPr>
        <w:t xml:space="preserve">lerin </w:t>
      </w:r>
      <w:r w:rsidR="007526C3" w:rsidRPr="008F1795">
        <w:rPr>
          <w:lang w:val="tr-TR"/>
        </w:rPr>
        <w:t>azınlık gruplar ve bilhassa Kürt mesele</w:t>
      </w:r>
      <w:r w:rsidR="004129F7" w:rsidRPr="008F1795">
        <w:rPr>
          <w:lang w:val="tr-TR"/>
        </w:rPr>
        <w:t>si ile ilgili konularda</w:t>
      </w:r>
      <w:r w:rsidR="003640C7" w:rsidRPr="008F1795">
        <w:rPr>
          <w:lang w:val="tr-TR"/>
        </w:rPr>
        <w:t xml:space="preserve"> şiddet içermeyen görüş ifade eden ya da hakları savunan gazeteci, yazar, yayıncı</w:t>
      </w:r>
      <w:r w:rsidR="009846BA" w:rsidRPr="008F1795">
        <w:rPr>
          <w:lang w:val="tr-TR"/>
        </w:rPr>
        <w:t xml:space="preserve">, insan hakları </w:t>
      </w:r>
      <w:r w:rsidR="00F863DF" w:rsidRPr="008F1795">
        <w:rPr>
          <w:lang w:val="tr-TR"/>
        </w:rPr>
        <w:t xml:space="preserve">alanında çalışan </w:t>
      </w:r>
      <w:r w:rsidR="009846BA" w:rsidRPr="008F1795">
        <w:rPr>
          <w:lang w:val="tr-TR"/>
        </w:rPr>
        <w:t>ST</w:t>
      </w:r>
      <w:r w:rsidR="007E7C7B">
        <w:rPr>
          <w:lang w:val="tr-TR"/>
        </w:rPr>
        <w:t>Ö</w:t>
      </w:r>
      <w:r w:rsidR="009846BA" w:rsidRPr="008F1795">
        <w:rPr>
          <w:lang w:val="tr-TR"/>
        </w:rPr>
        <w:t xml:space="preserve"> üyeleri</w:t>
      </w:r>
      <w:r w:rsidR="00F863DF" w:rsidRPr="008F1795">
        <w:rPr>
          <w:lang w:val="tr-TR"/>
        </w:rPr>
        <w:t xml:space="preserve"> ve diğer kişiler</w:t>
      </w:r>
      <w:r w:rsidR="001750CD">
        <w:rPr>
          <w:lang w:val="tr-TR"/>
        </w:rPr>
        <w:t xml:space="preserve"> </w:t>
      </w:r>
      <w:r w:rsidR="001750CD">
        <w:rPr>
          <w:lang w:val="tr-TR"/>
        </w:rPr>
        <w:lastRenderedPageBreak/>
        <w:t xml:space="preserve">hakkında kovuşturma açmak </w:t>
      </w:r>
      <w:r w:rsidR="00F863DF" w:rsidRPr="008F1795">
        <w:rPr>
          <w:lang w:val="tr-TR"/>
        </w:rPr>
        <w:t>ve hük</w:t>
      </w:r>
      <w:r w:rsidR="005B0F8E" w:rsidRPr="008F1795">
        <w:rPr>
          <w:lang w:val="tr-TR"/>
        </w:rPr>
        <w:t>üm giydirmek</w:t>
      </w:r>
      <w:r w:rsidR="001470F2" w:rsidRPr="008F1795">
        <w:rPr>
          <w:lang w:val="tr-TR"/>
        </w:rPr>
        <w:t xml:space="preserve"> amacıyla kullanılmaya devam ed</w:t>
      </w:r>
      <w:r w:rsidR="008A37A8" w:rsidRPr="008F1795">
        <w:rPr>
          <w:lang w:val="tr-TR"/>
        </w:rPr>
        <w:t xml:space="preserve">ildiği kanaatindedir. </w:t>
      </w:r>
      <w:r w:rsidR="00CD7A1A" w:rsidRPr="008F1795">
        <w:rPr>
          <w:lang w:val="tr-TR"/>
        </w:rPr>
        <w:t xml:space="preserve">Raporda, </w:t>
      </w:r>
      <w:r w:rsidR="00064401" w:rsidRPr="008F1795">
        <w:rPr>
          <w:lang w:val="tr-TR"/>
        </w:rPr>
        <w:t xml:space="preserve">sivil toplum aktörlerinin bildirdiğine göre, </w:t>
      </w:r>
      <w:r w:rsidR="00CD7A1A" w:rsidRPr="008F1795">
        <w:rPr>
          <w:lang w:val="tr-TR"/>
        </w:rPr>
        <w:t>azınlık grup üyelerine karşı ırkçı</w:t>
      </w:r>
      <w:r w:rsidR="00416954" w:rsidRPr="008F1795">
        <w:rPr>
          <w:lang w:val="tr-TR"/>
        </w:rPr>
        <w:t xml:space="preserve"> beyanlarda bulunan kişiler</w:t>
      </w:r>
      <w:r w:rsidR="00D26495" w:rsidRPr="008F1795">
        <w:rPr>
          <w:lang w:val="tr-TR"/>
        </w:rPr>
        <w:t>e</w:t>
      </w:r>
      <w:r w:rsidR="00416954" w:rsidRPr="008F1795">
        <w:rPr>
          <w:lang w:val="tr-TR"/>
        </w:rPr>
        <w:t xml:space="preserve"> karşı </w:t>
      </w:r>
      <w:r w:rsidR="00D26495" w:rsidRPr="008F1795">
        <w:rPr>
          <w:lang w:val="tr-TR"/>
        </w:rPr>
        <w:t xml:space="preserve">kovuşturma başlatmak için </w:t>
      </w:r>
      <w:r w:rsidR="00416954" w:rsidRPr="008F1795">
        <w:rPr>
          <w:lang w:val="tr-TR"/>
        </w:rPr>
        <w:t xml:space="preserve">216. </w:t>
      </w:r>
      <w:r w:rsidR="00241305" w:rsidRPr="008F1795">
        <w:rPr>
          <w:lang w:val="tr-TR"/>
        </w:rPr>
        <w:t>Madde</w:t>
      </w:r>
      <w:r w:rsidR="00416954" w:rsidRPr="008F1795">
        <w:rPr>
          <w:lang w:val="tr-TR"/>
        </w:rPr>
        <w:t>nin nadiren</w:t>
      </w:r>
      <w:r w:rsidR="00064401" w:rsidRPr="008F1795">
        <w:rPr>
          <w:lang w:val="tr-TR"/>
        </w:rPr>
        <w:t xml:space="preserve"> </w:t>
      </w:r>
      <w:r w:rsidR="00D26495" w:rsidRPr="008F1795">
        <w:rPr>
          <w:lang w:val="tr-TR"/>
        </w:rPr>
        <w:t>kullanıldığını</w:t>
      </w:r>
      <w:r w:rsidR="00064401" w:rsidRPr="008F1795">
        <w:rPr>
          <w:lang w:val="tr-TR"/>
        </w:rPr>
        <w:t xml:space="preserve"> belki de hiç kullanılmadığı vurgulanmıştır.</w:t>
      </w:r>
      <w:r w:rsidR="002639D5" w:rsidRPr="008F1795">
        <w:rPr>
          <w:rStyle w:val="DipnotBavurusu"/>
          <w:lang w:val="tr-TR"/>
        </w:rPr>
        <w:footnoteReference w:id="39"/>
      </w:r>
      <w:r w:rsidR="00064401" w:rsidRPr="008F1795">
        <w:rPr>
          <w:lang w:val="tr-TR"/>
        </w:rPr>
        <w:t xml:space="preserve"> </w:t>
      </w:r>
      <w:r w:rsidR="002639D5" w:rsidRPr="008F1795">
        <w:rPr>
          <w:lang w:val="tr-TR"/>
        </w:rPr>
        <w:t xml:space="preserve">Heyetin Ankara’daki toplantıları sırasında yetkililer, </w:t>
      </w:r>
      <w:r w:rsidR="002C27D6" w:rsidRPr="008F1795">
        <w:rPr>
          <w:lang w:val="tr-TR"/>
        </w:rPr>
        <w:t>İstanbul 41.</w:t>
      </w:r>
      <w:r w:rsidR="004E6DD9" w:rsidRPr="008F1795">
        <w:rPr>
          <w:lang w:val="tr-TR"/>
        </w:rPr>
        <w:t xml:space="preserve"> Asliye </w:t>
      </w:r>
      <w:r w:rsidR="001036CD" w:rsidRPr="008F1795">
        <w:rPr>
          <w:lang w:val="tr-TR"/>
        </w:rPr>
        <w:t>Ceza</w:t>
      </w:r>
      <w:r w:rsidR="002C27D6" w:rsidRPr="008F1795">
        <w:rPr>
          <w:lang w:val="tr-TR"/>
        </w:rPr>
        <w:t xml:space="preserve"> Mahkemesi</w:t>
      </w:r>
      <w:r w:rsidR="00A5433A" w:rsidRPr="008F1795">
        <w:rPr>
          <w:lang w:val="tr-TR"/>
        </w:rPr>
        <w:t>nin</w:t>
      </w:r>
      <w:r w:rsidR="005557A0" w:rsidRPr="008F1795">
        <w:rPr>
          <w:lang w:val="tr-TR"/>
        </w:rPr>
        <w:t xml:space="preserve"> verdiği bir kararı sunmuşlardır. Bu davada</w:t>
      </w:r>
      <w:r w:rsidR="00C062C8" w:rsidRPr="008F1795">
        <w:rPr>
          <w:lang w:val="tr-TR"/>
        </w:rPr>
        <w:t xml:space="preserve">, </w:t>
      </w:r>
      <w:r w:rsidR="002F3BCA" w:rsidRPr="008F1795">
        <w:rPr>
          <w:lang w:val="tr-TR"/>
        </w:rPr>
        <w:t>halka açık bir gösteri sırasında</w:t>
      </w:r>
      <w:r w:rsidR="008A738D" w:rsidRPr="008F1795">
        <w:rPr>
          <w:lang w:val="tr-TR"/>
        </w:rPr>
        <w:t xml:space="preserve"> Ermeni azınlığa karşı “ırkçı </w:t>
      </w:r>
      <w:r w:rsidR="008C4F24">
        <w:rPr>
          <w:lang w:val="tr-TR"/>
        </w:rPr>
        <w:t>ifadelerde</w:t>
      </w:r>
      <w:r w:rsidR="008A738D" w:rsidRPr="008F1795">
        <w:rPr>
          <w:lang w:val="tr-TR"/>
        </w:rPr>
        <w:t xml:space="preserve">” bulunan sanıklar </w:t>
      </w:r>
      <w:r w:rsidR="00432613" w:rsidRPr="008F1795">
        <w:rPr>
          <w:lang w:val="tr-TR"/>
        </w:rPr>
        <w:t xml:space="preserve">hakkında hapis cezası verilmiş, daha sonra bu para cezasına </w:t>
      </w:r>
      <w:r w:rsidR="003530B8" w:rsidRPr="008F1795">
        <w:rPr>
          <w:lang w:val="tr-TR"/>
        </w:rPr>
        <w:t>dönüştürülmüştür.</w:t>
      </w:r>
      <w:r w:rsidR="00100003" w:rsidRPr="008F1795">
        <w:rPr>
          <w:rStyle w:val="DipnotBavurusu"/>
          <w:lang w:val="tr-TR"/>
        </w:rPr>
        <w:t xml:space="preserve"> </w:t>
      </w:r>
      <w:r w:rsidR="00100003" w:rsidRPr="008F1795">
        <w:rPr>
          <w:rStyle w:val="DipnotBavurusu"/>
          <w:lang w:val="tr-TR"/>
        </w:rPr>
        <w:footnoteReference w:id="40"/>
      </w:r>
      <w:r w:rsidR="00100003" w:rsidRPr="008F1795">
        <w:rPr>
          <w:lang w:val="tr-TR"/>
        </w:rPr>
        <w:t xml:space="preserve"> </w:t>
      </w:r>
      <w:r w:rsidR="003530B8" w:rsidRPr="008F1795">
        <w:rPr>
          <w:lang w:val="tr-TR"/>
        </w:rPr>
        <w:t xml:space="preserve"> Venedik Komisyonu</w:t>
      </w:r>
      <w:r w:rsidR="00100003" w:rsidRPr="008F1795">
        <w:rPr>
          <w:lang w:val="tr-TR"/>
        </w:rPr>
        <w:t xml:space="preserve">, </w:t>
      </w:r>
      <w:r w:rsidR="00AB0176" w:rsidRPr="008F1795">
        <w:rPr>
          <w:lang w:val="tr-TR"/>
        </w:rPr>
        <w:t xml:space="preserve">kanun hükmünün </w:t>
      </w:r>
      <w:r w:rsidR="00C71083" w:rsidRPr="008F1795">
        <w:rPr>
          <w:lang w:val="tr-TR"/>
        </w:rPr>
        <w:t xml:space="preserve">sadece </w:t>
      </w:r>
      <w:r w:rsidR="00B45FC0" w:rsidRPr="008F1795">
        <w:rPr>
          <w:lang w:val="tr-TR"/>
        </w:rPr>
        <w:t xml:space="preserve">kamu güvenliğine </w:t>
      </w:r>
      <w:r w:rsidR="0099505D" w:rsidRPr="008F1795">
        <w:rPr>
          <w:lang w:val="tr-TR"/>
        </w:rPr>
        <w:t>yönelik</w:t>
      </w:r>
      <w:r w:rsidR="00B45FC0" w:rsidRPr="008F1795">
        <w:rPr>
          <w:lang w:val="tr-TR"/>
        </w:rPr>
        <w:t xml:space="preserve"> açık ve yakın bir tehlike</w:t>
      </w:r>
      <w:r w:rsidR="0099505D" w:rsidRPr="008F1795">
        <w:rPr>
          <w:lang w:val="tr-TR"/>
        </w:rPr>
        <w:t xml:space="preserve"> oluşturan “ırkçı </w:t>
      </w:r>
      <w:r w:rsidR="008C4F24">
        <w:rPr>
          <w:lang w:val="tr-TR"/>
        </w:rPr>
        <w:t>ifadeler</w:t>
      </w:r>
      <w:r w:rsidR="0099505D" w:rsidRPr="008F1795">
        <w:rPr>
          <w:lang w:val="tr-TR"/>
        </w:rPr>
        <w:t>”</w:t>
      </w:r>
      <w:r w:rsidR="00811F76" w:rsidRPr="008F1795">
        <w:rPr>
          <w:rStyle w:val="DipnotBavurusu"/>
          <w:lang w:val="tr-TR"/>
        </w:rPr>
        <w:footnoteReference w:id="41"/>
      </w:r>
      <w:r w:rsidR="00C71083" w:rsidRPr="008F1795">
        <w:rPr>
          <w:lang w:val="tr-TR"/>
        </w:rPr>
        <w:t xml:space="preserve"> bağlamında kullanılması ve hükümet politikalarına yönelik sert eleştirileri cezalandırmak için kullanılmaması gerektiğini </w:t>
      </w:r>
      <w:r w:rsidR="00811F76" w:rsidRPr="008F1795">
        <w:rPr>
          <w:lang w:val="tr-TR"/>
        </w:rPr>
        <w:t xml:space="preserve">vurgulamaktadır. </w:t>
      </w:r>
    </w:p>
    <w:p w14:paraId="4E703136" w14:textId="77777777" w:rsidR="00415C89" w:rsidRPr="008F1795" w:rsidRDefault="00415C89" w:rsidP="00415C89">
      <w:pPr>
        <w:pStyle w:val="ListeParagraf"/>
        <w:tabs>
          <w:tab w:val="left" w:pos="818"/>
        </w:tabs>
        <w:spacing w:before="1"/>
        <w:ind w:right="215"/>
        <w:rPr>
          <w:highlight w:val="yellow"/>
          <w:lang w:val="tr-TR"/>
        </w:rPr>
      </w:pPr>
    </w:p>
    <w:p w14:paraId="208E7F07" w14:textId="13873723" w:rsidR="003320DB" w:rsidRPr="008F1795" w:rsidRDefault="003320DB">
      <w:pPr>
        <w:pStyle w:val="ListeParagraf"/>
        <w:numPr>
          <w:ilvl w:val="0"/>
          <w:numId w:val="4"/>
        </w:numPr>
        <w:tabs>
          <w:tab w:val="left" w:pos="696"/>
        </w:tabs>
        <w:ind w:right="215" w:firstLine="0"/>
        <w:rPr>
          <w:bCs/>
          <w:i/>
          <w:lang w:val="tr-TR"/>
        </w:rPr>
      </w:pPr>
      <w:r w:rsidRPr="008F1795">
        <w:rPr>
          <w:b/>
          <w:lang w:val="tr-TR"/>
        </w:rPr>
        <w:t xml:space="preserve">216(3). </w:t>
      </w:r>
      <w:r w:rsidR="00241305" w:rsidRPr="008F1795">
        <w:rPr>
          <w:b/>
          <w:lang w:val="tr-TR"/>
        </w:rPr>
        <w:t>Madde</w:t>
      </w:r>
      <w:r w:rsidRPr="008F1795">
        <w:rPr>
          <w:b/>
          <w:lang w:val="tr-TR"/>
        </w:rPr>
        <w:t xml:space="preserve">, </w:t>
      </w:r>
      <w:r w:rsidRPr="008F1795">
        <w:rPr>
          <w:bCs/>
          <w:lang w:val="tr-TR"/>
        </w:rPr>
        <w:t>“halkın bir kesiminin dini değerlerini alenen aşağıla</w:t>
      </w:r>
      <w:r w:rsidR="00462870" w:rsidRPr="008F1795">
        <w:rPr>
          <w:bCs/>
          <w:lang w:val="tr-TR"/>
        </w:rPr>
        <w:t xml:space="preserve">ma” suçu ile ilgilidir. </w:t>
      </w:r>
      <w:r w:rsidR="007A04A5" w:rsidRPr="008F1795">
        <w:rPr>
          <w:bCs/>
          <w:lang w:val="tr-TR"/>
        </w:rPr>
        <w:t>Parlamenter Meclisi</w:t>
      </w:r>
      <w:r w:rsidR="00023423">
        <w:rPr>
          <w:bCs/>
          <w:lang w:val="tr-TR"/>
        </w:rPr>
        <w:t>nin</w:t>
      </w:r>
      <w:r w:rsidR="007A04A5" w:rsidRPr="008F1795">
        <w:rPr>
          <w:bCs/>
          <w:lang w:val="tr-TR"/>
        </w:rPr>
        <w:t xml:space="preserve">, Dine Küfretme, Dini Hakaretler ve Dinlerine Dayalı Olarak Şahıslara Karşı Nefret Söylemi Hakkında </w:t>
      </w:r>
      <w:r w:rsidR="007A04A5" w:rsidRPr="008F1795">
        <w:rPr>
          <w:lang w:val="tr-TR"/>
        </w:rPr>
        <w:t xml:space="preserve">1805(2007) sayılı </w:t>
      </w:r>
      <w:r w:rsidR="007A04A5" w:rsidRPr="008F1795">
        <w:rPr>
          <w:bCs/>
          <w:lang w:val="tr-TR"/>
        </w:rPr>
        <w:t>Tavsiye Kararın</w:t>
      </w:r>
      <w:r w:rsidR="00CA11EC" w:rsidRPr="008F1795">
        <w:rPr>
          <w:bCs/>
          <w:lang w:val="tr-TR"/>
        </w:rPr>
        <w:t>a göre</w:t>
      </w:r>
      <w:r w:rsidR="007A04A5" w:rsidRPr="008F1795">
        <w:rPr>
          <w:bCs/>
          <w:lang w:val="tr-TR"/>
        </w:rPr>
        <w:t xml:space="preserve"> </w:t>
      </w:r>
      <w:r w:rsidR="00DD4EEB" w:rsidRPr="008F1795">
        <w:rPr>
          <w:bCs/>
          <w:lang w:val="tr-TR"/>
        </w:rPr>
        <w:t>“</w:t>
      </w:r>
      <w:r w:rsidR="00DD4EEB" w:rsidRPr="008F1795">
        <w:rPr>
          <w:bCs/>
          <w:i/>
          <w:iCs/>
          <w:lang w:val="tr-TR"/>
        </w:rPr>
        <w:t>ulusal hukuk</w:t>
      </w:r>
      <w:r w:rsidR="002E4659" w:rsidRPr="008F1795">
        <w:rPr>
          <w:bCs/>
          <w:i/>
          <w:iCs/>
          <w:lang w:val="tr-TR"/>
        </w:rPr>
        <w:t>, dini konularda</w:t>
      </w:r>
      <w:r w:rsidR="00DD4EEB" w:rsidRPr="008F1795">
        <w:rPr>
          <w:bCs/>
          <w:i/>
          <w:iCs/>
          <w:lang w:val="tr-TR"/>
        </w:rPr>
        <w:t xml:space="preserve"> sadece kamu düzenini bilerek ve ciddi şekilde bozan ve </w:t>
      </w:r>
      <w:r w:rsidR="002E4659" w:rsidRPr="008F1795">
        <w:rPr>
          <w:bCs/>
          <w:i/>
          <w:iCs/>
          <w:lang w:val="tr-TR"/>
        </w:rPr>
        <w:t>halkı şiddete çağıran ifadeleri cezalandırmalıdır</w:t>
      </w:r>
      <w:r w:rsidR="00CA11EC" w:rsidRPr="008F1795">
        <w:rPr>
          <w:bCs/>
          <w:lang w:val="tr-TR"/>
        </w:rPr>
        <w:t>”.</w:t>
      </w:r>
    </w:p>
    <w:p w14:paraId="036F6C19" w14:textId="77777777" w:rsidR="003320DB" w:rsidRPr="008F1795" w:rsidRDefault="003320DB" w:rsidP="003320DB">
      <w:pPr>
        <w:pStyle w:val="ListeParagraf"/>
        <w:tabs>
          <w:tab w:val="left" w:pos="696"/>
        </w:tabs>
        <w:ind w:right="215"/>
        <w:rPr>
          <w:b/>
          <w:lang w:val="tr-TR"/>
        </w:rPr>
      </w:pPr>
    </w:p>
    <w:p w14:paraId="2CE3CCAA" w14:textId="39CAA302" w:rsidR="00CA11EC" w:rsidRPr="008F1795" w:rsidRDefault="00102F13">
      <w:pPr>
        <w:pStyle w:val="ListeParagraf"/>
        <w:numPr>
          <w:ilvl w:val="0"/>
          <w:numId w:val="4"/>
        </w:numPr>
        <w:tabs>
          <w:tab w:val="left" w:pos="758"/>
        </w:tabs>
        <w:spacing w:before="1"/>
        <w:ind w:right="216" w:firstLine="0"/>
        <w:rPr>
          <w:i/>
          <w:lang w:val="tr-TR"/>
        </w:rPr>
      </w:pPr>
      <w:r w:rsidRPr="008F1795">
        <w:rPr>
          <w:iCs/>
          <w:lang w:val="tr-TR"/>
        </w:rPr>
        <w:t xml:space="preserve">Venedik Komisyonu, İfade Özgürlüğü ve Din Özgürlüğü arasındaki İlişki Hakkında 2008 tarihli Raporunda, </w:t>
      </w:r>
      <w:r w:rsidR="006365AA" w:rsidRPr="008F1795">
        <w:rPr>
          <w:iCs/>
          <w:lang w:val="tr-TR"/>
        </w:rPr>
        <w:t>“</w:t>
      </w:r>
      <w:r w:rsidR="006365AA" w:rsidRPr="008F1795">
        <w:rPr>
          <w:i/>
          <w:lang w:val="tr-TR"/>
        </w:rPr>
        <w:t xml:space="preserve">Gerçek bir demokraside, </w:t>
      </w:r>
      <w:r w:rsidR="000D1CA7" w:rsidRPr="008F1795">
        <w:rPr>
          <w:i/>
          <w:lang w:val="tr-TR"/>
        </w:rPr>
        <w:t>ifade özgürlüğün</w:t>
      </w:r>
      <w:r w:rsidR="00E46185" w:rsidRPr="008F1795">
        <w:rPr>
          <w:i/>
          <w:lang w:val="tr-TR"/>
        </w:rPr>
        <w:t>ün sınırlanması,</w:t>
      </w:r>
      <w:r w:rsidR="000D1CA7" w:rsidRPr="008F1795">
        <w:rPr>
          <w:i/>
          <w:lang w:val="tr-TR"/>
        </w:rPr>
        <w:t xml:space="preserve"> toplumu aşırı</w:t>
      </w:r>
      <w:r w:rsidR="00286197" w:rsidRPr="008F1795">
        <w:rPr>
          <w:i/>
          <w:lang w:val="tr-TR"/>
        </w:rPr>
        <w:t xml:space="preserve"> bile olsa </w:t>
      </w:r>
      <w:r w:rsidR="000D1CA7" w:rsidRPr="008F1795">
        <w:rPr>
          <w:i/>
          <w:lang w:val="tr-TR"/>
        </w:rPr>
        <w:t>muhalif görüşlerden</w:t>
      </w:r>
      <w:r w:rsidR="00286197" w:rsidRPr="008F1795">
        <w:rPr>
          <w:i/>
          <w:lang w:val="tr-TR"/>
        </w:rPr>
        <w:t xml:space="preserve"> koruma</w:t>
      </w:r>
      <w:r w:rsidR="00B115AE" w:rsidRPr="008F1795">
        <w:rPr>
          <w:i/>
          <w:lang w:val="tr-TR"/>
        </w:rPr>
        <w:t>k için bir</w:t>
      </w:r>
      <w:r w:rsidR="00286197" w:rsidRPr="008F1795">
        <w:rPr>
          <w:i/>
          <w:lang w:val="tr-TR"/>
        </w:rPr>
        <w:t xml:space="preserve"> ara</w:t>
      </w:r>
      <w:r w:rsidR="00B115AE" w:rsidRPr="008F1795">
        <w:rPr>
          <w:i/>
          <w:lang w:val="tr-TR"/>
        </w:rPr>
        <w:t>ç</w:t>
      </w:r>
      <w:r w:rsidR="00286197" w:rsidRPr="008F1795">
        <w:rPr>
          <w:i/>
          <w:lang w:val="tr-TR"/>
        </w:rPr>
        <w:t xml:space="preserve"> olarak kullanılmamalıdır. </w:t>
      </w:r>
      <w:r w:rsidR="00E81677" w:rsidRPr="008F1795">
        <w:rPr>
          <w:i/>
          <w:lang w:val="tr-TR"/>
        </w:rPr>
        <w:t>Açık bir kamu tartışması yapılmasını</w:t>
      </w:r>
      <w:r w:rsidR="00B32746" w:rsidRPr="008F1795">
        <w:rPr>
          <w:i/>
          <w:lang w:val="tr-TR"/>
        </w:rPr>
        <w:t>n</w:t>
      </w:r>
      <w:r w:rsidR="00E81677" w:rsidRPr="008F1795">
        <w:rPr>
          <w:i/>
          <w:lang w:val="tr-TR"/>
        </w:rPr>
        <w:t xml:space="preserve"> sağlanması ve </w:t>
      </w:r>
      <w:r w:rsidR="00B32746" w:rsidRPr="008F1795">
        <w:rPr>
          <w:i/>
          <w:lang w:val="tr-TR"/>
        </w:rPr>
        <w:t xml:space="preserve">bunun </w:t>
      </w:r>
      <w:r w:rsidR="00E81677" w:rsidRPr="008F1795">
        <w:rPr>
          <w:i/>
          <w:lang w:val="tr-TR"/>
        </w:rPr>
        <w:t>korunması, t</w:t>
      </w:r>
      <w:r w:rsidR="003920A9" w:rsidRPr="008F1795">
        <w:rPr>
          <w:i/>
          <w:lang w:val="tr-TR"/>
        </w:rPr>
        <w:t>oplumu ve bireyler</w:t>
      </w:r>
      <w:r w:rsidR="001A6AC5" w:rsidRPr="008F1795">
        <w:rPr>
          <w:i/>
          <w:lang w:val="tr-TR"/>
        </w:rPr>
        <w:t xml:space="preserve">i ayrımcılığa karşı korurken aynı zamanda da ifade ve din özgürlüğü gibi </w:t>
      </w:r>
      <w:r w:rsidR="0087403D" w:rsidRPr="008F1795">
        <w:rPr>
          <w:i/>
          <w:lang w:val="tr-TR"/>
        </w:rPr>
        <w:t>vazgeçilemez temel değerleri korumanın esas aracı ol</w:t>
      </w:r>
      <w:r w:rsidR="00B32746" w:rsidRPr="008F1795">
        <w:rPr>
          <w:i/>
          <w:lang w:val="tr-TR"/>
        </w:rPr>
        <w:t xml:space="preserve">malıdır. </w:t>
      </w:r>
      <w:r w:rsidR="00150D7D" w:rsidRPr="008F1795">
        <w:rPr>
          <w:i/>
          <w:lang w:val="tr-TR"/>
        </w:rPr>
        <w:t xml:space="preserve">Sadece demokratik bir rejim ile temel olarak uyumsuz olan ve </w:t>
      </w:r>
      <w:r w:rsidR="00135CCE" w:rsidRPr="008F1795">
        <w:rPr>
          <w:i/>
          <w:lang w:val="tr-TR"/>
        </w:rPr>
        <w:t>nefreti</w:t>
      </w:r>
      <w:r w:rsidR="00A83DC6" w:rsidRPr="008F1795">
        <w:rPr>
          <w:i/>
          <w:lang w:val="tr-TR"/>
        </w:rPr>
        <w:t xml:space="preserve"> </w:t>
      </w:r>
      <w:r w:rsidR="00FE2E55">
        <w:rPr>
          <w:i/>
          <w:lang w:val="tr-TR"/>
        </w:rPr>
        <w:t>tahrik eden</w:t>
      </w:r>
      <w:r w:rsidR="00150D7D" w:rsidRPr="008F1795">
        <w:rPr>
          <w:i/>
          <w:lang w:val="tr-TR"/>
        </w:rPr>
        <w:t xml:space="preserve"> </w:t>
      </w:r>
      <w:r w:rsidR="00A15A46" w:rsidRPr="008F1795">
        <w:rPr>
          <w:i/>
          <w:lang w:val="tr-TR"/>
        </w:rPr>
        <w:t>düşünceler yasaklanmalıdır</w:t>
      </w:r>
      <w:r w:rsidR="009E134D" w:rsidRPr="008F1795">
        <w:rPr>
          <w:iCs/>
          <w:lang w:val="tr-TR"/>
        </w:rPr>
        <w:t xml:space="preserve">” diye kaydetmiştir. </w:t>
      </w:r>
      <w:r w:rsidR="009E134D" w:rsidRPr="008F1795">
        <w:rPr>
          <w:rStyle w:val="DipnotBavurusu"/>
          <w:iCs/>
          <w:lang w:val="tr-TR"/>
        </w:rPr>
        <w:footnoteReference w:id="42"/>
      </w:r>
    </w:p>
    <w:p w14:paraId="597FBD75" w14:textId="77777777" w:rsidR="00B74CEA" w:rsidRPr="008F1795" w:rsidRDefault="00B74CEA">
      <w:pPr>
        <w:pStyle w:val="GvdeMetni"/>
        <w:rPr>
          <w:lang w:val="tr-TR"/>
        </w:rPr>
      </w:pPr>
    </w:p>
    <w:p w14:paraId="4250687E" w14:textId="6D509910" w:rsidR="00B90500" w:rsidRPr="008F1795" w:rsidRDefault="00B90500">
      <w:pPr>
        <w:pStyle w:val="ListeParagraf"/>
        <w:numPr>
          <w:ilvl w:val="0"/>
          <w:numId w:val="4"/>
        </w:numPr>
        <w:tabs>
          <w:tab w:val="left" w:pos="782"/>
        </w:tabs>
        <w:ind w:right="214" w:firstLine="0"/>
        <w:rPr>
          <w:lang w:val="tr-TR"/>
        </w:rPr>
      </w:pPr>
      <w:r w:rsidRPr="008F1795">
        <w:rPr>
          <w:lang w:val="tr-TR"/>
        </w:rPr>
        <w:t xml:space="preserve">Venedik Komisyonu Raporunda, </w:t>
      </w:r>
      <w:r w:rsidR="00B40454" w:rsidRPr="008F1795">
        <w:rPr>
          <w:lang w:val="tr-TR"/>
        </w:rPr>
        <w:t xml:space="preserve">hemen hemen tüm Avrupa Devletlerinde olduğu gibi, </w:t>
      </w:r>
      <w:r w:rsidR="00EF0F78" w:rsidRPr="008F1795">
        <w:rPr>
          <w:lang w:val="tr-TR"/>
        </w:rPr>
        <w:t>dini nefret dahil olmak üzere nefret</w:t>
      </w:r>
      <w:r w:rsidR="007B3A01" w:rsidRPr="008F1795">
        <w:rPr>
          <w:lang w:val="tr-TR"/>
        </w:rPr>
        <w:t xml:space="preserve"> duygusunu </w:t>
      </w:r>
      <w:r w:rsidR="00EB4BA8">
        <w:rPr>
          <w:lang w:val="tr-TR"/>
        </w:rPr>
        <w:t>tahrik etmenin</w:t>
      </w:r>
      <w:r w:rsidR="00B40454" w:rsidRPr="008F1795">
        <w:rPr>
          <w:lang w:val="tr-TR"/>
        </w:rPr>
        <w:t xml:space="preserve"> cezai yaptırımlara tabi olması</w:t>
      </w:r>
      <w:r w:rsidR="00032AAF" w:rsidRPr="008F1795">
        <w:rPr>
          <w:lang w:val="tr-TR"/>
        </w:rPr>
        <w:t xml:space="preserve">nı tavsiye etmiştir. Ancak Komisyon, </w:t>
      </w:r>
      <w:r w:rsidR="000C7588" w:rsidRPr="008F1795">
        <w:rPr>
          <w:lang w:val="tr-TR"/>
        </w:rPr>
        <w:t xml:space="preserve">zaruri bileşen olarak </w:t>
      </w:r>
      <w:r w:rsidR="00FA6103" w:rsidRPr="008F1795">
        <w:rPr>
          <w:lang w:val="tr-TR"/>
        </w:rPr>
        <w:t>nefre</w:t>
      </w:r>
      <w:r w:rsidR="000C7588" w:rsidRPr="008F1795">
        <w:rPr>
          <w:lang w:val="tr-TR"/>
        </w:rPr>
        <w:t xml:space="preserve">ti </w:t>
      </w:r>
      <w:r w:rsidR="00EB4BA8">
        <w:rPr>
          <w:lang w:val="tr-TR"/>
        </w:rPr>
        <w:t>tahrik</w:t>
      </w:r>
      <w:r w:rsidR="000C7588" w:rsidRPr="008F1795">
        <w:rPr>
          <w:lang w:val="tr-TR"/>
        </w:rPr>
        <w:t xml:space="preserve"> unsuru olmadan</w:t>
      </w:r>
      <w:r w:rsidR="00E14527" w:rsidRPr="008F1795">
        <w:rPr>
          <w:lang w:val="tr-TR"/>
        </w:rPr>
        <w:t xml:space="preserve">, dini hakareti </w:t>
      </w:r>
      <w:r w:rsidR="008B3D6F" w:rsidRPr="008F1795">
        <w:rPr>
          <w:i/>
          <w:iCs/>
          <w:lang w:val="tr-TR"/>
        </w:rPr>
        <w:t>basitçe</w:t>
      </w:r>
      <w:r w:rsidR="008B3D6F" w:rsidRPr="008F1795">
        <w:rPr>
          <w:lang w:val="tr-TR"/>
        </w:rPr>
        <w:t xml:space="preserve"> </w:t>
      </w:r>
      <w:r w:rsidR="00E14527" w:rsidRPr="008F1795">
        <w:rPr>
          <w:lang w:val="tr-TR"/>
        </w:rPr>
        <w:t xml:space="preserve">suç saymanın </w:t>
      </w:r>
      <w:r w:rsidR="008B3D6F" w:rsidRPr="008F1795">
        <w:rPr>
          <w:lang w:val="tr-TR"/>
        </w:rPr>
        <w:t xml:space="preserve">(yani dini duygulara </w:t>
      </w:r>
      <w:r w:rsidR="00AC3658" w:rsidRPr="008F1795">
        <w:rPr>
          <w:lang w:val="tr-TR"/>
        </w:rPr>
        <w:t>hakaret</w:t>
      </w:r>
      <w:r w:rsidR="008B3D6F" w:rsidRPr="008F1795">
        <w:rPr>
          <w:lang w:val="tr-TR"/>
        </w:rPr>
        <w:t>)</w:t>
      </w:r>
      <w:r w:rsidR="003D41CC" w:rsidRPr="008F1795">
        <w:rPr>
          <w:lang w:val="tr-TR"/>
        </w:rPr>
        <w:t xml:space="preserve"> gerekli ya da arzu edilen bir uygulama olmadığını vurgulayarak, </w:t>
      </w:r>
      <w:r w:rsidR="00242B52" w:rsidRPr="008F1795">
        <w:rPr>
          <w:lang w:val="tr-TR"/>
        </w:rPr>
        <w:t>dine küfür suçunun kaldırılmasını tavsiye etmiştir.</w:t>
      </w:r>
      <w:r w:rsidR="00772A08" w:rsidRPr="008F1795">
        <w:rPr>
          <w:rStyle w:val="DipnotBavurusu"/>
          <w:lang w:val="tr-TR"/>
        </w:rPr>
        <w:footnoteReference w:id="43"/>
      </w:r>
      <w:r w:rsidR="00242B52" w:rsidRPr="008F1795">
        <w:rPr>
          <w:lang w:val="tr-TR"/>
        </w:rPr>
        <w:t xml:space="preserve"> </w:t>
      </w:r>
    </w:p>
    <w:p w14:paraId="323FC53C" w14:textId="77777777" w:rsidR="00B90500" w:rsidRPr="008F1795" w:rsidRDefault="00B90500" w:rsidP="00B90500">
      <w:pPr>
        <w:pStyle w:val="ListeParagraf"/>
        <w:tabs>
          <w:tab w:val="left" w:pos="782"/>
        </w:tabs>
        <w:ind w:right="214"/>
        <w:rPr>
          <w:lang w:val="tr-TR"/>
        </w:rPr>
      </w:pPr>
    </w:p>
    <w:p w14:paraId="43F2F644" w14:textId="72C5C71B" w:rsidR="004B1921" w:rsidRPr="008F1795" w:rsidRDefault="004B1921">
      <w:pPr>
        <w:pStyle w:val="ListeParagraf"/>
        <w:numPr>
          <w:ilvl w:val="0"/>
          <w:numId w:val="4"/>
        </w:numPr>
        <w:tabs>
          <w:tab w:val="left" w:pos="729"/>
        </w:tabs>
        <w:ind w:right="214" w:firstLine="0"/>
        <w:rPr>
          <w:lang w:val="tr-TR"/>
        </w:rPr>
      </w:pPr>
      <w:r w:rsidRPr="008F1795">
        <w:rPr>
          <w:iCs/>
          <w:lang w:val="tr-TR"/>
        </w:rPr>
        <w:t>AİHM</w:t>
      </w:r>
      <w:r w:rsidRPr="008F1795">
        <w:rPr>
          <w:i/>
          <w:lang w:val="tr-TR"/>
        </w:rPr>
        <w:t xml:space="preserve">, Aydın </w:t>
      </w:r>
      <w:proofErr w:type="spellStart"/>
      <w:r w:rsidRPr="008F1795">
        <w:rPr>
          <w:i/>
          <w:lang w:val="tr-TR"/>
        </w:rPr>
        <w:t>Tatlav</w:t>
      </w:r>
      <w:proofErr w:type="spellEnd"/>
      <w:r w:rsidRPr="008F1795">
        <w:rPr>
          <w:i/>
          <w:lang w:val="tr-TR"/>
        </w:rPr>
        <w:t xml:space="preserve"> -Türkiye </w:t>
      </w:r>
      <w:r w:rsidR="002A0CB6" w:rsidRPr="008F1795">
        <w:rPr>
          <w:i/>
          <w:lang w:val="tr-TR"/>
        </w:rPr>
        <w:t>davasında, İslam</w:t>
      </w:r>
      <w:r w:rsidR="00A45903" w:rsidRPr="008F1795">
        <w:rPr>
          <w:iCs/>
          <w:lang w:val="tr-TR"/>
        </w:rPr>
        <w:t xml:space="preserve"> dinini </w:t>
      </w:r>
      <w:r w:rsidR="005E29BA" w:rsidRPr="008F1795">
        <w:rPr>
          <w:iCs/>
          <w:lang w:val="tr-TR"/>
        </w:rPr>
        <w:t>sosyal adaletsizliği “Allah’ın takdiri” diye betimleyerek meşrulaştır</w:t>
      </w:r>
      <w:r w:rsidR="00A45903" w:rsidRPr="008F1795">
        <w:rPr>
          <w:iCs/>
          <w:lang w:val="tr-TR"/>
        </w:rPr>
        <w:t xml:space="preserve">makla eleştirdiği </w:t>
      </w:r>
      <w:r w:rsidR="005E29BA" w:rsidRPr="008F1795">
        <w:rPr>
          <w:iCs/>
          <w:lang w:val="tr-TR"/>
        </w:rPr>
        <w:t>için</w:t>
      </w:r>
      <w:r w:rsidR="00B756A9" w:rsidRPr="008F1795">
        <w:rPr>
          <w:iCs/>
          <w:lang w:val="tr-TR"/>
        </w:rPr>
        <w:t>,</w:t>
      </w:r>
      <w:r w:rsidR="005E29BA" w:rsidRPr="008F1795">
        <w:rPr>
          <w:iCs/>
          <w:lang w:val="tr-TR"/>
        </w:rPr>
        <w:t xml:space="preserve"> </w:t>
      </w:r>
      <w:r w:rsidR="004E77B0" w:rsidRPr="008F1795">
        <w:rPr>
          <w:iCs/>
          <w:lang w:val="tr-TR"/>
        </w:rPr>
        <w:t xml:space="preserve">eski Ceza Kanununun 175 </w:t>
      </w:r>
      <w:r w:rsidR="00241305" w:rsidRPr="008F1795">
        <w:rPr>
          <w:iCs/>
          <w:lang w:val="tr-TR"/>
        </w:rPr>
        <w:t>madde</w:t>
      </w:r>
      <w:r w:rsidR="004E77B0" w:rsidRPr="008F1795">
        <w:rPr>
          <w:iCs/>
          <w:lang w:val="tr-TR"/>
        </w:rPr>
        <w:t>si uyarınca bir yıl hapis cezası verilen başvurucunun ifade öz</w:t>
      </w:r>
      <w:r w:rsidR="004F5A69" w:rsidRPr="008F1795">
        <w:rPr>
          <w:iCs/>
          <w:lang w:val="tr-TR"/>
        </w:rPr>
        <w:t>gürlüğü hakkının ihlal edilmiş olduğu kararını vermiştir.</w:t>
      </w:r>
      <w:r w:rsidR="004F5A69" w:rsidRPr="008F1795">
        <w:rPr>
          <w:rStyle w:val="DipnotBavurusu"/>
          <w:iCs/>
          <w:lang w:val="tr-TR"/>
        </w:rPr>
        <w:footnoteReference w:id="44"/>
      </w:r>
    </w:p>
    <w:p w14:paraId="23011B4A" w14:textId="77777777" w:rsidR="004B1921" w:rsidRPr="008F1795" w:rsidRDefault="004B1921" w:rsidP="004B1921">
      <w:pPr>
        <w:pStyle w:val="ListeParagraf"/>
        <w:tabs>
          <w:tab w:val="left" w:pos="729"/>
        </w:tabs>
        <w:ind w:right="214"/>
        <w:rPr>
          <w:lang w:val="tr-TR"/>
        </w:rPr>
      </w:pPr>
    </w:p>
    <w:p w14:paraId="01499468" w14:textId="0C18E2F8" w:rsidR="00B756A9" w:rsidRPr="008F1795" w:rsidRDefault="00E31A23">
      <w:pPr>
        <w:pStyle w:val="ListeParagraf"/>
        <w:numPr>
          <w:ilvl w:val="0"/>
          <w:numId w:val="4"/>
        </w:numPr>
        <w:tabs>
          <w:tab w:val="left" w:pos="650"/>
        </w:tabs>
        <w:ind w:right="214" w:firstLine="0"/>
        <w:rPr>
          <w:lang w:val="tr-TR"/>
        </w:rPr>
      </w:pPr>
      <w:r w:rsidRPr="008F1795">
        <w:rPr>
          <w:lang w:val="tr-TR"/>
        </w:rPr>
        <w:t xml:space="preserve">Türk makamlarının, Avrupa Konseyi Bakanlar Komitesine ilettiği istatistiklere göre, </w:t>
      </w:r>
      <w:r w:rsidR="004A45B6" w:rsidRPr="008F1795">
        <w:rPr>
          <w:lang w:val="tr-TR"/>
        </w:rPr>
        <w:t xml:space="preserve">savcıların 216(3). </w:t>
      </w:r>
      <w:r w:rsidR="00241305" w:rsidRPr="008F1795">
        <w:rPr>
          <w:lang w:val="tr-TR"/>
        </w:rPr>
        <w:t>Madde</w:t>
      </w:r>
      <w:r w:rsidR="004A45B6" w:rsidRPr="008F1795">
        <w:rPr>
          <w:lang w:val="tr-TR"/>
        </w:rPr>
        <w:t xml:space="preserve"> uyarınca </w:t>
      </w:r>
      <w:r w:rsidR="00160006" w:rsidRPr="008F1795">
        <w:rPr>
          <w:lang w:val="tr-TR"/>
        </w:rPr>
        <w:t>hazırladığı iddianamelerin sayısı artmıştır: 2010 yılında 10 iddiana</w:t>
      </w:r>
      <w:r w:rsidR="00C43DBB" w:rsidRPr="008F1795">
        <w:rPr>
          <w:lang w:val="tr-TR"/>
        </w:rPr>
        <w:t>me</w:t>
      </w:r>
      <w:r w:rsidR="00A077C8">
        <w:rPr>
          <w:lang w:val="tr-TR"/>
        </w:rPr>
        <w:t xml:space="preserve"> hazırlanmış</w:t>
      </w:r>
      <w:r w:rsidR="00C43DBB" w:rsidRPr="008F1795">
        <w:rPr>
          <w:lang w:val="tr-TR"/>
        </w:rPr>
        <w:t xml:space="preserve"> iken bu sayı 2011’de 10, 2012’</w:t>
      </w:r>
      <w:r w:rsidR="004E59BD" w:rsidRPr="008F1795">
        <w:rPr>
          <w:lang w:val="tr-TR"/>
        </w:rPr>
        <w:t>d</w:t>
      </w:r>
      <w:r w:rsidR="00C43DBB" w:rsidRPr="008F1795">
        <w:rPr>
          <w:lang w:val="tr-TR"/>
        </w:rPr>
        <w:t xml:space="preserve">e 26, </w:t>
      </w:r>
      <w:proofErr w:type="gramStart"/>
      <w:r w:rsidR="00C43DBB" w:rsidRPr="008F1795">
        <w:rPr>
          <w:lang w:val="tr-TR"/>
        </w:rPr>
        <w:t>2013’de</w:t>
      </w:r>
      <w:proofErr w:type="gramEnd"/>
      <w:r w:rsidR="00C43DBB" w:rsidRPr="008F1795">
        <w:rPr>
          <w:lang w:val="tr-TR"/>
        </w:rPr>
        <w:t xml:space="preserve"> 42 ve 2014’te 32</w:t>
      </w:r>
      <w:r w:rsidR="004E59BD" w:rsidRPr="008F1795">
        <w:rPr>
          <w:lang w:val="tr-TR"/>
        </w:rPr>
        <w:t>’ye çıkmıştır, ve rakamlar daha da yüksek olabilir</w:t>
      </w:r>
      <w:r w:rsidR="004E59BD" w:rsidRPr="008F1795">
        <w:rPr>
          <w:rStyle w:val="DipnotBavurusu"/>
          <w:lang w:val="tr-TR"/>
        </w:rPr>
        <w:footnoteReference w:id="45"/>
      </w:r>
      <w:r w:rsidR="004E59BD" w:rsidRPr="008F1795">
        <w:rPr>
          <w:lang w:val="tr-TR"/>
        </w:rPr>
        <w:t xml:space="preserve">. Ayrıca, </w:t>
      </w:r>
      <w:r w:rsidR="00492929" w:rsidRPr="008F1795">
        <w:rPr>
          <w:lang w:val="tr-TR"/>
        </w:rPr>
        <w:t>1980’li ve 1990’lı yıllarda ifade özgürlüğüne karşı kovuşturmaların çoğunluğu Atatürk, Türklük ve ülkenin bölünmezliği</w:t>
      </w:r>
      <w:r w:rsidR="00D3544C" w:rsidRPr="008F1795">
        <w:rPr>
          <w:lang w:val="tr-TR"/>
        </w:rPr>
        <w:t>ne yönelik hakaretler hakkında yürütülürken, son y</w:t>
      </w:r>
      <w:r w:rsidR="00180F11" w:rsidRPr="008F1795">
        <w:rPr>
          <w:lang w:val="tr-TR"/>
        </w:rPr>
        <w:t>ı</w:t>
      </w:r>
      <w:r w:rsidR="00D3544C" w:rsidRPr="008F1795">
        <w:rPr>
          <w:lang w:val="tr-TR"/>
        </w:rPr>
        <w:t>llarda bunların yerin</w:t>
      </w:r>
      <w:r w:rsidR="00211CFE" w:rsidRPr="008F1795">
        <w:rPr>
          <w:lang w:val="tr-TR"/>
        </w:rPr>
        <w:t>i</w:t>
      </w:r>
      <w:r w:rsidR="00D3544C" w:rsidRPr="008F1795">
        <w:rPr>
          <w:lang w:val="tr-TR"/>
        </w:rPr>
        <w:t xml:space="preserve"> dine</w:t>
      </w:r>
      <w:r w:rsidR="00211CFE" w:rsidRPr="008F1795">
        <w:rPr>
          <w:lang w:val="tr-TR"/>
        </w:rPr>
        <w:t xml:space="preserve"> hakaret</w:t>
      </w:r>
      <w:r w:rsidR="00D3544C" w:rsidRPr="008F1795">
        <w:rPr>
          <w:lang w:val="tr-TR"/>
        </w:rPr>
        <w:t xml:space="preserve"> </w:t>
      </w:r>
      <w:r w:rsidR="00211CFE" w:rsidRPr="008F1795">
        <w:rPr>
          <w:lang w:val="tr-TR"/>
        </w:rPr>
        <w:t xml:space="preserve">(216(3). </w:t>
      </w:r>
      <w:r w:rsidR="00241305" w:rsidRPr="008F1795">
        <w:rPr>
          <w:lang w:val="tr-TR"/>
        </w:rPr>
        <w:t>Madde</w:t>
      </w:r>
      <w:r w:rsidR="00211CFE" w:rsidRPr="008F1795">
        <w:rPr>
          <w:lang w:val="tr-TR"/>
        </w:rPr>
        <w:t xml:space="preserve">) ve Cumhurbaşkanına </w:t>
      </w:r>
      <w:r w:rsidR="00D3544C" w:rsidRPr="008F1795">
        <w:rPr>
          <w:lang w:val="tr-TR"/>
        </w:rPr>
        <w:t>hak</w:t>
      </w:r>
      <w:r w:rsidR="00211CFE" w:rsidRPr="008F1795">
        <w:rPr>
          <w:lang w:val="tr-TR"/>
        </w:rPr>
        <w:t>a</w:t>
      </w:r>
      <w:r w:rsidR="00D3544C" w:rsidRPr="008F1795">
        <w:rPr>
          <w:lang w:val="tr-TR"/>
        </w:rPr>
        <w:t xml:space="preserve">ret </w:t>
      </w:r>
      <w:r w:rsidR="00211CFE" w:rsidRPr="008F1795">
        <w:rPr>
          <w:lang w:val="tr-TR"/>
        </w:rPr>
        <w:t xml:space="preserve">(299. </w:t>
      </w:r>
      <w:r w:rsidR="00241305" w:rsidRPr="008F1795">
        <w:rPr>
          <w:lang w:val="tr-TR"/>
        </w:rPr>
        <w:t>Madde</w:t>
      </w:r>
      <w:r w:rsidR="00211CFE" w:rsidRPr="008F1795">
        <w:rPr>
          <w:lang w:val="tr-TR"/>
        </w:rPr>
        <w:t>)</w:t>
      </w:r>
      <w:r w:rsidR="00DD66A6" w:rsidRPr="008F1795">
        <w:rPr>
          <w:lang w:val="tr-TR"/>
        </w:rPr>
        <w:t xml:space="preserve"> suçundan açılan kovuşturmalar almıştır. </w:t>
      </w:r>
      <w:r w:rsidR="00DD66A6" w:rsidRPr="008F1795">
        <w:rPr>
          <w:rStyle w:val="DipnotBavurusu"/>
          <w:lang w:val="tr-TR"/>
        </w:rPr>
        <w:footnoteReference w:id="46"/>
      </w:r>
    </w:p>
    <w:p w14:paraId="61A04CB6" w14:textId="77777777" w:rsidR="00180F11" w:rsidRPr="008F1795" w:rsidRDefault="00180F11" w:rsidP="00B756A9">
      <w:pPr>
        <w:pStyle w:val="ListeParagraf"/>
        <w:tabs>
          <w:tab w:val="left" w:pos="650"/>
        </w:tabs>
        <w:ind w:right="214"/>
        <w:rPr>
          <w:lang w:val="tr-TR"/>
        </w:rPr>
      </w:pPr>
    </w:p>
    <w:p w14:paraId="239DD1EA" w14:textId="3A511915" w:rsidR="00180F11" w:rsidRPr="008F1795" w:rsidRDefault="00752919">
      <w:pPr>
        <w:pStyle w:val="ListeParagraf"/>
        <w:numPr>
          <w:ilvl w:val="0"/>
          <w:numId w:val="4"/>
        </w:numPr>
        <w:tabs>
          <w:tab w:val="left" w:pos="687"/>
        </w:tabs>
        <w:spacing w:before="1"/>
        <w:ind w:firstLine="0"/>
        <w:rPr>
          <w:lang w:val="tr-TR"/>
        </w:rPr>
      </w:pPr>
      <w:r w:rsidRPr="008F1795">
        <w:rPr>
          <w:iCs/>
          <w:lang w:val="tr-TR"/>
        </w:rPr>
        <w:t>Kolluk kuvvetleri kur</w:t>
      </w:r>
      <w:r w:rsidR="00C315F1" w:rsidRPr="008F1795">
        <w:rPr>
          <w:iCs/>
          <w:lang w:val="tr-TR"/>
        </w:rPr>
        <w:t>u</w:t>
      </w:r>
      <w:r w:rsidRPr="008F1795">
        <w:rPr>
          <w:iCs/>
          <w:lang w:val="tr-TR"/>
        </w:rPr>
        <w:t>luşları ve yerel mahkemeler,</w:t>
      </w:r>
      <w:r w:rsidRPr="008F1795">
        <w:rPr>
          <w:lang w:val="tr-TR"/>
        </w:rPr>
        <w:t xml:space="preserve"> </w:t>
      </w:r>
      <w:r w:rsidR="00B246C0" w:rsidRPr="008F1795">
        <w:rPr>
          <w:lang w:val="tr-TR"/>
        </w:rPr>
        <w:t xml:space="preserve">AİHM’nin </w:t>
      </w:r>
      <w:proofErr w:type="spellStart"/>
      <w:r w:rsidR="00B246C0" w:rsidRPr="008F1795">
        <w:rPr>
          <w:i/>
          <w:lang w:val="tr-TR"/>
        </w:rPr>
        <w:t>Otto-Preminger</w:t>
      </w:r>
      <w:proofErr w:type="spellEnd"/>
      <w:r w:rsidR="00B246C0" w:rsidRPr="008F1795">
        <w:rPr>
          <w:i/>
          <w:lang w:val="tr-TR"/>
        </w:rPr>
        <w:t xml:space="preserve"> </w:t>
      </w:r>
      <w:r w:rsidR="00A819FC" w:rsidRPr="008F1795">
        <w:rPr>
          <w:i/>
          <w:lang w:val="tr-TR"/>
        </w:rPr>
        <w:t>Enstitüsü</w:t>
      </w:r>
      <w:r w:rsidR="00B246C0" w:rsidRPr="008F1795">
        <w:rPr>
          <w:i/>
          <w:lang w:val="tr-TR"/>
        </w:rPr>
        <w:t xml:space="preserve"> </w:t>
      </w:r>
      <w:r w:rsidR="00A819FC" w:rsidRPr="008F1795">
        <w:rPr>
          <w:i/>
          <w:lang w:val="tr-TR"/>
        </w:rPr>
        <w:t>–</w:t>
      </w:r>
      <w:r w:rsidR="00B246C0" w:rsidRPr="008F1795">
        <w:rPr>
          <w:i/>
          <w:lang w:val="tr-TR"/>
        </w:rPr>
        <w:t xml:space="preserve"> </w:t>
      </w:r>
      <w:r w:rsidR="00A819FC" w:rsidRPr="008F1795">
        <w:rPr>
          <w:i/>
          <w:lang w:val="tr-TR"/>
        </w:rPr>
        <w:lastRenderedPageBreak/>
        <w:t>Avustur</w:t>
      </w:r>
      <w:r w:rsidR="00BA46A1">
        <w:rPr>
          <w:i/>
          <w:lang w:val="tr-TR"/>
        </w:rPr>
        <w:t>y</w:t>
      </w:r>
      <w:r w:rsidR="00A819FC" w:rsidRPr="008F1795">
        <w:rPr>
          <w:i/>
          <w:lang w:val="tr-TR"/>
        </w:rPr>
        <w:t xml:space="preserve">a </w:t>
      </w:r>
      <w:r w:rsidR="00A819FC" w:rsidRPr="008F1795">
        <w:rPr>
          <w:iCs/>
          <w:lang w:val="tr-TR"/>
        </w:rPr>
        <w:t>davasında</w:t>
      </w:r>
      <w:r w:rsidR="00A819FC" w:rsidRPr="008F1795">
        <w:rPr>
          <w:rStyle w:val="DipnotBavurusu"/>
          <w:iCs/>
          <w:lang w:val="tr-TR"/>
        </w:rPr>
        <w:footnoteReference w:id="47"/>
      </w:r>
      <w:r w:rsidR="00A819FC" w:rsidRPr="008F1795">
        <w:rPr>
          <w:iCs/>
          <w:lang w:val="tr-TR"/>
        </w:rPr>
        <w:t xml:space="preserve"> vurgulamış olduğu gibi</w:t>
      </w:r>
      <w:r w:rsidR="00634ED0" w:rsidRPr="008F1795">
        <w:rPr>
          <w:i/>
          <w:lang w:val="tr-TR"/>
        </w:rPr>
        <w:t xml:space="preserve">, </w:t>
      </w:r>
      <w:r w:rsidR="00B65893" w:rsidRPr="008F1795">
        <w:rPr>
          <w:iCs/>
          <w:lang w:val="tr-TR"/>
        </w:rPr>
        <w:t xml:space="preserve">dinlerini </w:t>
      </w:r>
      <w:r w:rsidR="001154FC" w:rsidRPr="008F1795">
        <w:rPr>
          <w:iCs/>
          <w:lang w:val="tr-TR"/>
        </w:rPr>
        <w:t>açıklama özgürlüğün</w:t>
      </w:r>
      <w:r w:rsidR="00230235" w:rsidRPr="008F1795">
        <w:rPr>
          <w:iCs/>
          <w:lang w:val="tr-TR"/>
        </w:rPr>
        <w:t>den yararlanmayı seçenler</w:t>
      </w:r>
      <w:r w:rsidR="00C315F1" w:rsidRPr="008F1795">
        <w:rPr>
          <w:iCs/>
          <w:lang w:val="tr-TR"/>
        </w:rPr>
        <w:t>in</w:t>
      </w:r>
      <w:r w:rsidR="00013E3D" w:rsidRPr="008F1795">
        <w:rPr>
          <w:iCs/>
          <w:lang w:val="tr-TR"/>
        </w:rPr>
        <w:t>,</w:t>
      </w:r>
      <w:r w:rsidR="00230235" w:rsidRPr="008F1795">
        <w:rPr>
          <w:iCs/>
          <w:lang w:val="tr-TR"/>
        </w:rPr>
        <w:t xml:space="preserve"> tüm eleştiriler</w:t>
      </w:r>
      <w:r w:rsidR="00013E3D" w:rsidRPr="008F1795">
        <w:rPr>
          <w:iCs/>
          <w:lang w:val="tr-TR"/>
        </w:rPr>
        <w:t>d</w:t>
      </w:r>
      <w:r w:rsidR="00230235" w:rsidRPr="008F1795">
        <w:rPr>
          <w:iCs/>
          <w:lang w:val="tr-TR"/>
        </w:rPr>
        <w:t xml:space="preserve">en muaf tutulmayı mantıken </w:t>
      </w:r>
      <w:r w:rsidR="00013E3D" w:rsidRPr="008F1795">
        <w:rPr>
          <w:iCs/>
          <w:lang w:val="tr-TR"/>
        </w:rPr>
        <w:t>bekleyeme</w:t>
      </w:r>
      <w:r w:rsidR="002B6C7D" w:rsidRPr="008F1795">
        <w:rPr>
          <w:iCs/>
          <w:lang w:val="tr-TR"/>
        </w:rPr>
        <w:t>yece</w:t>
      </w:r>
      <w:r w:rsidR="00C315F1" w:rsidRPr="008F1795">
        <w:rPr>
          <w:iCs/>
          <w:lang w:val="tr-TR"/>
        </w:rPr>
        <w:t>ğini</w:t>
      </w:r>
      <w:r w:rsidR="002B6C7D" w:rsidRPr="008F1795">
        <w:rPr>
          <w:iCs/>
          <w:lang w:val="tr-TR"/>
        </w:rPr>
        <w:t xml:space="preserve"> </w:t>
      </w:r>
      <w:r w:rsidR="00A04100" w:rsidRPr="008F1795">
        <w:rPr>
          <w:iCs/>
          <w:lang w:val="tr-TR"/>
        </w:rPr>
        <w:t>göz önünde bulundurmalıdır</w:t>
      </w:r>
      <w:r w:rsidR="002B6C7D" w:rsidRPr="008F1795">
        <w:rPr>
          <w:iCs/>
          <w:lang w:val="tr-TR"/>
        </w:rPr>
        <w:t xml:space="preserve">. </w:t>
      </w:r>
      <w:r w:rsidR="00082A5D" w:rsidRPr="008F1795">
        <w:rPr>
          <w:iCs/>
          <w:lang w:val="tr-TR"/>
        </w:rPr>
        <w:t>Bu kişiler, dini inançlarının başkaları</w:t>
      </w:r>
      <w:r w:rsidR="00104873" w:rsidRPr="008F1795">
        <w:rPr>
          <w:iCs/>
          <w:lang w:val="tr-TR"/>
        </w:rPr>
        <w:t xml:space="preserve"> tarafından </w:t>
      </w:r>
      <w:proofErr w:type="gramStart"/>
      <w:r w:rsidR="00104873" w:rsidRPr="008F1795">
        <w:rPr>
          <w:iCs/>
          <w:lang w:val="tr-TR"/>
        </w:rPr>
        <w:t>inkar</w:t>
      </w:r>
      <w:proofErr w:type="gramEnd"/>
      <w:r w:rsidR="00104873" w:rsidRPr="008F1795">
        <w:rPr>
          <w:iCs/>
          <w:lang w:val="tr-TR"/>
        </w:rPr>
        <w:t xml:space="preserve"> edilmesini ve hatta inançlarına ya da herhangi bir inanca karşı düşmanc</w:t>
      </w:r>
      <w:r w:rsidR="0046005E" w:rsidRPr="008F1795">
        <w:rPr>
          <w:iCs/>
          <w:lang w:val="tr-TR"/>
        </w:rPr>
        <w:t>a</w:t>
      </w:r>
      <w:r w:rsidR="00104873" w:rsidRPr="008F1795">
        <w:rPr>
          <w:iCs/>
          <w:lang w:val="tr-TR"/>
        </w:rPr>
        <w:t xml:space="preserve"> doktrinlerin propaga</w:t>
      </w:r>
      <w:r w:rsidR="0046005E" w:rsidRPr="008F1795">
        <w:rPr>
          <w:iCs/>
          <w:lang w:val="tr-TR"/>
        </w:rPr>
        <w:t>nda</w:t>
      </w:r>
      <w:r w:rsidR="00061585" w:rsidRPr="008F1795">
        <w:rPr>
          <w:iCs/>
          <w:lang w:val="tr-TR"/>
        </w:rPr>
        <w:t xml:space="preserve">sının yapılmasını hoşgörü ile karşılamalı ve kabul etmelidirler. </w:t>
      </w:r>
      <w:r w:rsidR="0046005E" w:rsidRPr="008F1795">
        <w:rPr>
          <w:iCs/>
          <w:lang w:val="tr-TR"/>
        </w:rPr>
        <w:t xml:space="preserve">BM İnsan Hakları Komitesinin 34 sayılı Genel Yorumuna göre, </w:t>
      </w:r>
      <w:r w:rsidR="002F29CF" w:rsidRPr="008F1795">
        <w:rPr>
          <w:iCs/>
          <w:lang w:val="tr-TR"/>
        </w:rPr>
        <w:t xml:space="preserve">ayrımcılık, düşmanlık ya da şiddete </w:t>
      </w:r>
      <w:r w:rsidR="00EB4BA8">
        <w:rPr>
          <w:iCs/>
          <w:lang w:val="tr-TR"/>
        </w:rPr>
        <w:t>tahrik</w:t>
      </w:r>
      <w:r w:rsidR="002F29CF" w:rsidRPr="008F1795">
        <w:rPr>
          <w:iCs/>
          <w:lang w:val="tr-TR"/>
        </w:rPr>
        <w:t xml:space="preserve"> </w:t>
      </w:r>
      <w:r w:rsidR="006F7AEF" w:rsidRPr="008F1795">
        <w:rPr>
          <w:iCs/>
          <w:lang w:val="tr-TR"/>
        </w:rPr>
        <w:t xml:space="preserve">oluşturan şekilde dini nefret savunuculuğunun yapıldığı durumlar dışında, </w:t>
      </w:r>
      <w:r w:rsidR="00A42AA5" w:rsidRPr="008F1795">
        <w:rPr>
          <w:iCs/>
          <w:lang w:val="tr-TR"/>
        </w:rPr>
        <w:t>dine küfür dahil, bir dine ya da diğer inanç sistemine saygısızlık</w:t>
      </w:r>
      <w:r w:rsidR="006C0F47" w:rsidRPr="008F1795">
        <w:rPr>
          <w:iCs/>
          <w:lang w:val="tr-TR"/>
        </w:rPr>
        <w:t xml:space="preserve"> gösterilmesine yönelik yasaklar</w:t>
      </w:r>
      <w:r w:rsidR="0033021D">
        <w:rPr>
          <w:iCs/>
          <w:lang w:val="tr-TR"/>
        </w:rPr>
        <w:t>ın</w:t>
      </w:r>
      <w:r w:rsidR="006C0F47" w:rsidRPr="008F1795">
        <w:rPr>
          <w:iCs/>
          <w:lang w:val="tr-TR"/>
        </w:rPr>
        <w:t xml:space="preserve"> Sözleşmeye aykırı olduğu unutulmamalıdır. Bu nedenle, </w:t>
      </w:r>
      <w:r w:rsidR="00646EEB" w:rsidRPr="008F1795">
        <w:rPr>
          <w:lang w:val="tr-TR"/>
        </w:rPr>
        <w:t xml:space="preserve">216(3). </w:t>
      </w:r>
      <w:r w:rsidR="00241305" w:rsidRPr="008F1795">
        <w:rPr>
          <w:lang w:val="tr-TR"/>
        </w:rPr>
        <w:t>Madde</w:t>
      </w:r>
      <w:r w:rsidR="00646EEB" w:rsidRPr="008F1795">
        <w:rPr>
          <w:lang w:val="tr-TR"/>
        </w:rPr>
        <w:t xml:space="preserve"> sadece</w:t>
      </w:r>
      <w:r w:rsidR="00A0428D" w:rsidRPr="008F1795">
        <w:rPr>
          <w:lang w:val="tr-TR"/>
        </w:rPr>
        <w:t xml:space="preserve">, </w:t>
      </w:r>
      <w:r w:rsidR="004F7DE6" w:rsidRPr="008F1795">
        <w:rPr>
          <w:lang w:val="tr-TR"/>
        </w:rPr>
        <w:t xml:space="preserve">dini hakaretlerin </w:t>
      </w:r>
      <w:r w:rsidR="00646EEB" w:rsidRPr="008F1795">
        <w:rPr>
          <w:i/>
          <w:iCs/>
          <w:lang w:val="tr-TR"/>
        </w:rPr>
        <w:t>kamu düzeninin bilerek ve ciddi</w:t>
      </w:r>
      <w:r w:rsidR="00DD2FC9" w:rsidRPr="008F1795">
        <w:rPr>
          <w:i/>
          <w:iCs/>
          <w:lang w:val="tr-TR"/>
        </w:rPr>
        <w:t xml:space="preserve"> şekilde boz</w:t>
      </w:r>
      <w:r w:rsidR="00A3298E" w:rsidRPr="008F1795">
        <w:rPr>
          <w:i/>
          <w:iCs/>
          <w:lang w:val="tr-TR"/>
        </w:rPr>
        <w:t>ulması</w:t>
      </w:r>
      <w:r w:rsidR="00DD2FC9" w:rsidRPr="008F1795">
        <w:rPr>
          <w:i/>
          <w:iCs/>
          <w:lang w:val="tr-TR"/>
        </w:rPr>
        <w:t xml:space="preserve"> ve halkı</w:t>
      </w:r>
      <w:r w:rsidR="00A3298E" w:rsidRPr="008F1795">
        <w:rPr>
          <w:i/>
          <w:iCs/>
          <w:lang w:val="tr-TR"/>
        </w:rPr>
        <w:t xml:space="preserve">n </w:t>
      </w:r>
      <w:r w:rsidR="00DD2FC9" w:rsidRPr="008F1795">
        <w:rPr>
          <w:i/>
          <w:iCs/>
          <w:lang w:val="tr-TR"/>
        </w:rPr>
        <w:t xml:space="preserve">şiddete </w:t>
      </w:r>
      <w:r w:rsidR="00A3298E" w:rsidRPr="008F1795">
        <w:rPr>
          <w:i/>
          <w:iCs/>
          <w:lang w:val="tr-TR"/>
        </w:rPr>
        <w:t>çağrılmasıyla</w:t>
      </w:r>
      <w:r w:rsidR="00A3298E" w:rsidRPr="008F1795">
        <w:rPr>
          <w:lang w:val="tr-TR"/>
        </w:rPr>
        <w:t xml:space="preserve"> sonuçlan</w:t>
      </w:r>
      <w:r w:rsidR="004F7DE6" w:rsidRPr="008F1795">
        <w:rPr>
          <w:lang w:val="tr-TR"/>
        </w:rPr>
        <w:t>dığı</w:t>
      </w:r>
      <w:r w:rsidR="00A0428D" w:rsidRPr="008F1795">
        <w:rPr>
          <w:lang w:val="tr-TR"/>
        </w:rPr>
        <w:t xml:space="preserve"> </w:t>
      </w:r>
      <w:r w:rsidR="004F7DE6" w:rsidRPr="008F1795">
        <w:rPr>
          <w:lang w:val="tr-TR"/>
        </w:rPr>
        <w:t>aşırı durumlarda</w:t>
      </w:r>
      <w:r w:rsidR="002E3CF0" w:rsidRPr="008F1795">
        <w:rPr>
          <w:lang w:val="tr-TR"/>
        </w:rPr>
        <w:t xml:space="preserve"> uygulanacak şekilde yorumlanmalıdır. Bu bakımdan Venedik Komisyonu, Yargıtay’ın Fazıl Say ile ilgili davada</w:t>
      </w:r>
      <w:r w:rsidR="00E536BE" w:rsidRPr="008F1795">
        <w:rPr>
          <w:rStyle w:val="DipnotBavurusu"/>
          <w:lang w:val="tr-TR"/>
        </w:rPr>
        <w:footnoteReference w:id="48"/>
      </w:r>
      <w:r w:rsidR="00D82BFC" w:rsidRPr="008F1795">
        <w:rPr>
          <w:lang w:val="tr-TR"/>
        </w:rPr>
        <w:t xml:space="preserve"> 12 Ekim 2015 tarihinde aldığı kararda benimsediği yaklaşımı genel olarak desteklemektedir (bkz</w:t>
      </w:r>
      <w:r w:rsidR="00E536BE" w:rsidRPr="008F1795">
        <w:rPr>
          <w:lang w:val="tr-TR"/>
        </w:rPr>
        <w:t xml:space="preserve">. bu Görüşün 29. paragrafı). </w:t>
      </w:r>
      <w:r w:rsidR="00844814" w:rsidRPr="008F1795">
        <w:rPr>
          <w:lang w:val="tr-TR"/>
        </w:rPr>
        <w:t xml:space="preserve">Bununla birlikte, </w:t>
      </w:r>
      <w:r w:rsidR="00373922" w:rsidRPr="008F1795">
        <w:rPr>
          <w:lang w:val="tr-TR"/>
        </w:rPr>
        <w:t>soruşturmalar ve kovuşturmalar, nihayetinde başarısız bile olsalar, bilhassa tartışmalı konularda ifade özgürlüğünün meşru kullanımı</w:t>
      </w:r>
      <w:r w:rsidR="000C7CB8">
        <w:rPr>
          <w:lang w:val="tr-TR"/>
        </w:rPr>
        <w:t xml:space="preserve"> üzerinde</w:t>
      </w:r>
      <w:r w:rsidR="00373922" w:rsidRPr="008F1795">
        <w:rPr>
          <w:lang w:val="tr-TR"/>
        </w:rPr>
        <w:t xml:space="preserve"> caydırıcı</w:t>
      </w:r>
      <w:r w:rsidR="00F976CD">
        <w:rPr>
          <w:lang w:val="tr-TR"/>
        </w:rPr>
        <w:t xml:space="preserve"> bir etki bırakabileceği</w:t>
      </w:r>
      <w:r w:rsidR="00373922" w:rsidRPr="008F1795">
        <w:rPr>
          <w:lang w:val="tr-TR"/>
        </w:rPr>
        <w:t xml:space="preserve"> için, </w:t>
      </w:r>
      <w:r w:rsidR="00844814" w:rsidRPr="008F1795">
        <w:rPr>
          <w:lang w:val="tr-TR"/>
        </w:rPr>
        <w:t xml:space="preserve">bu yaklaşımın </w:t>
      </w:r>
      <w:r w:rsidR="00350FF7" w:rsidRPr="008F1795">
        <w:rPr>
          <w:lang w:val="tr-TR"/>
        </w:rPr>
        <w:t>hem</w:t>
      </w:r>
      <w:r w:rsidR="00844814" w:rsidRPr="008F1795">
        <w:rPr>
          <w:lang w:val="tr-TR"/>
        </w:rPr>
        <w:t xml:space="preserve"> ilk derece mahkemeler</w:t>
      </w:r>
      <w:r w:rsidR="00350FF7" w:rsidRPr="008F1795">
        <w:rPr>
          <w:lang w:val="tr-TR"/>
        </w:rPr>
        <w:t xml:space="preserve"> hem de savcılar tarafından benimsenmesi de önemlidir</w:t>
      </w:r>
      <w:r w:rsidR="00373922" w:rsidRPr="008F1795">
        <w:rPr>
          <w:lang w:val="tr-TR"/>
        </w:rPr>
        <w:t xml:space="preserve">. </w:t>
      </w:r>
    </w:p>
    <w:p w14:paraId="7F59CA97" w14:textId="77777777" w:rsidR="00180F11" w:rsidRPr="008F1795" w:rsidRDefault="00180F11" w:rsidP="00180F11">
      <w:pPr>
        <w:pStyle w:val="ListeParagraf"/>
        <w:tabs>
          <w:tab w:val="left" w:pos="687"/>
        </w:tabs>
        <w:spacing w:before="1"/>
        <w:rPr>
          <w:lang w:val="tr-TR"/>
        </w:rPr>
      </w:pPr>
    </w:p>
    <w:p w14:paraId="008F8B2A" w14:textId="6ED01902" w:rsidR="008E2DB6" w:rsidRPr="008F1795" w:rsidRDefault="00FB10FC" w:rsidP="008E2DB6">
      <w:pPr>
        <w:pStyle w:val="ListeParagraf"/>
        <w:numPr>
          <w:ilvl w:val="0"/>
          <w:numId w:val="4"/>
        </w:numPr>
        <w:tabs>
          <w:tab w:val="left" w:pos="732"/>
        </w:tabs>
        <w:spacing w:before="93"/>
        <w:ind w:firstLine="0"/>
        <w:rPr>
          <w:lang w:val="tr-TR"/>
        </w:rPr>
      </w:pPr>
      <w:r w:rsidRPr="008F1795">
        <w:rPr>
          <w:b/>
          <w:bCs/>
          <w:lang w:val="tr-TR"/>
        </w:rPr>
        <w:t>Sonuç olarak</w:t>
      </w:r>
      <w:r w:rsidRPr="008F1795">
        <w:rPr>
          <w:lang w:val="tr-TR"/>
        </w:rPr>
        <w:t xml:space="preserve">, </w:t>
      </w:r>
      <w:r w:rsidR="006835CE" w:rsidRPr="008F1795">
        <w:rPr>
          <w:lang w:val="tr-TR"/>
        </w:rPr>
        <w:t xml:space="preserve">AİHS 10. </w:t>
      </w:r>
      <w:r w:rsidR="00241305" w:rsidRPr="008F1795">
        <w:rPr>
          <w:lang w:val="tr-TR"/>
        </w:rPr>
        <w:t>Madde</w:t>
      </w:r>
      <w:r w:rsidR="006835CE" w:rsidRPr="008F1795">
        <w:rPr>
          <w:lang w:val="tr-TR"/>
        </w:rPr>
        <w:t>si ile korunan rencide veya şok edici ifadeler</w:t>
      </w:r>
      <w:r w:rsidR="003E1E5B" w:rsidRPr="008F1795">
        <w:rPr>
          <w:lang w:val="tr-TR"/>
        </w:rPr>
        <w:t xml:space="preserve"> de</w:t>
      </w:r>
      <w:r w:rsidR="00570460" w:rsidRPr="008F1795">
        <w:rPr>
          <w:lang w:val="tr-TR"/>
        </w:rPr>
        <w:t xml:space="preserve"> 216. </w:t>
      </w:r>
      <w:r w:rsidR="00241305" w:rsidRPr="008F1795">
        <w:rPr>
          <w:lang w:val="tr-TR"/>
        </w:rPr>
        <w:t>Madde</w:t>
      </w:r>
      <w:r w:rsidR="00570460" w:rsidRPr="008F1795">
        <w:rPr>
          <w:lang w:val="tr-TR"/>
        </w:rPr>
        <w:t>nin</w:t>
      </w:r>
      <w:r w:rsidR="003E1E5B" w:rsidRPr="008F1795">
        <w:rPr>
          <w:lang w:val="tr-TR"/>
        </w:rPr>
        <w:t xml:space="preserve"> (1). </w:t>
      </w:r>
      <w:proofErr w:type="gramStart"/>
      <w:r w:rsidR="009F2E38">
        <w:rPr>
          <w:lang w:val="tr-TR"/>
        </w:rPr>
        <w:t>f</w:t>
      </w:r>
      <w:r w:rsidR="00EC6225" w:rsidRPr="008F1795">
        <w:rPr>
          <w:lang w:val="tr-TR"/>
        </w:rPr>
        <w:t>ıkra</w:t>
      </w:r>
      <w:r w:rsidR="00570460" w:rsidRPr="008F1795">
        <w:rPr>
          <w:lang w:val="tr-TR"/>
        </w:rPr>
        <w:t>sın</w:t>
      </w:r>
      <w:r w:rsidR="003E1E5B" w:rsidRPr="008F1795">
        <w:rPr>
          <w:lang w:val="tr-TR"/>
        </w:rPr>
        <w:t>da</w:t>
      </w:r>
      <w:proofErr w:type="gramEnd"/>
      <w:r w:rsidR="003E1E5B" w:rsidRPr="008F1795">
        <w:rPr>
          <w:lang w:val="tr-TR"/>
        </w:rPr>
        <w:t xml:space="preserve"> geçen “aşağılama” teriminin kapsamında girebileceğinden, </w:t>
      </w:r>
      <w:r w:rsidR="00570460" w:rsidRPr="008F1795">
        <w:rPr>
          <w:lang w:val="tr-TR"/>
        </w:rPr>
        <w:t xml:space="preserve">216. </w:t>
      </w:r>
      <w:r w:rsidR="00241305" w:rsidRPr="008F1795">
        <w:rPr>
          <w:lang w:val="tr-TR"/>
        </w:rPr>
        <w:t>Madde</w:t>
      </w:r>
      <w:r w:rsidR="00570460" w:rsidRPr="008F1795">
        <w:rPr>
          <w:lang w:val="tr-TR"/>
        </w:rPr>
        <w:t xml:space="preserve">nin (2). </w:t>
      </w:r>
      <w:proofErr w:type="gramStart"/>
      <w:r w:rsidR="00570460" w:rsidRPr="008F1795">
        <w:rPr>
          <w:lang w:val="tr-TR"/>
        </w:rPr>
        <w:t>ve</w:t>
      </w:r>
      <w:proofErr w:type="gramEnd"/>
      <w:r w:rsidR="00570460" w:rsidRPr="008F1795">
        <w:rPr>
          <w:lang w:val="tr-TR"/>
        </w:rPr>
        <w:t xml:space="preserve"> (3). </w:t>
      </w:r>
      <w:proofErr w:type="gramStart"/>
      <w:r w:rsidR="009F2E38">
        <w:rPr>
          <w:lang w:val="tr-TR"/>
        </w:rPr>
        <w:t>f</w:t>
      </w:r>
      <w:r w:rsidR="00EC6225" w:rsidRPr="008F1795">
        <w:rPr>
          <w:lang w:val="tr-TR"/>
        </w:rPr>
        <w:t>ıkra</w:t>
      </w:r>
      <w:r w:rsidR="00570460" w:rsidRPr="008F1795">
        <w:rPr>
          <w:lang w:val="tr-TR"/>
        </w:rPr>
        <w:t>ları</w:t>
      </w:r>
      <w:r w:rsidR="00A2352D" w:rsidRPr="008F1795">
        <w:rPr>
          <w:lang w:val="tr-TR"/>
        </w:rPr>
        <w:t>nın</w:t>
      </w:r>
      <w:proofErr w:type="gramEnd"/>
      <w:r w:rsidR="00A2352D" w:rsidRPr="008F1795">
        <w:rPr>
          <w:lang w:val="tr-TR"/>
        </w:rPr>
        <w:t>,</w:t>
      </w:r>
      <w:r w:rsidR="00570460" w:rsidRPr="008F1795">
        <w:rPr>
          <w:lang w:val="tr-TR"/>
        </w:rPr>
        <w:t xml:space="preserve"> “aşağılama” tanımına ilişkin daha kısıtlayıcı şekilde formüle </w:t>
      </w:r>
      <w:r w:rsidR="00A2352D" w:rsidRPr="008F1795">
        <w:rPr>
          <w:lang w:val="tr-TR"/>
        </w:rPr>
        <w:t>edilmesi</w:t>
      </w:r>
      <w:r w:rsidR="00570460" w:rsidRPr="008F1795">
        <w:rPr>
          <w:lang w:val="tr-TR"/>
        </w:rPr>
        <w:t xml:space="preserve"> gerekmektedir</w:t>
      </w:r>
      <w:r w:rsidR="00A2352D" w:rsidRPr="008F1795">
        <w:rPr>
          <w:lang w:val="tr-TR"/>
        </w:rPr>
        <w:t xml:space="preserve">. </w:t>
      </w:r>
      <w:r w:rsidR="009C5F74" w:rsidRPr="008F1795">
        <w:rPr>
          <w:lang w:val="tr-TR"/>
        </w:rPr>
        <w:t xml:space="preserve">Türk yetkililer, bu iki </w:t>
      </w:r>
      <w:r w:rsidR="00EC6225" w:rsidRPr="008F1795">
        <w:rPr>
          <w:lang w:val="tr-TR"/>
        </w:rPr>
        <w:t>fıkra</w:t>
      </w:r>
      <w:r w:rsidR="009C5F74" w:rsidRPr="008F1795">
        <w:rPr>
          <w:lang w:val="tr-TR"/>
        </w:rPr>
        <w:t xml:space="preserve">yı (1). </w:t>
      </w:r>
      <w:proofErr w:type="gramStart"/>
      <w:r w:rsidR="002D5BC7">
        <w:rPr>
          <w:lang w:val="tr-TR"/>
        </w:rPr>
        <w:t>f</w:t>
      </w:r>
      <w:r w:rsidR="00EC6225" w:rsidRPr="008F1795">
        <w:rPr>
          <w:lang w:val="tr-TR"/>
        </w:rPr>
        <w:t>ıkra</w:t>
      </w:r>
      <w:proofErr w:type="gramEnd"/>
      <w:r w:rsidR="00E67A67" w:rsidRPr="008F1795">
        <w:rPr>
          <w:lang w:val="tr-TR"/>
        </w:rPr>
        <w:t xml:space="preserve"> </w:t>
      </w:r>
      <w:r w:rsidR="009C5F74" w:rsidRPr="008F1795">
        <w:rPr>
          <w:lang w:val="tr-TR"/>
        </w:rPr>
        <w:t>ile birleştirmeyi de</w:t>
      </w:r>
      <w:r w:rsidR="00E67A67" w:rsidRPr="008F1795">
        <w:rPr>
          <w:lang w:val="tr-TR"/>
        </w:rPr>
        <w:t xml:space="preserve"> düşünebilir. Hükmün uygulanışı ile ilgili olarak ise, </w:t>
      </w:r>
      <w:r w:rsidR="00AA2BA6" w:rsidRPr="008F1795">
        <w:rPr>
          <w:lang w:val="tr-TR"/>
        </w:rPr>
        <w:t xml:space="preserve">yerel mahkemeler </w:t>
      </w:r>
      <w:r w:rsidR="00E67A67" w:rsidRPr="008F1795">
        <w:rPr>
          <w:lang w:val="tr-TR"/>
        </w:rPr>
        <w:t xml:space="preserve">216. </w:t>
      </w:r>
      <w:r w:rsidR="00241305" w:rsidRPr="008F1795">
        <w:rPr>
          <w:lang w:val="tr-TR"/>
        </w:rPr>
        <w:t>Madde</w:t>
      </w:r>
      <w:r w:rsidR="00E67A67" w:rsidRPr="008F1795">
        <w:rPr>
          <w:lang w:val="tr-TR"/>
        </w:rPr>
        <w:t>nin tümü</w:t>
      </w:r>
      <w:r w:rsidR="00AA2BA6" w:rsidRPr="008F1795">
        <w:rPr>
          <w:lang w:val="tr-TR"/>
        </w:rPr>
        <w:t>nü</w:t>
      </w:r>
      <w:r w:rsidR="00E67A67" w:rsidRPr="008F1795">
        <w:rPr>
          <w:lang w:val="tr-TR"/>
        </w:rPr>
        <w:t xml:space="preserve"> </w:t>
      </w:r>
      <w:r w:rsidR="008D0C53" w:rsidRPr="008F1795">
        <w:rPr>
          <w:lang w:val="tr-TR"/>
        </w:rPr>
        <w:t>yukarıda bahsedilen uluslararası standartlara uygun olarak yorumlamalıdır.</w:t>
      </w:r>
      <w:r w:rsidR="00AA2BA6" w:rsidRPr="008F1795">
        <w:rPr>
          <w:rStyle w:val="DipnotBavurusu"/>
          <w:lang w:val="tr-TR"/>
        </w:rPr>
        <w:footnoteReference w:id="49"/>
      </w:r>
      <w:r w:rsidR="008D0C53" w:rsidRPr="008F1795">
        <w:rPr>
          <w:lang w:val="tr-TR"/>
        </w:rPr>
        <w:t xml:space="preserve"> </w:t>
      </w:r>
      <w:r w:rsidR="0084201F" w:rsidRPr="008F1795">
        <w:rPr>
          <w:lang w:val="tr-TR"/>
        </w:rPr>
        <w:t xml:space="preserve">216. </w:t>
      </w:r>
      <w:r w:rsidR="00241305" w:rsidRPr="008F1795">
        <w:rPr>
          <w:lang w:val="tr-TR"/>
        </w:rPr>
        <w:t>Madde</w:t>
      </w:r>
      <w:r w:rsidR="00AA6830" w:rsidRPr="008F1795">
        <w:rPr>
          <w:lang w:val="tr-TR"/>
        </w:rPr>
        <w:t xml:space="preserve">, hükümet politikalarına yönelik </w:t>
      </w:r>
      <w:r w:rsidR="008F35FA" w:rsidRPr="008F1795">
        <w:rPr>
          <w:lang w:val="tr-TR"/>
        </w:rPr>
        <w:t xml:space="preserve">şiddet içermeyen ama </w:t>
      </w:r>
      <w:r w:rsidR="00AA6830" w:rsidRPr="008F1795">
        <w:rPr>
          <w:lang w:val="tr-TR"/>
        </w:rPr>
        <w:t>sert</w:t>
      </w:r>
      <w:r w:rsidR="008F35FA" w:rsidRPr="008F1795">
        <w:rPr>
          <w:lang w:val="tr-TR"/>
        </w:rPr>
        <w:t xml:space="preserve"> olan</w:t>
      </w:r>
      <w:r w:rsidR="00AA6830" w:rsidRPr="008F1795">
        <w:rPr>
          <w:lang w:val="tr-TR"/>
        </w:rPr>
        <w:t xml:space="preserve"> eleştirileri </w:t>
      </w:r>
      <w:r w:rsidR="008F35FA" w:rsidRPr="008F1795">
        <w:rPr>
          <w:lang w:val="tr-TR"/>
        </w:rPr>
        <w:t xml:space="preserve">cezalandırmak için </w:t>
      </w:r>
      <w:r w:rsidR="00EF0143" w:rsidRPr="008F1795">
        <w:rPr>
          <w:lang w:val="tr-TR"/>
        </w:rPr>
        <w:t xml:space="preserve">değil, </w:t>
      </w:r>
      <w:r w:rsidR="00786ED9" w:rsidRPr="008F1795">
        <w:rPr>
          <w:lang w:val="tr-TR"/>
        </w:rPr>
        <w:t xml:space="preserve">kamu güvenliğine açık ve yakın tehlike oluşturan, bilhassa ulusal azınlıklara karşı ırkçı </w:t>
      </w:r>
      <w:r w:rsidR="008C4F24">
        <w:rPr>
          <w:lang w:val="tr-TR"/>
        </w:rPr>
        <w:t>ifadeleri</w:t>
      </w:r>
      <w:r w:rsidR="00786ED9" w:rsidRPr="008F1795">
        <w:rPr>
          <w:lang w:val="tr-TR"/>
        </w:rPr>
        <w:t xml:space="preserve"> önlemek için kullanılmalıdır. </w:t>
      </w:r>
      <w:r w:rsidR="0084201F" w:rsidRPr="008F1795">
        <w:rPr>
          <w:lang w:val="tr-TR"/>
        </w:rPr>
        <w:t>216</w:t>
      </w:r>
      <w:r w:rsidR="00B47913" w:rsidRPr="008F1795">
        <w:rPr>
          <w:lang w:val="tr-TR"/>
        </w:rPr>
        <w:t>.</w:t>
      </w:r>
      <w:r w:rsidR="0084201F" w:rsidRPr="008F1795">
        <w:rPr>
          <w:lang w:val="tr-TR"/>
        </w:rPr>
        <w:t xml:space="preserve"> </w:t>
      </w:r>
      <w:r w:rsidR="00241305" w:rsidRPr="008F1795">
        <w:rPr>
          <w:lang w:val="tr-TR"/>
        </w:rPr>
        <w:t>Madde</w:t>
      </w:r>
      <w:r w:rsidR="00B47913" w:rsidRPr="008F1795">
        <w:rPr>
          <w:lang w:val="tr-TR"/>
        </w:rPr>
        <w:t xml:space="preserve">nin 3. </w:t>
      </w:r>
      <w:r w:rsidR="00CE5460">
        <w:rPr>
          <w:lang w:val="tr-TR"/>
        </w:rPr>
        <w:t>f</w:t>
      </w:r>
      <w:r w:rsidR="00EC6225" w:rsidRPr="008F1795">
        <w:rPr>
          <w:lang w:val="tr-TR"/>
        </w:rPr>
        <w:t>ıkra</w:t>
      </w:r>
      <w:r w:rsidR="00B47913" w:rsidRPr="008F1795">
        <w:rPr>
          <w:lang w:val="tr-TR"/>
        </w:rPr>
        <w:t xml:space="preserve">sı, dine küfrü cezalandırmak için kullanılmamalı; </w:t>
      </w:r>
      <w:r w:rsidR="000143B8" w:rsidRPr="008F1795">
        <w:rPr>
          <w:lang w:val="tr-TR"/>
        </w:rPr>
        <w:t>kamu düzenini bilerek ve ciddi şekilde bozan ve halkı şiddete çağıran dini hak</w:t>
      </w:r>
      <w:r w:rsidR="00D53BD8" w:rsidRPr="008F1795">
        <w:rPr>
          <w:lang w:val="tr-TR"/>
        </w:rPr>
        <w:t>a</w:t>
      </w:r>
      <w:r w:rsidR="000143B8" w:rsidRPr="008F1795">
        <w:rPr>
          <w:lang w:val="tr-TR"/>
        </w:rPr>
        <w:t>ret</w:t>
      </w:r>
      <w:r w:rsidR="00D53BD8" w:rsidRPr="008F1795">
        <w:rPr>
          <w:lang w:val="tr-TR"/>
        </w:rPr>
        <w:t xml:space="preserve">ler içeren durumlar ile sınırlandırılmalıdır. </w:t>
      </w:r>
    </w:p>
    <w:p w14:paraId="7D7D3CD3" w14:textId="77777777" w:rsidR="006E018D" w:rsidRPr="008F1795" w:rsidRDefault="006E018D" w:rsidP="006E018D">
      <w:pPr>
        <w:pStyle w:val="ListeParagraf"/>
        <w:tabs>
          <w:tab w:val="left" w:pos="732"/>
        </w:tabs>
        <w:spacing w:before="93"/>
        <w:rPr>
          <w:lang w:val="tr-TR"/>
        </w:rPr>
      </w:pPr>
    </w:p>
    <w:p w14:paraId="7B5C1847" w14:textId="03E5597B" w:rsidR="00B74CEA" w:rsidRPr="008F1795" w:rsidRDefault="00BE381E">
      <w:pPr>
        <w:pStyle w:val="Balk1"/>
        <w:numPr>
          <w:ilvl w:val="1"/>
          <w:numId w:val="5"/>
        </w:numPr>
        <w:tabs>
          <w:tab w:val="left" w:pos="1331"/>
          <w:tab w:val="left" w:pos="1332"/>
        </w:tabs>
        <w:ind w:hanging="426"/>
        <w:rPr>
          <w:lang w:val="tr-TR"/>
        </w:rPr>
      </w:pPr>
      <w:bookmarkStart w:id="8" w:name="_bookmark8"/>
      <w:bookmarkEnd w:id="8"/>
      <w:r w:rsidRPr="008F1795">
        <w:rPr>
          <w:lang w:val="tr-TR"/>
        </w:rPr>
        <w:t>299</w:t>
      </w:r>
      <w:r w:rsidR="00FB10FC" w:rsidRPr="008F1795">
        <w:rPr>
          <w:lang w:val="tr-TR"/>
        </w:rPr>
        <w:t xml:space="preserve">. </w:t>
      </w:r>
      <w:r w:rsidR="00241305" w:rsidRPr="008F1795">
        <w:rPr>
          <w:lang w:val="tr-TR"/>
        </w:rPr>
        <w:t>Madde</w:t>
      </w:r>
      <w:r w:rsidRPr="008F1795">
        <w:rPr>
          <w:lang w:val="tr-TR"/>
        </w:rPr>
        <w:t xml:space="preserve"> (</w:t>
      </w:r>
      <w:r w:rsidR="00FB10FC" w:rsidRPr="008F1795">
        <w:rPr>
          <w:lang w:val="tr-TR"/>
        </w:rPr>
        <w:t>Cumhurbaşkanına Hakaret</w:t>
      </w:r>
      <w:r w:rsidRPr="008F1795">
        <w:rPr>
          <w:lang w:val="tr-TR"/>
        </w:rPr>
        <w:t>)</w:t>
      </w:r>
    </w:p>
    <w:p w14:paraId="171C53FB" w14:textId="77777777" w:rsidR="00B74CEA" w:rsidRPr="008F1795" w:rsidRDefault="00B74CEA">
      <w:pPr>
        <w:pStyle w:val="GvdeMetni"/>
        <w:spacing w:before="1"/>
        <w:rPr>
          <w:b/>
          <w:lang w:val="tr-TR"/>
        </w:rPr>
      </w:pPr>
    </w:p>
    <w:p w14:paraId="7EB3A902" w14:textId="17059EF1" w:rsidR="00D53BD8" w:rsidRPr="008F1795" w:rsidRDefault="00D53BD8">
      <w:pPr>
        <w:pStyle w:val="ListeParagraf"/>
        <w:numPr>
          <w:ilvl w:val="0"/>
          <w:numId w:val="4"/>
        </w:numPr>
        <w:tabs>
          <w:tab w:val="left" w:pos="703"/>
        </w:tabs>
        <w:ind w:right="214" w:firstLine="0"/>
        <w:rPr>
          <w:lang w:val="tr-TR"/>
        </w:rPr>
      </w:pPr>
      <w:r w:rsidRPr="008F1795">
        <w:rPr>
          <w:lang w:val="tr-TR"/>
        </w:rPr>
        <w:t xml:space="preserve">Ceza Kanununun 299. </w:t>
      </w:r>
      <w:r w:rsidR="00241305" w:rsidRPr="008F1795">
        <w:rPr>
          <w:lang w:val="tr-TR"/>
        </w:rPr>
        <w:t>Madde</w:t>
      </w:r>
      <w:r w:rsidRPr="008F1795">
        <w:rPr>
          <w:lang w:val="tr-TR"/>
        </w:rPr>
        <w:t>si</w:t>
      </w:r>
      <w:r w:rsidR="005B6E77" w:rsidRPr="008F1795">
        <w:rPr>
          <w:lang w:val="tr-TR"/>
        </w:rPr>
        <w:t xml:space="preserve"> Cumhurbaşkanına hakareti suç saymaktadır. Bu </w:t>
      </w:r>
      <w:r w:rsidR="00241305" w:rsidRPr="008F1795">
        <w:rPr>
          <w:lang w:val="tr-TR"/>
        </w:rPr>
        <w:t>madde</w:t>
      </w:r>
      <w:r w:rsidR="005B6E77" w:rsidRPr="008F1795">
        <w:rPr>
          <w:lang w:val="tr-TR"/>
        </w:rPr>
        <w:t xml:space="preserve">, eski Ceza Kanununun 158. </w:t>
      </w:r>
      <w:r w:rsidR="00241305" w:rsidRPr="008F1795">
        <w:rPr>
          <w:lang w:val="tr-TR"/>
        </w:rPr>
        <w:t>Madde</w:t>
      </w:r>
      <w:r w:rsidR="005B6E77" w:rsidRPr="008F1795">
        <w:rPr>
          <w:lang w:val="tr-TR"/>
        </w:rPr>
        <w:t xml:space="preserve">si yerine getirilmiştir. </w:t>
      </w:r>
      <w:r w:rsidR="00D927CD" w:rsidRPr="008F1795">
        <w:rPr>
          <w:lang w:val="tr-TR"/>
        </w:rPr>
        <w:t xml:space="preserve">Cumhurbaşkanına hakareti suçu, Türk Ceza Kanununun </w:t>
      </w:r>
      <w:r w:rsidR="000208A4" w:rsidRPr="008F1795">
        <w:rPr>
          <w:lang w:val="tr-TR"/>
        </w:rPr>
        <w:t>“Millete ve Devlete Karşı Suçlar ve Son Hükümler” başlıklı IV. Kısmının, “Devletin Egemenlik Alametlerine ve Organlarının Saygınlığına Karşı Suçlar” başlıklı III. Bölüm</w:t>
      </w:r>
      <w:r w:rsidR="00EC0E87" w:rsidRPr="008F1795">
        <w:rPr>
          <w:lang w:val="tr-TR"/>
        </w:rPr>
        <w:t xml:space="preserve">ünde düzenlenmektedir. </w:t>
      </w:r>
    </w:p>
    <w:p w14:paraId="5FFA27E6" w14:textId="1AD97A86" w:rsidR="00A11946" w:rsidRPr="008F1795" w:rsidRDefault="00A11946" w:rsidP="00A11946">
      <w:pPr>
        <w:pStyle w:val="ListeParagraf"/>
        <w:tabs>
          <w:tab w:val="left" w:pos="703"/>
        </w:tabs>
        <w:ind w:right="214"/>
        <w:rPr>
          <w:lang w:val="tr-TR"/>
        </w:rPr>
      </w:pPr>
    </w:p>
    <w:p w14:paraId="389EC69A" w14:textId="71ABCBD4" w:rsidR="006839C2" w:rsidRPr="008F1795" w:rsidRDefault="00C153C5" w:rsidP="006839C2">
      <w:pPr>
        <w:pStyle w:val="ListeParagraf"/>
        <w:numPr>
          <w:ilvl w:val="0"/>
          <w:numId w:val="4"/>
        </w:numPr>
        <w:tabs>
          <w:tab w:val="left" w:pos="732"/>
        </w:tabs>
        <w:ind w:firstLine="0"/>
        <w:rPr>
          <w:i/>
          <w:iCs/>
          <w:lang w:val="tr-TR"/>
        </w:rPr>
      </w:pPr>
      <w:r w:rsidRPr="008F1795">
        <w:rPr>
          <w:lang w:val="tr-TR"/>
        </w:rPr>
        <w:t xml:space="preserve">Yetkililerin heyete sunduğu açıklayıcı notta, Cumhurbaşkanının, </w:t>
      </w:r>
      <w:r w:rsidR="00A36E44" w:rsidRPr="008F1795">
        <w:rPr>
          <w:lang w:val="tr-TR"/>
        </w:rPr>
        <w:t xml:space="preserve">T.C. Anayasasına göre, Anayasanın uygulanmasını ve Devlet organlarının düzenli ve uyumlu işleyişini güvence altına almak gibi </w:t>
      </w:r>
      <w:r w:rsidR="00EC2D61" w:rsidRPr="008F1795">
        <w:rPr>
          <w:lang w:val="tr-TR"/>
        </w:rPr>
        <w:t xml:space="preserve">önemli görevleri ve yetkileri bulunmaktadır ve görevi itibariyle Devleti temsil etmektedir. Bu nedenle, </w:t>
      </w:r>
      <w:r w:rsidR="00CE5141" w:rsidRPr="008F1795">
        <w:rPr>
          <w:lang w:val="tr-TR"/>
        </w:rPr>
        <w:t xml:space="preserve">Cumhurbaşkanına hakaret etmek, Ceza Kanununda “Devlet kuvvetlerine” karşı işlenen bir suç olarak değerlendirilmektedir. </w:t>
      </w:r>
      <w:r w:rsidR="00485BEC" w:rsidRPr="008F1795">
        <w:rPr>
          <w:lang w:val="tr-TR"/>
        </w:rPr>
        <w:t>Bunun yanı sıra</w:t>
      </w:r>
      <w:r w:rsidR="00CE5141" w:rsidRPr="008F1795">
        <w:rPr>
          <w:lang w:val="tr-TR"/>
        </w:rPr>
        <w:t xml:space="preserve">, </w:t>
      </w:r>
      <w:r w:rsidR="00485BEC" w:rsidRPr="008F1795">
        <w:rPr>
          <w:lang w:val="tr-TR"/>
        </w:rPr>
        <w:t xml:space="preserve">299. </w:t>
      </w:r>
      <w:r w:rsidR="00241305" w:rsidRPr="008F1795">
        <w:rPr>
          <w:lang w:val="tr-TR"/>
        </w:rPr>
        <w:t>Madde</w:t>
      </w:r>
      <w:r w:rsidR="00485BEC" w:rsidRPr="008F1795">
        <w:rPr>
          <w:lang w:val="tr-TR"/>
        </w:rPr>
        <w:t xml:space="preserve">de “hakaret” tanımlanmamakla birlikte, </w:t>
      </w:r>
      <w:r w:rsidR="00F96F3C" w:rsidRPr="008F1795">
        <w:rPr>
          <w:lang w:val="tr-TR"/>
        </w:rPr>
        <w:t xml:space="preserve">125. </w:t>
      </w:r>
      <w:r w:rsidR="00241305" w:rsidRPr="008F1795">
        <w:rPr>
          <w:lang w:val="tr-TR"/>
        </w:rPr>
        <w:t>Madde</w:t>
      </w:r>
      <w:r w:rsidR="00F96F3C" w:rsidRPr="008F1795">
        <w:rPr>
          <w:lang w:val="tr-TR"/>
        </w:rPr>
        <w:t>de</w:t>
      </w:r>
      <w:r w:rsidR="000F3F62" w:rsidRPr="008F1795">
        <w:rPr>
          <w:lang w:val="tr-TR"/>
        </w:rPr>
        <w:t>ki genel hükümde</w:t>
      </w:r>
      <w:r w:rsidR="00F96F3C" w:rsidRPr="008F1795">
        <w:rPr>
          <w:lang w:val="tr-TR"/>
        </w:rPr>
        <w:t xml:space="preserve"> </w:t>
      </w:r>
      <w:r w:rsidR="000F3F62" w:rsidRPr="008F1795">
        <w:rPr>
          <w:lang w:val="tr-TR"/>
        </w:rPr>
        <w:t>yer alan</w:t>
      </w:r>
      <w:r w:rsidR="00F96F3C" w:rsidRPr="008F1795">
        <w:rPr>
          <w:lang w:val="tr-TR"/>
        </w:rPr>
        <w:t xml:space="preserve"> “hakaret” </w:t>
      </w:r>
      <w:r w:rsidR="000F3F62" w:rsidRPr="008F1795">
        <w:rPr>
          <w:lang w:val="tr-TR"/>
        </w:rPr>
        <w:t>tanımı</w:t>
      </w:r>
      <w:r w:rsidR="00797854" w:rsidRPr="008F1795">
        <w:rPr>
          <w:lang w:val="tr-TR"/>
        </w:rPr>
        <w:t xml:space="preserve"> (“Şerefe karşı suçlar”</w:t>
      </w:r>
      <w:r w:rsidR="00536522" w:rsidRPr="008F1795">
        <w:rPr>
          <w:lang w:val="tr-TR"/>
        </w:rPr>
        <w:t xml:space="preserve"> başlığı altında)</w:t>
      </w:r>
      <w:r w:rsidR="000F3F62" w:rsidRPr="008F1795">
        <w:rPr>
          <w:lang w:val="tr-TR"/>
        </w:rPr>
        <w:t xml:space="preserve">, 299. </w:t>
      </w:r>
      <w:r w:rsidR="00241305" w:rsidRPr="008F1795">
        <w:rPr>
          <w:lang w:val="tr-TR"/>
        </w:rPr>
        <w:t>Madde</w:t>
      </w:r>
      <w:r w:rsidR="000F3F62" w:rsidRPr="008F1795">
        <w:rPr>
          <w:lang w:val="tr-TR"/>
        </w:rPr>
        <w:t>yi uygu</w:t>
      </w:r>
      <w:r w:rsidR="00536522" w:rsidRPr="008F1795">
        <w:rPr>
          <w:lang w:val="tr-TR"/>
        </w:rPr>
        <w:t>lanırken</w:t>
      </w:r>
      <w:r w:rsidR="000F3F62" w:rsidRPr="008F1795">
        <w:rPr>
          <w:lang w:val="tr-TR"/>
        </w:rPr>
        <w:t xml:space="preserve"> kullanılmaktadır</w:t>
      </w:r>
      <w:r w:rsidR="0048664E" w:rsidRPr="008F1795">
        <w:rPr>
          <w:lang w:val="tr-TR"/>
        </w:rPr>
        <w:t xml:space="preserve">. 125. </w:t>
      </w:r>
      <w:r w:rsidR="00241305" w:rsidRPr="008F1795">
        <w:rPr>
          <w:lang w:val="tr-TR"/>
        </w:rPr>
        <w:t>Madde</w:t>
      </w:r>
      <w:r w:rsidR="0048664E" w:rsidRPr="008F1795">
        <w:rPr>
          <w:lang w:val="tr-TR"/>
        </w:rPr>
        <w:t>ye göre</w:t>
      </w:r>
      <w:r w:rsidR="007B7412" w:rsidRPr="008F1795">
        <w:rPr>
          <w:lang w:val="tr-TR"/>
        </w:rPr>
        <w:t xml:space="preserve"> hakaret, “</w:t>
      </w:r>
      <w:r w:rsidR="007B7412" w:rsidRPr="008F1795">
        <w:rPr>
          <w:i/>
          <w:iCs/>
          <w:lang w:val="tr-TR"/>
        </w:rPr>
        <w:t>Bir kimseye onur, şeref ve saygınlığını rencide edebilecek nitelikte somut bir fiil veya olgu isnat e</w:t>
      </w:r>
      <w:r w:rsidR="006839C2" w:rsidRPr="008F1795">
        <w:rPr>
          <w:i/>
          <w:iCs/>
          <w:lang w:val="tr-TR"/>
        </w:rPr>
        <w:t xml:space="preserve">tmek </w:t>
      </w:r>
      <w:r w:rsidR="007B7412" w:rsidRPr="008F1795">
        <w:rPr>
          <w:i/>
          <w:iCs/>
          <w:lang w:val="tr-TR"/>
        </w:rPr>
        <w:t>veya sövmek suretiyle bir kimsenin onur, şeref ve saygınlığına saldır</w:t>
      </w:r>
      <w:r w:rsidR="006839C2" w:rsidRPr="008F1795">
        <w:rPr>
          <w:i/>
          <w:iCs/>
          <w:lang w:val="tr-TR"/>
        </w:rPr>
        <w:t xml:space="preserve">maktır”. </w:t>
      </w:r>
    </w:p>
    <w:p w14:paraId="0EDE5BEF" w14:textId="77777777" w:rsidR="00C153C5" w:rsidRPr="008F1795" w:rsidRDefault="00C153C5" w:rsidP="00C153C5">
      <w:pPr>
        <w:pStyle w:val="ListeParagraf"/>
        <w:tabs>
          <w:tab w:val="left" w:pos="732"/>
        </w:tabs>
        <w:rPr>
          <w:lang w:val="tr-TR"/>
        </w:rPr>
      </w:pPr>
    </w:p>
    <w:p w14:paraId="2A217019" w14:textId="0FEC8433" w:rsidR="00867450" w:rsidRPr="008F1795" w:rsidRDefault="00591705" w:rsidP="00E85D1E">
      <w:pPr>
        <w:pStyle w:val="ListeParagraf"/>
        <w:numPr>
          <w:ilvl w:val="0"/>
          <w:numId w:val="4"/>
        </w:numPr>
        <w:tabs>
          <w:tab w:val="left" w:pos="635"/>
        </w:tabs>
        <w:ind w:firstLine="0"/>
        <w:rPr>
          <w:lang w:val="tr-TR"/>
        </w:rPr>
      </w:pPr>
      <w:r w:rsidRPr="008F1795">
        <w:rPr>
          <w:lang w:val="tr-TR"/>
        </w:rPr>
        <w:t xml:space="preserve">299. </w:t>
      </w:r>
      <w:r w:rsidR="00241305" w:rsidRPr="008F1795">
        <w:rPr>
          <w:lang w:val="tr-TR"/>
        </w:rPr>
        <w:t>Madde</w:t>
      </w:r>
      <w:r w:rsidRPr="008F1795">
        <w:rPr>
          <w:lang w:val="tr-TR"/>
        </w:rPr>
        <w:t xml:space="preserve">nin 3. </w:t>
      </w:r>
      <w:r w:rsidR="00EC6225" w:rsidRPr="008F1795">
        <w:rPr>
          <w:lang w:val="tr-TR"/>
        </w:rPr>
        <w:t>Fıkra</w:t>
      </w:r>
      <w:r w:rsidRPr="008F1795">
        <w:rPr>
          <w:lang w:val="tr-TR"/>
        </w:rPr>
        <w:t>sına göre, “</w:t>
      </w:r>
      <w:r w:rsidRPr="008F1795">
        <w:rPr>
          <w:i/>
          <w:iCs/>
          <w:lang w:val="tr-TR"/>
        </w:rPr>
        <w:t>Bu suçtan dolayı kovuşturma yapılması, Adalet Bakanının iznine bağlıdır</w:t>
      </w:r>
      <w:r w:rsidRPr="008F1795">
        <w:rPr>
          <w:lang w:val="tr-TR"/>
        </w:rPr>
        <w:t>.</w:t>
      </w:r>
      <w:r w:rsidR="000D332C" w:rsidRPr="008F1795">
        <w:rPr>
          <w:lang w:val="tr-TR"/>
        </w:rPr>
        <w:t xml:space="preserve">” </w:t>
      </w:r>
      <w:r w:rsidR="00E50203" w:rsidRPr="008F1795">
        <w:rPr>
          <w:lang w:val="tr-TR"/>
        </w:rPr>
        <w:t xml:space="preserve">Bu </w:t>
      </w:r>
      <w:r w:rsidR="00241305" w:rsidRPr="008F1795">
        <w:rPr>
          <w:lang w:val="tr-TR"/>
        </w:rPr>
        <w:t>madde</w:t>
      </w:r>
      <w:r w:rsidR="00E50203" w:rsidRPr="008F1795">
        <w:rPr>
          <w:lang w:val="tr-TR"/>
        </w:rPr>
        <w:t xml:space="preserve"> </w:t>
      </w:r>
      <w:r w:rsidR="00687309" w:rsidRPr="008F1795">
        <w:rPr>
          <w:lang w:val="tr-TR"/>
        </w:rPr>
        <w:t>hükmü, “</w:t>
      </w:r>
      <w:r w:rsidR="00687309" w:rsidRPr="008F1795">
        <w:rPr>
          <w:i/>
          <w:iCs/>
          <w:lang w:val="tr-TR"/>
        </w:rPr>
        <w:t>Bu suçtan dolayı soruşturma yapılması, Adalet Bakanının iznine bağlıdır</w:t>
      </w:r>
      <w:r w:rsidR="00687309" w:rsidRPr="008F1795">
        <w:rPr>
          <w:lang w:val="tr-TR"/>
        </w:rPr>
        <w:t xml:space="preserve">” diye belirten 301. </w:t>
      </w:r>
      <w:r w:rsidR="00241305" w:rsidRPr="008F1795">
        <w:rPr>
          <w:lang w:val="tr-TR"/>
        </w:rPr>
        <w:t>Madde</w:t>
      </w:r>
      <w:r w:rsidR="00687309" w:rsidRPr="008F1795">
        <w:rPr>
          <w:lang w:val="tr-TR"/>
        </w:rPr>
        <w:t xml:space="preserve">nin 4. </w:t>
      </w:r>
      <w:r w:rsidR="00EC6225" w:rsidRPr="008F1795">
        <w:rPr>
          <w:lang w:val="tr-TR"/>
        </w:rPr>
        <w:t>Fıkra</w:t>
      </w:r>
      <w:r w:rsidR="00687309" w:rsidRPr="008F1795">
        <w:rPr>
          <w:lang w:val="tr-TR"/>
        </w:rPr>
        <w:t>sına benzemektedir</w:t>
      </w:r>
      <w:r w:rsidR="00177F02" w:rsidRPr="008F1795">
        <w:rPr>
          <w:lang w:val="tr-TR"/>
        </w:rPr>
        <w:t xml:space="preserve">. </w:t>
      </w:r>
      <w:r w:rsidR="00C40BA8" w:rsidRPr="008F1795">
        <w:rPr>
          <w:lang w:val="tr-TR"/>
        </w:rPr>
        <w:t>Adalet Bakanlığının</w:t>
      </w:r>
      <w:r w:rsidR="00DE46C8" w:rsidRPr="008F1795">
        <w:rPr>
          <w:lang w:val="tr-TR"/>
        </w:rPr>
        <w:t xml:space="preserve"> izninin</w:t>
      </w:r>
      <w:r w:rsidR="00C40BA8" w:rsidRPr="008F1795">
        <w:rPr>
          <w:lang w:val="tr-TR"/>
        </w:rPr>
        <w:t xml:space="preserve"> kovuşturma (299. </w:t>
      </w:r>
      <w:r w:rsidR="00241305" w:rsidRPr="008F1795">
        <w:rPr>
          <w:lang w:val="tr-TR"/>
        </w:rPr>
        <w:t>Madde</w:t>
      </w:r>
      <w:r w:rsidR="00C40BA8" w:rsidRPr="008F1795">
        <w:rPr>
          <w:lang w:val="tr-TR"/>
        </w:rPr>
        <w:t>) ya da soruşturma (301.</w:t>
      </w:r>
      <w:r w:rsidR="00241305" w:rsidRPr="008F1795">
        <w:rPr>
          <w:lang w:val="tr-TR"/>
        </w:rPr>
        <w:t>madde</w:t>
      </w:r>
      <w:r w:rsidR="00C40BA8" w:rsidRPr="008F1795">
        <w:rPr>
          <w:lang w:val="tr-TR"/>
        </w:rPr>
        <w:t>)</w:t>
      </w:r>
      <w:r w:rsidR="00DE46C8" w:rsidRPr="008F1795">
        <w:rPr>
          <w:lang w:val="tr-TR"/>
        </w:rPr>
        <w:t xml:space="preserve"> yapmak için şart konulması</w:t>
      </w:r>
      <w:r w:rsidR="008C556E" w:rsidRPr="008F1795">
        <w:rPr>
          <w:lang w:val="tr-TR"/>
        </w:rPr>
        <w:t xml:space="preserve">, AİHM tarafından 301. </w:t>
      </w:r>
      <w:r w:rsidR="00241305" w:rsidRPr="008F1795">
        <w:rPr>
          <w:lang w:val="tr-TR"/>
        </w:rPr>
        <w:t>Madde</w:t>
      </w:r>
      <w:r w:rsidR="008C556E" w:rsidRPr="008F1795">
        <w:rPr>
          <w:lang w:val="tr-TR"/>
        </w:rPr>
        <w:t xml:space="preserve"> bağlamında tartışılmıştır.</w:t>
      </w:r>
      <w:r w:rsidR="008C556E" w:rsidRPr="008F1795">
        <w:rPr>
          <w:rStyle w:val="DipnotBavurusu"/>
          <w:lang w:val="tr-TR"/>
        </w:rPr>
        <w:footnoteReference w:id="50"/>
      </w:r>
      <w:r w:rsidR="008C556E" w:rsidRPr="008F1795">
        <w:rPr>
          <w:lang w:val="tr-TR"/>
        </w:rPr>
        <w:t xml:space="preserve"> </w:t>
      </w:r>
      <w:r w:rsidR="00244AC8" w:rsidRPr="008F1795">
        <w:rPr>
          <w:lang w:val="tr-TR"/>
        </w:rPr>
        <w:t>Dolayısıyla bu Görüşte B</w:t>
      </w:r>
      <w:r w:rsidR="00867450" w:rsidRPr="008F1795">
        <w:rPr>
          <w:lang w:val="tr-TR"/>
        </w:rPr>
        <w:t>akanlıktan izin alma usulü de</w:t>
      </w:r>
      <w:r w:rsidR="00244AC8" w:rsidRPr="008F1795">
        <w:rPr>
          <w:lang w:val="tr-TR"/>
        </w:rPr>
        <w:t xml:space="preserve"> 301. </w:t>
      </w:r>
      <w:r w:rsidR="00241305" w:rsidRPr="008F1795">
        <w:rPr>
          <w:lang w:val="tr-TR"/>
        </w:rPr>
        <w:t>Madde</w:t>
      </w:r>
      <w:r w:rsidR="00244AC8" w:rsidRPr="008F1795">
        <w:rPr>
          <w:lang w:val="tr-TR"/>
        </w:rPr>
        <w:t xml:space="preserve"> çerçevesinde incelenmiştir, ancak </w:t>
      </w:r>
      <w:r w:rsidR="00C7468F" w:rsidRPr="008F1795">
        <w:rPr>
          <w:lang w:val="tr-TR"/>
        </w:rPr>
        <w:t xml:space="preserve">izin alma </w:t>
      </w:r>
      <w:r w:rsidR="00C7468F" w:rsidRPr="008F1795">
        <w:rPr>
          <w:lang w:val="tr-TR"/>
        </w:rPr>
        <w:lastRenderedPageBreak/>
        <w:t xml:space="preserve">usulüne ilişkin yapılan değerlendirmeler, Ceza Kanununun 299(3). </w:t>
      </w:r>
      <w:r w:rsidR="00241305" w:rsidRPr="008F1795">
        <w:rPr>
          <w:lang w:val="tr-TR"/>
        </w:rPr>
        <w:t>Madde</w:t>
      </w:r>
      <w:r w:rsidR="00C7468F" w:rsidRPr="008F1795">
        <w:rPr>
          <w:lang w:val="tr-TR"/>
        </w:rPr>
        <w:t>s</w:t>
      </w:r>
      <w:r w:rsidR="006D03AF">
        <w:rPr>
          <w:lang w:val="tr-TR"/>
        </w:rPr>
        <w:t>i</w:t>
      </w:r>
      <w:r w:rsidR="00C7468F" w:rsidRPr="008F1795">
        <w:rPr>
          <w:lang w:val="tr-TR"/>
        </w:rPr>
        <w:t xml:space="preserve"> için de geçerlidir.</w:t>
      </w:r>
      <w:r w:rsidR="00C7468F" w:rsidRPr="008F1795">
        <w:rPr>
          <w:rStyle w:val="DipnotBavurusu"/>
          <w:lang w:val="tr-TR"/>
        </w:rPr>
        <w:footnoteReference w:id="51"/>
      </w:r>
      <w:r w:rsidR="00C7468F" w:rsidRPr="008F1795">
        <w:rPr>
          <w:lang w:val="tr-TR"/>
        </w:rPr>
        <w:t xml:space="preserve"> </w:t>
      </w:r>
    </w:p>
    <w:p w14:paraId="746C4D82" w14:textId="77777777" w:rsidR="00B74CEA" w:rsidRPr="008F1795" w:rsidRDefault="00B74CEA">
      <w:pPr>
        <w:pStyle w:val="GvdeMetni"/>
        <w:rPr>
          <w:lang w:val="tr-TR"/>
        </w:rPr>
      </w:pPr>
    </w:p>
    <w:p w14:paraId="2913CE6A" w14:textId="61FC501E" w:rsidR="00FD5A70" w:rsidRPr="008F1795" w:rsidRDefault="00FD5A70">
      <w:pPr>
        <w:pStyle w:val="ListeParagraf"/>
        <w:numPr>
          <w:ilvl w:val="0"/>
          <w:numId w:val="4"/>
        </w:numPr>
        <w:tabs>
          <w:tab w:val="left" w:pos="703"/>
        </w:tabs>
        <w:ind w:right="220" w:firstLine="0"/>
        <w:rPr>
          <w:lang w:val="tr-TR"/>
        </w:rPr>
      </w:pPr>
      <w:r w:rsidRPr="008F1795">
        <w:rPr>
          <w:lang w:val="tr-TR"/>
        </w:rPr>
        <w:t xml:space="preserve">216(3). </w:t>
      </w:r>
      <w:r w:rsidR="00241305" w:rsidRPr="008F1795">
        <w:rPr>
          <w:lang w:val="tr-TR"/>
        </w:rPr>
        <w:t>Madde</w:t>
      </w:r>
      <w:r w:rsidR="007D3854" w:rsidRPr="008F1795">
        <w:rPr>
          <w:lang w:val="tr-TR"/>
        </w:rPr>
        <w:t>ye</w:t>
      </w:r>
      <w:r w:rsidRPr="008F1795">
        <w:rPr>
          <w:lang w:val="tr-TR"/>
        </w:rPr>
        <w:t xml:space="preserve"> (dini değerlere hakaret)</w:t>
      </w:r>
      <w:r w:rsidR="007D3854" w:rsidRPr="008F1795">
        <w:rPr>
          <w:lang w:val="tr-TR"/>
        </w:rPr>
        <w:t xml:space="preserve"> </w:t>
      </w:r>
      <w:r w:rsidRPr="008F1795">
        <w:rPr>
          <w:lang w:val="tr-TR"/>
        </w:rPr>
        <w:t xml:space="preserve"> </w:t>
      </w:r>
      <w:r w:rsidR="007D3854" w:rsidRPr="008F1795">
        <w:rPr>
          <w:lang w:val="tr-TR"/>
        </w:rPr>
        <w:t>benzer şekilde</w:t>
      </w:r>
      <w:r w:rsidRPr="008F1795">
        <w:rPr>
          <w:lang w:val="tr-TR"/>
        </w:rPr>
        <w:t xml:space="preserve">, </w:t>
      </w:r>
      <w:r w:rsidR="007D3854" w:rsidRPr="008F1795">
        <w:rPr>
          <w:lang w:val="tr-TR"/>
        </w:rPr>
        <w:t xml:space="preserve">299. </w:t>
      </w:r>
      <w:r w:rsidR="00241305" w:rsidRPr="008F1795">
        <w:rPr>
          <w:lang w:val="tr-TR"/>
        </w:rPr>
        <w:t>Madde</w:t>
      </w:r>
      <w:r w:rsidR="007D3854" w:rsidRPr="008F1795">
        <w:rPr>
          <w:lang w:val="tr-TR"/>
        </w:rPr>
        <w:t xml:space="preserve"> uyarınca yapılan soruşturma ve kovuşturma sayısında da yakın tarihlerde önemli bir artış olduğu görülmektedir. Adalet Bakanlığına göre, </w:t>
      </w:r>
      <w:r w:rsidR="00A054B9" w:rsidRPr="008F1795">
        <w:rPr>
          <w:lang w:val="tr-TR"/>
        </w:rPr>
        <w:t>eski Cumhurbaşkanı Abdullah Gül’ün döneminde, 1359 dava açılmış, ancak bunlardan sadece 545</w:t>
      </w:r>
      <w:r w:rsidR="00C358C4" w:rsidRPr="008F1795">
        <w:rPr>
          <w:lang w:val="tr-TR"/>
        </w:rPr>
        <w:t xml:space="preserve">’i hakkında kovuşturma yapılmış ve hiç kimse yakalanmamıştır. Erdoğan’ın cumhurbaşkanlığının sadece ilk yedi ayında </w:t>
      </w:r>
      <w:r w:rsidR="009D2793" w:rsidRPr="008F1795">
        <w:rPr>
          <w:lang w:val="tr-TR"/>
        </w:rPr>
        <w:t xml:space="preserve">(Ağustos 2014 ve Mart 2015) </w:t>
      </w:r>
      <w:r w:rsidR="00B4339D" w:rsidRPr="008F1795">
        <w:rPr>
          <w:lang w:val="tr-TR"/>
        </w:rPr>
        <w:t xml:space="preserve">299. </w:t>
      </w:r>
      <w:r w:rsidR="00241305" w:rsidRPr="008F1795">
        <w:rPr>
          <w:lang w:val="tr-TR"/>
        </w:rPr>
        <w:t>Madde</w:t>
      </w:r>
      <w:r w:rsidR="00B4339D" w:rsidRPr="008F1795">
        <w:rPr>
          <w:lang w:val="tr-TR"/>
        </w:rPr>
        <w:t xml:space="preserve"> kapsamında </w:t>
      </w:r>
      <w:r w:rsidR="00BA1886" w:rsidRPr="008F1795">
        <w:rPr>
          <w:lang w:val="tr-TR"/>
        </w:rPr>
        <w:t>236 ki</w:t>
      </w:r>
      <w:r w:rsidR="00B4339D" w:rsidRPr="008F1795">
        <w:rPr>
          <w:lang w:val="tr-TR"/>
        </w:rPr>
        <w:t>ş</w:t>
      </w:r>
      <w:r w:rsidR="00BA1886" w:rsidRPr="008F1795">
        <w:rPr>
          <w:lang w:val="tr-TR"/>
        </w:rPr>
        <w:t>i hakk</w:t>
      </w:r>
      <w:r w:rsidR="00B4339D" w:rsidRPr="008F1795">
        <w:rPr>
          <w:lang w:val="tr-TR"/>
        </w:rPr>
        <w:t>ı</w:t>
      </w:r>
      <w:r w:rsidR="00BA1886" w:rsidRPr="008F1795">
        <w:rPr>
          <w:lang w:val="tr-TR"/>
        </w:rPr>
        <w:t>nda soruşturma yürütülmüş, 105 kişi</w:t>
      </w:r>
      <w:r w:rsidR="00B4339D" w:rsidRPr="008F1795">
        <w:rPr>
          <w:lang w:val="tr-TR"/>
        </w:rPr>
        <w:t xml:space="preserve"> itham edilmiş ve 8 kişi resmi olarak yakalanmıştır.</w:t>
      </w:r>
      <w:r w:rsidR="00331BAB" w:rsidRPr="008F1795">
        <w:rPr>
          <w:rStyle w:val="DipnotBavurusu"/>
          <w:lang w:val="tr-TR"/>
        </w:rPr>
        <w:footnoteReference w:id="52"/>
      </w:r>
      <w:r w:rsidR="00331BAB" w:rsidRPr="008F1795">
        <w:rPr>
          <w:lang w:val="tr-TR"/>
        </w:rPr>
        <w:t xml:space="preserve"> Bunun yanı sıra, </w:t>
      </w:r>
      <w:r w:rsidR="00B9787F" w:rsidRPr="008F1795">
        <w:rPr>
          <w:lang w:val="tr-TR"/>
        </w:rPr>
        <w:t>Cumhurbaşkanına hakaret suçuyla kovuşturma başlatma</w:t>
      </w:r>
      <w:r w:rsidR="00F55224" w:rsidRPr="008F1795">
        <w:rPr>
          <w:lang w:val="tr-TR"/>
        </w:rPr>
        <w:t xml:space="preserve"> izni almak</w:t>
      </w:r>
      <w:r w:rsidR="00B9787F" w:rsidRPr="008F1795">
        <w:rPr>
          <w:lang w:val="tr-TR"/>
        </w:rPr>
        <w:t xml:space="preserve"> için </w:t>
      </w:r>
      <w:r w:rsidR="00331BAB" w:rsidRPr="008F1795">
        <w:rPr>
          <w:lang w:val="tr-TR"/>
        </w:rPr>
        <w:t xml:space="preserve">Adalet Bakanlığına </w:t>
      </w:r>
      <w:r w:rsidR="00B9787F" w:rsidRPr="008F1795">
        <w:rPr>
          <w:lang w:val="tr-TR"/>
        </w:rPr>
        <w:t>iletilen</w:t>
      </w:r>
      <w:r w:rsidR="00F55224" w:rsidRPr="008F1795">
        <w:rPr>
          <w:lang w:val="tr-TR"/>
        </w:rPr>
        <w:t xml:space="preserve"> dosya sayısı 2014’te 397 iken, sadece 2015 yılının ilk altı ayında 962’ye çıkmıştır. Adalet Bakanlığı </w:t>
      </w:r>
      <w:r w:rsidR="007952FF" w:rsidRPr="008F1795">
        <w:rPr>
          <w:lang w:val="tr-TR"/>
        </w:rPr>
        <w:t xml:space="preserve">2014 yılında 107 dosyada kovuşturma başlatılmasına izin vermişken, bu rakam </w:t>
      </w:r>
      <w:r w:rsidR="008058BE" w:rsidRPr="008F1795">
        <w:rPr>
          <w:lang w:val="tr-TR"/>
        </w:rPr>
        <w:t xml:space="preserve">2015’in ilk altı ayında 486’ya çıkmıştır. </w:t>
      </w:r>
      <w:r w:rsidR="008058BE" w:rsidRPr="008F1795">
        <w:rPr>
          <w:rStyle w:val="DipnotBavurusu"/>
          <w:lang w:val="tr-TR"/>
        </w:rPr>
        <w:footnoteReference w:id="53"/>
      </w:r>
    </w:p>
    <w:p w14:paraId="486EA504" w14:textId="77777777" w:rsidR="00FD5A70" w:rsidRPr="008F1795" w:rsidRDefault="00FD5A70" w:rsidP="00FD5A70">
      <w:pPr>
        <w:pStyle w:val="ListeParagraf"/>
        <w:tabs>
          <w:tab w:val="left" w:pos="703"/>
        </w:tabs>
        <w:ind w:right="220"/>
        <w:rPr>
          <w:lang w:val="tr-TR"/>
        </w:rPr>
      </w:pPr>
    </w:p>
    <w:p w14:paraId="463D3AC9" w14:textId="2948F798" w:rsidR="00B40B12" w:rsidRPr="008F1795" w:rsidRDefault="0072143F" w:rsidP="00DB3C53">
      <w:pPr>
        <w:pStyle w:val="ListeParagraf"/>
        <w:numPr>
          <w:ilvl w:val="0"/>
          <w:numId w:val="3"/>
        </w:numPr>
        <w:tabs>
          <w:tab w:val="left" w:pos="638"/>
        </w:tabs>
        <w:ind w:right="215" w:hanging="56"/>
        <w:rPr>
          <w:lang w:val="tr-TR"/>
        </w:rPr>
      </w:pPr>
      <w:r w:rsidRPr="008F1795">
        <w:rPr>
          <w:lang w:val="tr-TR"/>
        </w:rPr>
        <w:t xml:space="preserve">Ceza Kanununun 299. </w:t>
      </w:r>
      <w:r w:rsidR="00241305" w:rsidRPr="008F1795">
        <w:rPr>
          <w:lang w:val="tr-TR"/>
        </w:rPr>
        <w:t>Madde</w:t>
      </w:r>
      <w:r w:rsidRPr="008F1795">
        <w:rPr>
          <w:lang w:val="tr-TR"/>
        </w:rPr>
        <w:t xml:space="preserve">si (ve </w:t>
      </w:r>
      <w:r w:rsidR="0075600C">
        <w:rPr>
          <w:lang w:val="tr-TR"/>
        </w:rPr>
        <w:t>eski</w:t>
      </w:r>
      <w:r w:rsidRPr="008F1795">
        <w:rPr>
          <w:lang w:val="tr-TR"/>
        </w:rPr>
        <w:t xml:space="preserve"> Kanunun 158. </w:t>
      </w:r>
      <w:r w:rsidR="00241305" w:rsidRPr="008F1795">
        <w:rPr>
          <w:lang w:val="tr-TR"/>
        </w:rPr>
        <w:t>Madde</w:t>
      </w:r>
      <w:r w:rsidRPr="008F1795">
        <w:rPr>
          <w:lang w:val="tr-TR"/>
        </w:rPr>
        <w:t xml:space="preserve">si) alt derece mahkemeler </w:t>
      </w:r>
      <w:r w:rsidR="00A12AA8" w:rsidRPr="008F1795">
        <w:rPr>
          <w:lang w:val="tr-TR"/>
        </w:rPr>
        <w:t>tarafından</w:t>
      </w:r>
      <w:r w:rsidRPr="008F1795">
        <w:rPr>
          <w:lang w:val="tr-TR"/>
        </w:rPr>
        <w:t xml:space="preserve"> </w:t>
      </w:r>
      <w:r w:rsidR="00A12AA8" w:rsidRPr="008F1795">
        <w:rPr>
          <w:lang w:val="tr-TR"/>
        </w:rPr>
        <w:t>pek çok kez değerlendirilmiştir. 2009’da Yargıtay</w:t>
      </w:r>
      <w:r w:rsidR="007329B6" w:rsidRPr="008F1795">
        <w:rPr>
          <w:rStyle w:val="DipnotBavurusu"/>
          <w:lang w:val="tr-TR"/>
        </w:rPr>
        <w:footnoteReference w:id="54"/>
      </w:r>
      <w:r w:rsidR="00A12AA8" w:rsidRPr="008F1795">
        <w:rPr>
          <w:lang w:val="tr-TR"/>
        </w:rPr>
        <w:t xml:space="preserve">, </w:t>
      </w:r>
      <w:r w:rsidR="00151595" w:rsidRPr="008F1795">
        <w:rPr>
          <w:lang w:val="tr-TR"/>
        </w:rPr>
        <w:t>kamu binalarında İslami başörtüsünü</w:t>
      </w:r>
      <w:r w:rsidR="00D9695F" w:rsidRPr="008F1795">
        <w:rPr>
          <w:lang w:val="tr-TR"/>
        </w:rPr>
        <w:t xml:space="preserve"> giyme yasağında</w:t>
      </w:r>
      <w:r w:rsidR="00596E29" w:rsidRPr="008F1795">
        <w:rPr>
          <w:lang w:val="tr-TR"/>
        </w:rPr>
        <w:t>n</w:t>
      </w:r>
      <w:r w:rsidR="00D9695F" w:rsidRPr="008F1795">
        <w:rPr>
          <w:lang w:val="tr-TR"/>
        </w:rPr>
        <w:t xml:space="preserve"> sorumlu tuttuğu o zamanın Cumhurbaşkanı Ahmet Necdet Sezer’e </w:t>
      </w:r>
      <w:r w:rsidR="00745C0F" w:rsidRPr="008F1795">
        <w:rPr>
          <w:lang w:val="tr-TR"/>
        </w:rPr>
        <w:t xml:space="preserve">yazısında </w:t>
      </w:r>
      <w:r w:rsidR="00D9695F" w:rsidRPr="008F1795">
        <w:rPr>
          <w:lang w:val="tr-TR"/>
        </w:rPr>
        <w:t xml:space="preserve">hakaret ettiği için </w:t>
      </w:r>
      <w:r w:rsidR="007329B6" w:rsidRPr="008F1795">
        <w:rPr>
          <w:lang w:val="tr-TR"/>
        </w:rPr>
        <w:t xml:space="preserve">yaptırım uygulanan bir köşe yazarının davasını incelemiştir. </w:t>
      </w:r>
      <w:r w:rsidR="0048175D" w:rsidRPr="008F1795">
        <w:rPr>
          <w:lang w:val="tr-TR"/>
        </w:rPr>
        <w:t xml:space="preserve">Yargıtay, </w:t>
      </w:r>
      <w:r w:rsidR="00596E29" w:rsidRPr="008F1795">
        <w:rPr>
          <w:lang w:val="tr-TR"/>
        </w:rPr>
        <w:t>cumhurbaşkanın</w:t>
      </w:r>
      <w:r w:rsidR="00693174" w:rsidRPr="008F1795">
        <w:rPr>
          <w:lang w:val="tr-TR"/>
        </w:rPr>
        <w:t>ın aldığı</w:t>
      </w:r>
      <w:r w:rsidR="00745C0F" w:rsidRPr="008F1795">
        <w:rPr>
          <w:lang w:val="tr-TR"/>
        </w:rPr>
        <w:t xml:space="preserve"> bir karara yönelik eleştirinin ifade özgürlüğü</w:t>
      </w:r>
      <w:r w:rsidR="007051B0" w:rsidRPr="008F1795">
        <w:rPr>
          <w:lang w:val="tr-TR"/>
        </w:rPr>
        <w:t>nün korunması kapsamına girmesine rağmen, “</w:t>
      </w:r>
      <w:r w:rsidR="00EF42FA">
        <w:rPr>
          <w:i/>
          <w:iCs/>
          <w:lang w:val="tr-TR"/>
        </w:rPr>
        <w:t>Kına yaksın</w:t>
      </w:r>
      <w:r w:rsidR="007051B0" w:rsidRPr="008F1795">
        <w:rPr>
          <w:i/>
          <w:iCs/>
          <w:lang w:val="tr-TR"/>
        </w:rPr>
        <w:t>”</w:t>
      </w:r>
      <w:r w:rsidR="002632D8" w:rsidRPr="008F1795">
        <w:rPr>
          <w:rStyle w:val="DipnotBavurusu"/>
          <w:i/>
          <w:iCs/>
          <w:lang w:val="tr-TR"/>
        </w:rPr>
        <w:footnoteReference w:id="55"/>
      </w:r>
      <w:r w:rsidR="007051B0" w:rsidRPr="008F1795">
        <w:rPr>
          <w:i/>
          <w:iCs/>
          <w:lang w:val="tr-TR"/>
        </w:rPr>
        <w:t xml:space="preserve"> “</w:t>
      </w:r>
      <w:r w:rsidR="00977C0C" w:rsidRPr="008F1795">
        <w:rPr>
          <w:i/>
          <w:iCs/>
          <w:lang w:val="tr-TR"/>
        </w:rPr>
        <w:t>Türkiye’nin sosyal barışını inanılmaz politikalarla dinamitleyen Çankaya’daki Adam</w:t>
      </w:r>
      <w:r w:rsidR="00925A08" w:rsidRPr="008F1795">
        <w:rPr>
          <w:lang w:val="tr-TR"/>
        </w:rPr>
        <w:t>”</w:t>
      </w:r>
      <w:r w:rsidR="00A6106E" w:rsidRPr="008F1795">
        <w:rPr>
          <w:rStyle w:val="DipnotBavurusu"/>
          <w:lang w:val="tr-TR"/>
        </w:rPr>
        <w:footnoteReference w:id="56"/>
      </w:r>
      <w:r w:rsidR="00F235F6" w:rsidRPr="008F1795">
        <w:rPr>
          <w:lang w:val="tr-TR"/>
        </w:rPr>
        <w:t xml:space="preserve"> gibi </w:t>
      </w:r>
      <w:r w:rsidR="00F81D51" w:rsidRPr="008F1795">
        <w:rPr>
          <w:lang w:val="tr-TR"/>
        </w:rPr>
        <w:t xml:space="preserve">manalı </w:t>
      </w:r>
      <w:r w:rsidR="00F235F6" w:rsidRPr="008F1795">
        <w:rPr>
          <w:lang w:val="tr-TR"/>
        </w:rPr>
        <w:t xml:space="preserve">ifadelerin kullanımının </w:t>
      </w:r>
      <w:r w:rsidR="00693174" w:rsidRPr="008F1795">
        <w:rPr>
          <w:lang w:val="tr-TR"/>
        </w:rPr>
        <w:t xml:space="preserve">korunmayacağına karar vermiştir. </w:t>
      </w:r>
    </w:p>
    <w:p w14:paraId="24ED63AF" w14:textId="77777777" w:rsidR="00F81D51" w:rsidRPr="008F1795" w:rsidRDefault="00F81D51" w:rsidP="00F81D51">
      <w:pPr>
        <w:pStyle w:val="ListeParagraf"/>
        <w:tabs>
          <w:tab w:val="left" w:pos="638"/>
        </w:tabs>
        <w:ind w:right="215"/>
        <w:rPr>
          <w:lang w:val="tr-TR"/>
        </w:rPr>
      </w:pPr>
    </w:p>
    <w:p w14:paraId="5E560752" w14:textId="3F99910E" w:rsidR="00F81D51" w:rsidRPr="008F1795" w:rsidRDefault="008E7F8D">
      <w:pPr>
        <w:pStyle w:val="ListeParagraf"/>
        <w:numPr>
          <w:ilvl w:val="0"/>
          <w:numId w:val="3"/>
        </w:numPr>
        <w:tabs>
          <w:tab w:val="left" w:pos="688"/>
        </w:tabs>
        <w:ind w:right="216" w:firstLine="0"/>
        <w:rPr>
          <w:iCs/>
          <w:lang w:val="tr-TR"/>
        </w:rPr>
      </w:pPr>
      <w:r w:rsidRPr="008F1795">
        <w:rPr>
          <w:lang w:val="tr-TR"/>
        </w:rPr>
        <w:t>AİHM, 2007</w:t>
      </w:r>
      <w:r w:rsidR="008F63C1" w:rsidRPr="008F1795">
        <w:rPr>
          <w:lang w:val="tr-TR"/>
        </w:rPr>
        <w:t xml:space="preserve"> tarihli</w:t>
      </w:r>
      <w:r w:rsidRPr="008F1795">
        <w:rPr>
          <w:lang w:val="tr-TR"/>
        </w:rPr>
        <w:t xml:space="preserve"> </w:t>
      </w:r>
      <w:r w:rsidRPr="008F1795">
        <w:rPr>
          <w:i/>
          <w:lang w:val="tr-TR"/>
        </w:rPr>
        <w:t xml:space="preserve">Artun ve Güvener </w:t>
      </w:r>
      <w:r w:rsidRPr="008F1795">
        <w:rPr>
          <w:lang w:val="tr-TR"/>
        </w:rPr>
        <w:t xml:space="preserve">ile </w:t>
      </w:r>
      <w:r w:rsidRPr="008F1795">
        <w:rPr>
          <w:i/>
          <w:lang w:val="tr-TR"/>
        </w:rPr>
        <w:t xml:space="preserve">Güzel davalarında </w:t>
      </w:r>
      <w:r w:rsidR="006A144E">
        <w:rPr>
          <w:iCs/>
          <w:lang w:val="tr-TR"/>
        </w:rPr>
        <w:t>eski</w:t>
      </w:r>
      <w:r w:rsidRPr="008F1795">
        <w:rPr>
          <w:iCs/>
          <w:lang w:val="tr-TR"/>
        </w:rPr>
        <w:t xml:space="preserve"> Kanunun 158. </w:t>
      </w:r>
      <w:r w:rsidR="00241305" w:rsidRPr="008F1795">
        <w:rPr>
          <w:iCs/>
          <w:lang w:val="tr-TR"/>
        </w:rPr>
        <w:t>Madde</w:t>
      </w:r>
      <w:r w:rsidRPr="008F1795">
        <w:rPr>
          <w:iCs/>
          <w:lang w:val="tr-TR"/>
        </w:rPr>
        <w:t>sinin uygulanışını değerlendirmiştir.</w:t>
      </w:r>
      <w:r w:rsidR="008E78AB" w:rsidRPr="008F1795">
        <w:rPr>
          <w:rStyle w:val="DipnotBavurusu"/>
          <w:iCs/>
          <w:lang w:val="tr-TR"/>
        </w:rPr>
        <w:footnoteReference w:id="57"/>
      </w:r>
      <w:r w:rsidRPr="008F1795">
        <w:rPr>
          <w:iCs/>
          <w:lang w:val="tr-TR"/>
        </w:rPr>
        <w:t xml:space="preserve"> </w:t>
      </w:r>
      <w:r w:rsidR="00850B3A" w:rsidRPr="008F1795">
        <w:rPr>
          <w:iCs/>
          <w:lang w:val="tr-TR"/>
        </w:rPr>
        <w:t xml:space="preserve"> </w:t>
      </w:r>
      <w:r w:rsidR="006B3EB0" w:rsidRPr="008F1795">
        <w:rPr>
          <w:iCs/>
          <w:lang w:val="tr-TR"/>
        </w:rPr>
        <w:t>Mahkeme, 2005</w:t>
      </w:r>
      <w:r w:rsidR="006A144E">
        <w:rPr>
          <w:iCs/>
          <w:lang w:val="tr-TR"/>
        </w:rPr>
        <w:t xml:space="preserve"> tarihli</w:t>
      </w:r>
      <w:r w:rsidR="006B3EB0" w:rsidRPr="008F1795">
        <w:rPr>
          <w:iCs/>
          <w:lang w:val="tr-TR"/>
        </w:rPr>
        <w:t xml:space="preserve"> </w:t>
      </w:r>
      <w:proofErr w:type="spellStart"/>
      <w:r w:rsidR="006B3EB0" w:rsidRPr="008F1795">
        <w:rPr>
          <w:i/>
          <w:lang w:val="tr-TR"/>
        </w:rPr>
        <w:t>Parkemirli</w:t>
      </w:r>
      <w:proofErr w:type="spellEnd"/>
      <w:r w:rsidR="006B3EB0" w:rsidRPr="008F1795">
        <w:rPr>
          <w:i/>
          <w:lang w:val="tr-TR"/>
        </w:rPr>
        <w:t xml:space="preserve"> Davasında</w:t>
      </w:r>
      <w:r w:rsidR="006B3EB0" w:rsidRPr="008F1795">
        <w:rPr>
          <w:iCs/>
          <w:lang w:val="tr-TR"/>
        </w:rPr>
        <w:t xml:space="preserve"> </w:t>
      </w:r>
      <w:r w:rsidR="00A931F7" w:rsidRPr="008F1795">
        <w:rPr>
          <w:iCs/>
          <w:lang w:val="tr-TR"/>
        </w:rPr>
        <w:t>Cumhurbaşkanına hakaret etmenin hukuki sorumluluğu üzerinde durmuştur.</w:t>
      </w:r>
      <w:r w:rsidR="00A931F7" w:rsidRPr="008F1795">
        <w:rPr>
          <w:rStyle w:val="DipnotBavurusu"/>
          <w:iCs/>
          <w:lang w:val="tr-TR"/>
        </w:rPr>
        <w:footnoteReference w:id="58"/>
      </w:r>
      <w:r w:rsidR="00A931F7" w:rsidRPr="008F1795">
        <w:rPr>
          <w:iCs/>
          <w:lang w:val="tr-TR"/>
        </w:rPr>
        <w:t xml:space="preserve"> Her üç davada da Mahkeme, </w:t>
      </w:r>
      <w:r w:rsidR="006F07CA" w:rsidRPr="008F1795">
        <w:rPr>
          <w:iCs/>
          <w:lang w:val="tr-TR"/>
        </w:rPr>
        <w:t xml:space="preserve">Türkiye’nin “demokratik bir toplumda gereklilik” şartını yerine getirmediği için AİHS 10. </w:t>
      </w:r>
      <w:r w:rsidR="00241305" w:rsidRPr="008F1795">
        <w:rPr>
          <w:iCs/>
          <w:lang w:val="tr-TR"/>
        </w:rPr>
        <w:t>Madde</w:t>
      </w:r>
      <w:r w:rsidR="006F07CA" w:rsidRPr="008F1795">
        <w:rPr>
          <w:iCs/>
          <w:lang w:val="tr-TR"/>
        </w:rPr>
        <w:t xml:space="preserve">sinin ihlal edilmiş olduğu kararını vermiştir. </w:t>
      </w:r>
      <w:r w:rsidR="00A931F7" w:rsidRPr="008F1795">
        <w:rPr>
          <w:iCs/>
          <w:lang w:val="tr-TR"/>
        </w:rPr>
        <w:t xml:space="preserve"> </w:t>
      </w:r>
    </w:p>
    <w:p w14:paraId="2856956F" w14:textId="77777777" w:rsidR="00B74CEA" w:rsidRPr="008F1795" w:rsidRDefault="00B74CEA">
      <w:pPr>
        <w:pStyle w:val="GvdeMetni"/>
        <w:rPr>
          <w:lang w:val="tr-TR"/>
        </w:rPr>
      </w:pPr>
    </w:p>
    <w:p w14:paraId="06C231B6" w14:textId="32F0F177" w:rsidR="00B14451" w:rsidRPr="008F1795" w:rsidRDefault="00B14451">
      <w:pPr>
        <w:pStyle w:val="ListeParagraf"/>
        <w:numPr>
          <w:ilvl w:val="0"/>
          <w:numId w:val="3"/>
        </w:numPr>
        <w:tabs>
          <w:tab w:val="left" w:pos="675"/>
        </w:tabs>
        <w:ind w:firstLine="0"/>
        <w:rPr>
          <w:lang w:val="tr-TR"/>
        </w:rPr>
      </w:pPr>
      <w:r w:rsidRPr="008F1795">
        <w:rPr>
          <w:lang w:val="tr-TR"/>
        </w:rPr>
        <w:t xml:space="preserve">Tarihi olarak, Devlet Başkanına hakaret etme suçu çeşitli Avrupa ülkelerinin ceza kanunlarında yer almıştır. </w:t>
      </w:r>
      <w:r w:rsidR="009A38B0" w:rsidRPr="008F1795">
        <w:rPr>
          <w:lang w:val="tr-TR"/>
        </w:rPr>
        <w:t xml:space="preserve">Ancak son yıllarda, </w:t>
      </w:r>
      <w:r w:rsidR="00447D58" w:rsidRPr="008F1795">
        <w:rPr>
          <w:lang w:val="tr-TR"/>
        </w:rPr>
        <w:t>ilgili hükümler</w:t>
      </w:r>
      <w:r w:rsidR="00C1169C" w:rsidRPr="008F1795">
        <w:rPr>
          <w:lang w:val="tr-TR"/>
        </w:rPr>
        <w:t>in uygulanmasında</w:t>
      </w:r>
      <w:r w:rsidR="00C50D02" w:rsidRPr="008F1795">
        <w:rPr>
          <w:lang w:val="tr-TR"/>
        </w:rPr>
        <w:t>n</w:t>
      </w:r>
      <w:r w:rsidR="00C1169C" w:rsidRPr="008F1795">
        <w:rPr>
          <w:lang w:val="tr-TR"/>
        </w:rPr>
        <w:t xml:space="preserve"> kaçınıldığına dair belirgin bir eğilim</w:t>
      </w:r>
      <w:r w:rsidR="00C50D02" w:rsidRPr="008F1795">
        <w:rPr>
          <w:lang w:val="tr-TR"/>
        </w:rPr>
        <w:t xml:space="preserve"> görülmüştür ya da bu hükümler tamamen kaldırılmıştır.</w:t>
      </w:r>
      <w:r w:rsidR="006203CB" w:rsidRPr="008F1795">
        <w:rPr>
          <w:lang w:val="tr-TR"/>
        </w:rPr>
        <w:t xml:space="preserve"> Örneğin Macaristan’da (1994) ve Çek Cumhuriyetinde (1998) </w:t>
      </w:r>
      <w:r w:rsidR="002666C0" w:rsidRPr="008F1795">
        <w:rPr>
          <w:lang w:val="tr-TR"/>
        </w:rPr>
        <w:t>Devlet Başkanına hakaret suç olmaktan ç</w:t>
      </w:r>
      <w:r w:rsidR="005C6A80" w:rsidRPr="008F1795">
        <w:rPr>
          <w:lang w:val="tr-TR"/>
        </w:rPr>
        <w:t>ı</w:t>
      </w:r>
      <w:r w:rsidR="002666C0" w:rsidRPr="008F1795">
        <w:rPr>
          <w:lang w:val="tr-TR"/>
        </w:rPr>
        <w:t xml:space="preserve">karılmıştır. Almanya’da Ceza Kanuna göre </w:t>
      </w:r>
      <w:r w:rsidR="005C6A80" w:rsidRPr="008F1795">
        <w:rPr>
          <w:lang w:val="tr-TR"/>
        </w:rPr>
        <w:t xml:space="preserve">Federal </w:t>
      </w:r>
      <w:r w:rsidR="006C1A8C" w:rsidRPr="008F1795">
        <w:rPr>
          <w:lang w:val="tr-TR"/>
        </w:rPr>
        <w:t>Devlet Başkanın</w:t>
      </w:r>
      <w:r w:rsidR="004219EC" w:rsidRPr="008F1795">
        <w:rPr>
          <w:lang w:val="tr-TR"/>
        </w:rPr>
        <w:t xml:space="preserve">a hakaret suçu </w:t>
      </w:r>
      <w:r w:rsidR="0085455F" w:rsidRPr="008F1795">
        <w:rPr>
          <w:lang w:val="tr-TR"/>
        </w:rPr>
        <w:t>yer almasına</w:t>
      </w:r>
      <w:r w:rsidR="004219EC" w:rsidRPr="008F1795">
        <w:rPr>
          <w:lang w:val="tr-TR"/>
        </w:rPr>
        <w:t xml:space="preserve"> rağmen, 2000’de Federal Anayasa Mahkemesi</w:t>
      </w:r>
      <w:r w:rsidR="0085455F" w:rsidRPr="008F1795">
        <w:rPr>
          <w:lang w:val="tr-TR"/>
        </w:rPr>
        <w:t xml:space="preserve">, haksız bile olsa sert siyasi eleştirinin </w:t>
      </w:r>
      <w:r w:rsidR="008C0DD6" w:rsidRPr="008F1795">
        <w:rPr>
          <w:lang w:val="tr-TR"/>
        </w:rPr>
        <w:t>bu suç kapsamına girmediğini belirtmiştir</w:t>
      </w:r>
      <w:r w:rsidR="008C0DD6" w:rsidRPr="008F1795">
        <w:rPr>
          <w:rStyle w:val="DipnotBavurusu"/>
          <w:lang w:val="tr-TR"/>
        </w:rPr>
        <w:footnoteReference w:id="59"/>
      </w:r>
      <w:r w:rsidR="008C0DD6" w:rsidRPr="008F1795">
        <w:rPr>
          <w:lang w:val="tr-TR"/>
        </w:rPr>
        <w:t xml:space="preserve"> ve bu hüküm nadiren, hatta hiç kullanılmamaktadır. </w:t>
      </w:r>
      <w:r w:rsidR="00720B5D" w:rsidRPr="008F1795">
        <w:rPr>
          <w:lang w:val="tr-TR"/>
        </w:rPr>
        <w:t xml:space="preserve">Hollanda’da Krala ve Kraliyet ailesinin belli bazı üyelerine bilerek hakaret etmek hala suç sayılmasına rağmen, </w:t>
      </w:r>
      <w:r w:rsidR="00AD42DD" w:rsidRPr="008F1795">
        <w:rPr>
          <w:lang w:val="tr-TR"/>
        </w:rPr>
        <w:t xml:space="preserve">bu suç kapsamında en son 1960’lı yıllarda </w:t>
      </w:r>
      <w:r w:rsidR="00C04EA9" w:rsidRPr="008F1795">
        <w:rPr>
          <w:lang w:val="tr-TR"/>
        </w:rPr>
        <w:t>hüküm verilmiştir</w:t>
      </w:r>
      <w:r w:rsidR="00AD42DD" w:rsidRPr="008F1795">
        <w:rPr>
          <w:lang w:val="tr-TR"/>
        </w:rPr>
        <w:t>.</w:t>
      </w:r>
      <w:r w:rsidR="00C04EA9" w:rsidRPr="008F1795">
        <w:rPr>
          <w:lang w:val="tr-TR"/>
        </w:rPr>
        <w:t xml:space="preserve"> Benzer bir durum, Belçika, Yunanistan, Portekiz, Romanya ve İspanya’da </w:t>
      </w:r>
      <w:r w:rsidR="00640EAB">
        <w:rPr>
          <w:lang w:val="tr-TR"/>
        </w:rPr>
        <w:t xml:space="preserve">da </w:t>
      </w:r>
      <w:r w:rsidR="00B44F4D" w:rsidRPr="008F1795">
        <w:rPr>
          <w:lang w:val="tr-TR"/>
        </w:rPr>
        <w:t>mevcuttur. Polonya ve İtalya gibi diğer ülkeler</w:t>
      </w:r>
      <w:r w:rsidR="00640EAB">
        <w:rPr>
          <w:lang w:val="tr-TR"/>
        </w:rPr>
        <w:t>d</w:t>
      </w:r>
      <w:r w:rsidR="00B44F4D" w:rsidRPr="008F1795">
        <w:rPr>
          <w:lang w:val="tr-TR"/>
        </w:rPr>
        <w:t>e, Devlet Başkanına hakaret</w:t>
      </w:r>
      <w:r w:rsidR="00B67244" w:rsidRPr="008F1795">
        <w:rPr>
          <w:lang w:val="tr-TR"/>
        </w:rPr>
        <w:t xml:space="preserve"> ile ilgili cezai hükümler bulunmasına rağmen, mahkemeler </w:t>
      </w:r>
      <w:r w:rsidR="00640EAB">
        <w:rPr>
          <w:lang w:val="tr-TR"/>
        </w:rPr>
        <w:t>yaptırımları</w:t>
      </w:r>
      <w:r w:rsidR="00B67244" w:rsidRPr="008F1795">
        <w:rPr>
          <w:lang w:val="tr-TR"/>
        </w:rPr>
        <w:t xml:space="preserve"> para cezası ile kısıtlı tutmaktadır. Fransa’da, </w:t>
      </w:r>
      <w:r w:rsidR="00233E09" w:rsidRPr="008F1795">
        <w:rPr>
          <w:lang w:val="tr-TR"/>
        </w:rPr>
        <w:t>2000’de Basın Kanunu resmen değiştirilerek, hapis cezasını kaldırılmıştır.</w:t>
      </w:r>
      <w:r w:rsidR="00233E09" w:rsidRPr="008F1795">
        <w:rPr>
          <w:rStyle w:val="DipnotBavurusu"/>
          <w:lang w:val="tr-TR"/>
        </w:rPr>
        <w:footnoteReference w:id="60"/>
      </w:r>
      <w:r w:rsidR="00233E09" w:rsidRPr="008F1795">
        <w:rPr>
          <w:lang w:val="tr-TR"/>
        </w:rPr>
        <w:t xml:space="preserve">  </w:t>
      </w:r>
    </w:p>
    <w:p w14:paraId="64120654" w14:textId="77777777" w:rsidR="005E5213" w:rsidRPr="008F1795" w:rsidRDefault="005E5213" w:rsidP="00B14451">
      <w:pPr>
        <w:pStyle w:val="ListeParagraf"/>
        <w:tabs>
          <w:tab w:val="left" w:pos="675"/>
        </w:tabs>
        <w:rPr>
          <w:lang w:val="tr-TR"/>
        </w:rPr>
      </w:pPr>
    </w:p>
    <w:p w14:paraId="1505954D" w14:textId="18F6E970" w:rsidR="005E5213" w:rsidRPr="008F1795" w:rsidRDefault="005E5213">
      <w:pPr>
        <w:pStyle w:val="ListeParagraf"/>
        <w:numPr>
          <w:ilvl w:val="0"/>
          <w:numId w:val="3"/>
        </w:numPr>
        <w:tabs>
          <w:tab w:val="left" w:pos="655"/>
        </w:tabs>
        <w:ind w:right="214" w:firstLine="0"/>
        <w:rPr>
          <w:lang w:val="tr-TR"/>
        </w:rPr>
      </w:pPr>
      <w:r w:rsidRPr="008F1795">
        <w:rPr>
          <w:iCs/>
          <w:lang w:val="tr-TR"/>
        </w:rPr>
        <w:t>AİHM</w:t>
      </w:r>
      <w:r w:rsidRPr="008F1795">
        <w:rPr>
          <w:i/>
          <w:lang w:val="tr-TR"/>
        </w:rPr>
        <w:t xml:space="preserve">, Artun ve Güvener – Türkiye davasında, </w:t>
      </w:r>
      <w:r w:rsidR="007E4AEF" w:rsidRPr="008F1795">
        <w:rPr>
          <w:iCs/>
          <w:lang w:val="tr-TR"/>
        </w:rPr>
        <w:t>Devlet Başkanların</w:t>
      </w:r>
      <w:r w:rsidR="00985D81" w:rsidRPr="008F1795">
        <w:rPr>
          <w:iCs/>
          <w:lang w:val="tr-TR"/>
        </w:rPr>
        <w:t xml:space="preserve">ı </w:t>
      </w:r>
      <w:r w:rsidR="007E4AEF" w:rsidRPr="008F1795">
        <w:rPr>
          <w:iCs/>
          <w:lang w:val="tr-TR"/>
        </w:rPr>
        <w:t xml:space="preserve">sadece işlevleri ve statüleri </w:t>
      </w:r>
      <w:r w:rsidR="00985D81" w:rsidRPr="008F1795">
        <w:rPr>
          <w:iCs/>
          <w:lang w:val="tr-TR"/>
        </w:rPr>
        <w:t>nedeniyle eleştiriden koruyarak</w:t>
      </w:r>
      <w:r w:rsidR="00A02E5F" w:rsidRPr="008F1795">
        <w:rPr>
          <w:iCs/>
          <w:lang w:val="tr-TR"/>
        </w:rPr>
        <w:t>,</w:t>
      </w:r>
      <w:r w:rsidR="00985D81" w:rsidRPr="008F1795">
        <w:rPr>
          <w:iCs/>
          <w:lang w:val="tr-TR"/>
        </w:rPr>
        <w:t xml:space="preserve"> </w:t>
      </w:r>
      <w:r w:rsidR="007E4AEF" w:rsidRPr="008F1795">
        <w:rPr>
          <w:iCs/>
          <w:lang w:val="tr-TR"/>
        </w:rPr>
        <w:t xml:space="preserve">bir imtiyaz tanınmasının ya da özel koruma sağlanmasının </w:t>
      </w:r>
      <w:r w:rsidR="00985D81" w:rsidRPr="008F1795">
        <w:rPr>
          <w:iCs/>
          <w:lang w:val="tr-TR"/>
        </w:rPr>
        <w:t xml:space="preserve">modern uygulama ve siyasi </w:t>
      </w:r>
      <w:r w:rsidR="004B1514" w:rsidRPr="008F1795">
        <w:rPr>
          <w:iCs/>
          <w:lang w:val="tr-TR"/>
        </w:rPr>
        <w:t>kavramlar</w:t>
      </w:r>
      <w:r w:rsidR="00DE2C27" w:rsidRPr="008F1795">
        <w:rPr>
          <w:iCs/>
          <w:lang w:val="tr-TR"/>
        </w:rPr>
        <w:t xml:space="preserve"> ile </w:t>
      </w:r>
      <w:r w:rsidR="00A02E5F" w:rsidRPr="008F1795">
        <w:rPr>
          <w:iCs/>
          <w:lang w:val="tr-TR"/>
        </w:rPr>
        <w:t>bağdaştırılamayacağı</w:t>
      </w:r>
      <w:r w:rsidR="00895B2F" w:rsidRPr="008F1795">
        <w:rPr>
          <w:iCs/>
          <w:lang w:val="tr-TR"/>
        </w:rPr>
        <w:t>nı belirtmiştir.</w:t>
      </w:r>
      <w:r w:rsidR="00DE2C27" w:rsidRPr="008F1795">
        <w:rPr>
          <w:iCs/>
          <w:lang w:val="tr-TR"/>
        </w:rPr>
        <w:t xml:space="preserve"> </w:t>
      </w:r>
      <w:proofErr w:type="spellStart"/>
      <w:r w:rsidR="00895B2F" w:rsidRPr="008F1795">
        <w:rPr>
          <w:i/>
          <w:lang w:val="tr-TR"/>
        </w:rPr>
        <w:t>Cumpana</w:t>
      </w:r>
      <w:proofErr w:type="spellEnd"/>
      <w:r w:rsidR="00895B2F" w:rsidRPr="008F1795">
        <w:rPr>
          <w:i/>
          <w:lang w:val="tr-TR"/>
        </w:rPr>
        <w:t xml:space="preserve"> ve </w:t>
      </w:r>
      <w:proofErr w:type="spellStart"/>
      <w:r w:rsidR="00895B2F" w:rsidRPr="008F1795">
        <w:rPr>
          <w:i/>
          <w:lang w:val="tr-TR"/>
        </w:rPr>
        <w:t>Mazare</w:t>
      </w:r>
      <w:proofErr w:type="spellEnd"/>
      <w:r w:rsidR="00895B2F" w:rsidRPr="008F1795">
        <w:rPr>
          <w:i/>
          <w:lang w:val="tr-TR"/>
        </w:rPr>
        <w:t xml:space="preserve"> – Romanya davasında</w:t>
      </w:r>
      <w:r w:rsidR="00895B2F" w:rsidRPr="008F1795">
        <w:rPr>
          <w:rStyle w:val="DipnotBavurusu"/>
          <w:i/>
          <w:lang w:val="tr-TR"/>
        </w:rPr>
        <w:footnoteReference w:id="61"/>
      </w:r>
      <w:r w:rsidR="00895B2F" w:rsidRPr="008F1795">
        <w:rPr>
          <w:i/>
          <w:lang w:val="tr-TR"/>
        </w:rPr>
        <w:t xml:space="preserve"> </w:t>
      </w:r>
      <w:r w:rsidR="00895B2F" w:rsidRPr="008F1795">
        <w:rPr>
          <w:iCs/>
          <w:lang w:val="tr-TR"/>
        </w:rPr>
        <w:t>AİHM</w:t>
      </w:r>
      <w:r w:rsidR="00895B2F" w:rsidRPr="008F1795">
        <w:rPr>
          <w:i/>
          <w:lang w:val="tr-TR"/>
        </w:rPr>
        <w:t xml:space="preserve">, </w:t>
      </w:r>
      <w:r w:rsidR="003402D5" w:rsidRPr="008F1795">
        <w:rPr>
          <w:iCs/>
          <w:lang w:val="tr-TR"/>
        </w:rPr>
        <w:t>“</w:t>
      </w:r>
      <w:r w:rsidR="001927BA" w:rsidRPr="008F1795">
        <w:rPr>
          <w:i/>
          <w:lang w:val="tr-TR"/>
        </w:rPr>
        <w:t xml:space="preserve">meşru bir </w:t>
      </w:r>
      <w:r w:rsidR="0071438D" w:rsidRPr="008F1795">
        <w:rPr>
          <w:i/>
          <w:lang w:val="tr-TR"/>
        </w:rPr>
        <w:t>kamu</w:t>
      </w:r>
      <w:r w:rsidR="001927BA" w:rsidRPr="008F1795">
        <w:rPr>
          <w:i/>
          <w:lang w:val="tr-TR"/>
        </w:rPr>
        <w:t xml:space="preserve"> yararını</w:t>
      </w:r>
      <w:r w:rsidR="0071438D" w:rsidRPr="008F1795">
        <w:rPr>
          <w:i/>
          <w:lang w:val="tr-TR"/>
        </w:rPr>
        <w:t xml:space="preserve"> ilgilendiren </w:t>
      </w:r>
      <w:r w:rsidR="001927BA" w:rsidRPr="008F1795">
        <w:rPr>
          <w:i/>
          <w:lang w:val="tr-TR"/>
        </w:rPr>
        <w:t xml:space="preserve">bir </w:t>
      </w:r>
      <w:r w:rsidR="001927BA" w:rsidRPr="008F1795">
        <w:rPr>
          <w:i/>
          <w:lang w:val="tr-TR"/>
        </w:rPr>
        <w:lastRenderedPageBreak/>
        <w:t>mesele</w:t>
      </w:r>
      <w:r w:rsidR="00221ACC" w:rsidRPr="008F1795">
        <w:rPr>
          <w:i/>
          <w:lang w:val="tr-TR"/>
        </w:rPr>
        <w:t>nin tartışılması bağlamında bir birey</w:t>
      </w:r>
      <w:r w:rsidR="00342DD9" w:rsidRPr="008F1795">
        <w:rPr>
          <w:i/>
          <w:lang w:val="tr-TR"/>
        </w:rPr>
        <w:t>in hakarete uğradığı</w:t>
      </w:r>
      <w:r w:rsidR="002519F5" w:rsidRPr="008F1795">
        <w:rPr>
          <w:i/>
          <w:lang w:val="tr-TR"/>
        </w:rPr>
        <w:t xml:space="preserve"> klasik bir davada</w:t>
      </w:r>
      <w:r w:rsidR="00A7211B" w:rsidRPr="008F1795">
        <w:rPr>
          <w:i/>
          <w:lang w:val="tr-TR"/>
        </w:rPr>
        <w:t>,</w:t>
      </w:r>
      <w:r w:rsidR="002519F5" w:rsidRPr="008F1795">
        <w:rPr>
          <w:i/>
          <w:lang w:val="tr-TR"/>
        </w:rPr>
        <w:t xml:space="preserve"> hapis cezasının verilmesi için hiçbir şekilde bir gerekçe gösterilemez</w:t>
      </w:r>
      <w:r w:rsidR="008B0C03" w:rsidRPr="008F1795">
        <w:rPr>
          <w:iCs/>
          <w:lang w:val="tr-TR"/>
        </w:rPr>
        <w:t>” kararını vermiştir. Venedik Komisyonu, Azerbaycan Cumhuriyetinin hakarete karşı korunmasına ilişkin mevzuat hakkındaki Görüşünde</w:t>
      </w:r>
      <w:r w:rsidR="006304F3" w:rsidRPr="008F1795">
        <w:rPr>
          <w:iCs/>
          <w:lang w:val="tr-TR"/>
        </w:rPr>
        <w:t xml:space="preserve">, </w:t>
      </w:r>
      <w:r w:rsidR="00D77D1E" w:rsidRPr="008F1795">
        <w:rPr>
          <w:iCs/>
          <w:lang w:val="tr-TR"/>
        </w:rPr>
        <w:t>Azerbaycan Devlet Başkanının onuru</w:t>
      </w:r>
      <w:r w:rsidR="00AA3633" w:rsidRPr="008F1795">
        <w:rPr>
          <w:iCs/>
          <w:lang w:val="tr-TR"/>
        </w:rPr>
        <w:t>nun</w:t>
      </w:r>
      <w:r w:rsidR="00D77D1E" w:rsidRPr="008F1795">
        <w:rPr>
          <w:iCs/>
          <w:lang w:val="tr-TR"/>
        </w:rPr>
        <w:t xml:space="preserve"> ve şerefinin itibarsızlaştırılması ya da aşağılanması</w:t>
      </w:r>
      <w:r w:rsidR="00AA3633" w:rsidRPr="008F1795">
        <w:rPr>
          <w:iCs/>
          <w:lang w:val="tr-TR"/>
        </w:rPr>
        <w:t>na ilişkin</w:t>
      </w:r>
      <w:r w:rsidR="004636BA" w:rsidRPr="008F1795">
        <w:rPr>
          <w:iCs/>
          <w:lang w:val="tr-TR"/>
        </w:rPr>
        <w:t xml:space="preserve"> cezai hükmün </w:t>
      </w:r>
      <w:r w:rsidR="00C242FE" w:rsidRPr="008F1795">
        <w:rPr>
          <w:iCs/>
          <w:lang w:val="tr-TR"/>
        </w:rPr>
        <w:t>kaldırılmaması</w:t>
      </w:r>
      <w:r w:rsidR="00FB66E6" w:rsidRPr="008F1795">
        <w:rPr>
          <w:iCs/>
          <w:lang w:val="tr-TR"/>
        </w:rPr>
        <w:t xml:space="preserve"> halinde, </w:t>
      </w:r>
      <w:r w:rsidR="00FB231B" w:rsidRPr="008F1795">
        <w:rPr>
          <w:iCs/>
          <w:lang w:val="tr-TR"/>
        </w:rPr>
        <w:t>hapis cezasının,</w:t>
      </w:r>
      <w:r w:rsidR="00C242FE" w:rsidRPr="008F1795">
        <w:rPr>
          <w:iCs/>
          <w:lang w:val="tr-TR"/>
        </w:rPr>
        <w:t xml:space="preserve"> </w:t>
      </w:r>
      <w:r w:rsidR="00CA757A" w:rsidRPr="008F1795">
        <w:rPr>
          <w:iCs/>
          <w:lang w:val="tr-TR"/>
        </w:rPr>
        <w:t>örneğin nef</w:t>
      </w:r>
      <w:r w:rsidR="00FB231B" w:rsidRPr="008F1795">
        <w:rPr>
          <w:iCs/>
          <w:lang w:val="tr-TR"/>
        </w:rPr>
        <w:t>r</w:t>
      </w:r>
      <w:r w:rsidR="00CA757A" w:rsidRPr="008F1795">
        <w:rPr>
          <w:iCs/>
          <w:lang w:val="tr-TR"/>
        </w:rPr>
        <w:t xml:space="preserve">et söylemi ya da şiddete </w:t>
      </w:r>
      <w:r w:rsidR="00EB4BA8">
        <w:rPr>
          <w:iCs/>
          <w:lang w:val="tr-TR"/>
        </w:rPr>
        <w:t>tahrik</w:t>
      </w:r>
      <w:r w:rsidR="00CA757A" w:rsidRPr="008F1795">
        <w:rPr>
          <w:iCs/>
          <w:lang w:val="tr-TR"/>
        </w:rPr>
        <w:t xml:space="preserve"> vakalarında olduğu gibi</w:t>
      </w:r>
      <w:r w:rsidR="00FB231B" w:rsidRPr="008F1795">
        <w:rPr>
          <w:iCs/>
          <w:lang w:val="tr-TR"/>
        </w:rPr>
        <w:t>,</w:t>
      </w:r>
      <w:r w:rsidR="00E750FB" w:rsidRPr="008F1795">
        <w:rPr>
          <w:iCs/>
          <w:lang w:val="tr-TR"/>
        </w:rPr>
        <w:t xml:space="preserve"> </w:t>
      </w:r>
      <w:r w:rsidR="00FB231B" w:rsidRPr="008F1795">
        <w:rPr>
          <w:iCs/>
          <w:lang w:val="tr-TR"/>
        </w:rPr>
        <w:t xml:space="preserve">sadece </w:t>
      </w:r>
      <w:r w:rsidR="00E750FB" w:rsidRPr="008F1795">
        <w:rPr>
          <w:iCs/>
          <w:lang w:val="tr-TR"/>
        </w:rPr>
        <w:t xml:space="preserve">diğer temel hakların ağır biçimde </w:t>
      </w:r>
      <w:r w:rsidR="00ED602A" w:rsidRPr="008F1795">
        <w:rPr>
          <w:iCs/>
          <w:lang w:val="tr-TR"/>
        </w:rPr>
        <w:t>ihlal edildiği istisnai koşullar ile sınırlı</w:t>
      </w:r>
      <w:r w:rsidR="00FB231B" w:rsidRPr="008F1795">
        <w:rPr>
          <w:iCs/>
          <w:lang w:val="tr-TR"/>
        </w:rPr>
        <w:t xml:space="preserve"> tutulması</w:t>
      </w:r>
      <w:r w:rsidR="00AA3633" w:rsidRPr="008F1795">
        <w:rPr>
          <w:iCs/>
          <w:lang w:val="tr-TR"/>
        </w:rPr>
        <w:t xml:space="preserve"> gerektiğini belirtmiştir.</w:t>
      </w:r>
      <w:r w:rsidR="00CB75B0" w:rsidRPr="008F1795">
        <w:rPr>
          <w:rStyle w:val="DipnotBavurusu"/>
          <w:iCs/>
          <w:lang w:val="tr-TR"/>
        </w:rPr>
        <w:footnoteReference w:id="62"/>
      </w:r>
      <w:r w:rsidR="00AA3633" w:rsidRPr="008F1795">
        <w:rPr>
          <w:iCs/>
          <w:lang w:val="tr-TR"/>
        </w:rPr>
        <w:t xml:space="preserve"> </w:t>
      </w:r>
      <w:r w:rsidR="00CC4B9B" w:rsidRPr="008F1795">
        <w:rPr>
          <w:iCs/>
          <w:lang w:val="tr-TR"/>
        </w:rPr>
        <w:t xml:space="preserve">ICCPR 19. </w:t>
      </w:r>
      <w:r w:rsidR="00241305" w:rsidRPr="008F1795">
        <w:rPr>
          <w:iCs/>
          <w:lang w:val="tr-TR"/>
        </w:rPr>
        <w:t>Madde</w:t>
      </w:r>
      <w:r w:rsidR="00CC4B9B" w:rsidRPr="008F1795">
        <w:rPr>
          <w:iCs/>
          <w:lang w:val="tr-TR"/>
        </w:rPr>
        <w:t xml:space="preserve">si uyarınca, Birleşmiş Milletler İnsan Hakları Komitesi, </w:t>
      </w:r>
      <w:r w:rsidR="005A61F9" w:rsidRPr="008F1795">
        <w:rPr>
          <w:iCs/>
          <w:lang w:val="tr-TR"/>
        </w:rPr>
        <w:t>“</w:t>
      </w:r>
      <w:r w:rsidR="00D573A2" w:rsidRPr="008F1795">
        <w:rPr>
          <w:iCs/>
          <w:lang w:val="tr-TR"/>
        </w:rPr>
        <w:t>Taraf Devletler, hakareti suç olmaktan çıkar</w:t>
      </w:r>
      <w:r w:rsidR="0086737A" w:rsidRPr="008F1795">
        <w:rPr>
          <w:iCs/>
          <w:lang w:val="tr-TR"/>
        </w:rPr>
        <w:t>mayı düşünmelidir</w:t>
      </w:r>
      <w:r w:rsidR="00D573A2" w:rsidRPr="008F1795">
        <w:rPr>
          <w:iCs/>
          <w:lang w:val="tr-TR"/>
        </w:rPr>
        <w:t xml:space="preserve"> ve her halükarda</w:t>
      </w:r>
      <w:r w:rsidR="00294ED8" w:rsidRPr="008F1795">
        <w:rPr>
          <w:iCs/>
          <w:lang w:val="tr-TR"/>
        </w:rPr>
        <w:t xml:space="preserve"> ancak en ciddi davalarda</w:t>
      </w:r>
      <w:r w:rsidR="00D573A2" w:rsidRPr="008F1795">
        <w:rPr>
          <w:iCs/>
          <w:lang w:val="tr-TR"/>
        </w:rPr>
        <w:t xml:space="preserve"> </w:t>
      </w:r>
      <w:r w:rsidR="00D31313" w:rsidRPr="008F1795">
        <w:rPr>
          <w:iCs/>
          <w:lang w:val="tr-TR"/>
        </w:rPr>
        <w:t>ceza hukuku</w:t>
      </w:r>
      <w:r w:rsidR="003346C5">
        <w:rPr>
          <w:iCs/>
          <w:lang w:val="tr-TR"/>
        </w:rPr>
        <w:t xml:space="preserve"> </w:t>
      </w:r>
      <w:r w:rsidR="00D31313" w:rsidRPr="008F1795">
        <w:rPr>
          <w:iCs/>
          <w:lang w:val="tr-TR"/>
        </w:rPr>
        <w:t>uygulanma</w:t>
      </w:r>
      <w:r w:rsidR="003346C5">
        <w:rPr>
          <w:iCs/>
          <w:lang w:val="tr-TR"/>
        </w:rPr>
        <w:t>lıdır</w:t>
      </w:r>
      <w:r w:rsidR="00D31313" w:rsidRPr="008F1795">
        <w:rPr>
          <w:iCs/>
          <w:lang w:val="tr-TR"/>
        </w:rPr>
        <w:t xml:space="preserve">; </w:t>
      </w:r>
      <w:r w:rsidR="00007AA7" w:rsidRPr="008F1795">
        <w:rPr>
          <w:iCs/>
          <w:lang w:val="tr-TR"/>
        </w:rPr>
        <w:t xml:space="preserve">hakaret için </w:t>
      </w:r>
      <w:r w:rsidR="00D31313" w:rsidRPr="008F1795">
        <w:rPr>
          <w:iCs/>
          <w:lang w:val="tr-TR"/>
        </w:rPr>
        <w:t>hapis cezası asla uygun bir cezalandırma değildir”</w:t>
      </w:r>
      <w:r w:rsidR="0086737A" w:rsidRPr="008F1795">
        <w:rPr>
          <w:iCs/>
          <w:lang w:val="tr-TR"/>
        </w:rPr>
        <w:t xml:space="preserve"> </w:t>
      </w:r>
      <w:r w:rsidR="00007AA7" w:rsidRPr="008F1795">
        <w:rPr>
          <w:iCs/>
          <w:lang w:val="tr-TR"/>
        </w:rPr>
        <w:t>diye belirtmiştir.</w:t>
      </w:r>
      <w:r w:rsidR="00296685" w:rsidRPr="008F1795">
        <w:rPr>
          <w:rStyle w:val="DipnotBavurusu"/>
          <w:iCs/>
          <w:lang w:val="tr-TR"/>
        </w:rPr>
        <w:footnoteReference w:id="63"/>
      </w:r>
    </w:p>
    <w:p w14:paraId="5A1A93E4" w14:textId="77777777" w:rsidR="005E5213" w:rsidRPr="008F1795" w:rsidRDefault="005E5213" w:rsidP="005E5213">
      <w:pPr>
        <w:pStyle w:val="ListeParagraf"/>
        <w:tabs>
          <w:tab w:val="left" w:pos="655"/>
        </w:tabs>
        <w:ind w:right="214"/>
        <w:rPr>
          <w:lang w:val="tr-TR"/>
        </w:rPr>
      </w:pPr>
    </w:p>
    <w:p w14:paraId="2D3E7B0C" w14:textId="4E8532E2" w:rsidR="005A5960" w:rsidRPr="008F1795" w:rsidRDefault="003F4B87">
      <w:pPr>
        <w:pStyle w:val="ListeParagraf"/>
        <w:numPr>
          <w:ilvl w:val="0"/>
          <w:numId w:val="3"/>
        </w:numPr>
        <w:tabs>
          <w:tab w:val="left" w:pos="669"/>
        </w:tabs>
        <w:ind w:firstLine="0"/>
        <w:rPr>
          <w:lang w:val="tr-TR"/>
        </w:rPr>
      </w:pPr>
      <w:r w:rsidRPr="008F1795">
        <w:rPr>
          <w:lang w:val="tr-TR"/>
        </w:rPr>
        <w:t>Avrupa’daki gelişmeler</w:t>
      </w:r>
      <w:r w:rsidR="00C44F34" w:rsidRPr="008F1795">
        <w:rPr>
          <w:lang w:val="tr-TR"/>
        </w:rPr>
        <w:t xml:space="preserve">e bakıldığında, devletlerin ya Devlet Başkanına hakareti suç saymaktan çıkarması gerektiği ya da </w:t>
      </w:r>
      <w:r w:rsidR="00B8264D" w:rsidRPr="008F1795">
        <w:rPr>
          <w:lang w:val="tr-TR"/>
        </w:rPr>
        <w:t xml:space="preserve">bu suçu ancak Devlet Başkanlarına karşı yapılan en ciddi sözel saldırılar ile sınırlı </w:t>
      </w:r>
      <w:r w:rsidR="00663D58" w:rsidRPr="008F1795">
        <w:rPr>
          <w:lang w:val="tr-TR"/>
        </w:rPr>
        <w:t xml:space="preserve">tutarak, </w:t>
      </w:r>
      <w:r w:rsidR="00B8264D" w:rsidRPr="008F1795">
        <w:rPr>
          <w:lang w:val="tr-TR"/>
        </w:rPr>
        <w:t xml:space="preserve">aynı zamanda </w:t>
      </w:r>
      <w:r w:rsidR="00EB3357" w:rsidRPr="008F1795">
        <w:rPr>
          <w:lang w:val="tr-TR"/>
        </w:rPr>
        <w:t>yaptırımların kapsamını hapis cezası içermeyecek şekilde kısıtl</w:t>
      </w:r>
      <w:r w:rsidR="00663D58" w:rsidRPr="008F1795">
        <w:rPr>
          <w:lang w:val="tr-TR"/>
        </w:rPr>
        <w:t xml:space="preserve">aması gerektiği yönünde bir fikir birliğinin ortaya çıktığı görülmektedir. </w:t>
      </w:r>
      <w:r w:rsidR="00BD518E" w:rsidRPr="008F1795">
        <w:rPr>
          <w:lang w:val="tr-TR"/>
        </w:rPr>
        <w:t xml:space="preserve">Ceza Kanununun 299. </w:t>
      </w:r>
      <w:r w:rsidR="00241305" w:rsidRPr="008F1795">
        <w:rPr>
          <w:lang w:val="tr-TR"/>
        </w:rPr>
        <w:t>Madde</w:t>
      </w:r>
      <w:r w:rsidR="00BD518E" w:rsidRPr="008F1795">
        <w:rPr>
          <w:lang w:val="tr-TR"/>
        </w:rPr>
        <w:t>sin</w:t>
      </w:r>
      <w:r w:rsidR="00D8755A" w:rsidRPr="008F1795">
        <w:rPr>
          <w:lang w:val="tr-TR"/>
        </w:rPr>
        <w:t xml:space="preserve">e </w:t>
      </w:r>
      <w:r w:rsidR="00A36645" w:rsidRPr="008F1795">
        <w:rPr>
          <w:lang w:val="tr-TR"/>
        </w:rPr>
        <w:t xml:space="preserve">göre </w:t>
      </w:r>
      <w:r w:rsidR="00563B60" w:rsidRPr="008F1795">
        <w:rPr>
          <w:lang w:val="tr-TR"/>
        </w:rPr>
        <w:t>Cumhurbaşkanına hakaret eden kişiye (</w:t>
      </w:r>
      <w:r w:rsidR="00A36645" w:rsidRPr="008F1795">
        <w:rPr>
          <w:lang w:val="tr-TR"/>
        </w:rPr>
        <w:t>asgari</w:t>
      </w:r>
      <w:r w:rsidR="00563B60" w:rsidRPr="008F1795">
        <w:rPr>
          <w:lang w:val="tr-TR"/>
        </w:rPr>
        <w:t>)</w:t>
      </w:r>
      <w:r w:rsidR="00A36645" w:rsidRPr="008F1795">
        <w:rPr>
          <w:lang w:val="tr-TR"/>
        </w:rPr>
        <w:t xml:space="preserve"> bir yıl ile dört yıl arasında hapis cezası </w:t>
      </w:r>
      <w:proofErr w:type="gramStart"/>
      <w:r w:rsidR="00563B60" w:rsidRPr="008F1795">
        <w:rPr>
          <w:lang w:val="tr-TR"/>
        </w:rPr>
        <w:t>verilmekte;</w:t>
      </w:r>
      <w:proofErr w:type="gramEnd"/>
      <w:r w:rsidR="00563B60" w:rsidRPr="008F1795">
        <w:rPr>
          <w:lang w:val="tr-TR"/>
        </w:rPr>
        <w:t xml:space="preserve"> ve </w:t>
      </w:r>
      <w:r w:rsidR="00C35E8D" w:rsidRPr="008F1795">
        <w:rPr>
          <w:lang w:val="tr-TR"/>
        </w:rPr>
        <w:t>ceza</w:t>
      </w:r>
      <w:r w:rsidR="00720AAA" w:rsidRPr="008F1795">
        <w:rPr>
          <w:lang w:val="tr-TR"/>
        </w:rPr>
        <w:t>nın</w:t>
      </w:r>
      <w:r w:rsidR="00C35E8D" w:rsidRPr="008F1795">
        <w:rPr>
          <w:lang w:val="tr-TR"/>
        </w:rPr>
        <w:t xml:space="preserve"> hakim tarafından azaltılı</w:t>
      </w:r>
      <w:r w:rsidR="00C644DF" w:rsidRPr="008F1795">
        <w:rPr>
          <w:lang w:val="tr-TR"/>
        </w:rPr>
        <w:t>p, para cezasına dönüştürül</w:t>
      </w:r>
      <w:r w:rsidR="00720AAA" w:rsidRPr="008F1795">
        <w:rPr>
          <w:lang w:val="tr-TR"/>
        </w:rPr>
        <w:t>mesi</w:t>
      </w:r>
      <w:r w:rsidR="00C644DF" w:rsidRPr="008F1795">
        <w:rPr>
          <w:lang w:val="tr-TR"/>
        </w:rPr>
        <w:t xml:space="preserve"> ya da ertelen</w:t>
      </w:r>
      <w:r w:rsidR="00720AAA" w:rsidRPr="008F1795">
        <w:rPr>
          <w:lang w:val="tr-TR"/>
        </w:rPr>
        <w:t xml:space="preserve">mesi mümkün olsa bile </w:t>
      </w:r>
      <w:r w:rsidR="00EB30C7" w:rsidRPr="008F1795">
        <w:rPr>
          <w:lang w:val="tr-TR"/>
        </w:rPr>
        <w:t xml:space="preserve">2. </w:t>
      </w:r>
      <w:r w:rsidR="00A15CDC">
        <w:rPr>
          <w:lang w:val="tr-TR"/>
        </w:rPr>
        <w:t>f</w:t>
      </w:r>
      <w:r w:rsidR="00EC6225" w:rsidRPr="008F1795">
        <w:rPr>
          <w:lang w:val="tr-TR"/>
        </w:rPr>
        <w:t>ıkra</w:t>
      </w:r>
      <w:r w:rsidR="00EB30C7" w:rsidRPr="008F1795">
        <w:rPr>
          <w:lang w:val="tr-TR"/>
        </w:rPr>
        <w:t xml:space="preserve">ya göre </w:t>
      </w:r>
      <w:r w:rsidR="00E31C8B" w:rsidRPr="008F1795">
        <w:rPr>
          <w:lang w:val="tr-TR"/>
        </w:rPr>
        <w:t>suçun alenen işlenmesi hâlinde, verilecek ceza altıda biri oranında artırıl</w:t>
      </w:r>
      <w:r w:rsidR="00563B60" w:rsidRPr="008F1795">
        <w:rPr>
          <w:lang w:val="tr-TR"/>
        </w:rPr>
        <w:t>maktadır</w:t>
      </w:r>
      <w:r w:rsidR="00720AAA" w:rsidRPr="008F1795">
        <w:rPr>
          <w:lang w:val="tr-TR"/>
        </w:rPr>
        <w:t xml:space="preserve">; dolayısıyla bu </w:t>
      </w:r>
      <w:r w:rsidR="00241305" w:rsidRPr="008F1795">
        <w:rPr>
          <w:lang w:val="tr-TR"/>
        </w:rPr>
        <w:t>madde</w:t>
      </w:r>
      <w:r w:rsidR="00720AAA" w:rsidRPr="008F1795">
        <w:rPr>
          <w:lang w:val="tr-TR"/>
        </w:rPr>
        <w:t xml:space="preserve">nin </w:t>
      </w:r>
      <w:r w:rsidR="00D8755A" w:rsidRPr="008F1795">
        <w:rPr>
          <w:lang w:val="tr-TR"/>
        </w:rPr>
        <w:t xml:space="preserve">yazılış biçimi, </w:t>
      </w:r>
      <w:r w:rsidR="002F075B">
        <w:rPr>
          <w:lang w:val="tr-TR"/>
        </w:rPr>
        <w:t xml:space="preserve">Avrupa’da </w:t>
      </w:r>
      <w:r w:rsidR="00D8755A" w:rsidRPr="008F1795">
        <w:rPr>
          <w:lang w:val="tr-TR"/>
        </w:rPr>
        <w:t>ortaya çıkan bu fikir birliği ile de uyumlu değildir</w:t>
      </w:r>
      <w:r w:rsidR="00720AAA" w:rsidRPr="008F1795">
        <w:rPr>
          <w:lang w:val="tr-TR"/>
        </w:rPr>
        <w:t xml:space="preserve">. Bununla birlikte, </w:t>
      </w:r>
      <w:r w:rsidR="0076497D" w:rsidRPr="008F1795">
        <w:rPr>
          <w:lang w:val="tr-TR"/>
        </w:rPr>
        <w:t xml:space="preserve">bu hükmün uluslararası standartlar ve </w:t>
      </w:r>
      <w:r w:rsidR="00D705DA" w:rsidRPr="008F1795">
        <w:rPr>
          <w:lang w:val="tr-TR"/>
        </w:rPr>
        <w:t>A</w:t>
      </w:r>
      <w:r w:rsidR="0076497D" w:rsidRPr="008F1795">
        <w:rPr>
          <w:lang w:val="tr-TR"/>
        </w:rPr>
        <w:t xml:space="preserve">vrupa’da ortaya çıkan bu fikri birliğine uyumunu değerlendirmek için, </w:t>
      </w:r>
      <w:r w:rsidR="00241305" w:rsidRPr="008F1795">
        <w:rPr>
          <w:lang w:val="tr-TR"/>
        </w:rPr>
        <w:t>madde</w:t>
      </w:r>
      <w:r w:rsidR="00D705DA" w:rsidRPr="008F1795">
        <w:rPr>
          <w:lang w:val="tr-TR"/>
        </w:rPr>
        <w:t>nin bilhassa gazetecilere ilişkin uygulanışın</w:t>
      </w:r>
      <w:r w:rsidR="003E006B" w:rsidRPr="008F1795">
        <w:rPr>
          <w:lang w:val="tr-TR"/>
        </w:rPr>
        <w:t>a dair somut örneklerin</w:t>
      </w:r>
      <w:r w:rsidR="00D705DA" w:rsidRPr="008F1795">
        <w:rPr>
          <w:lang w:val="tr-TR"/>
        </w:rPr>
        <w:t xml:space="preserve"> ele alınması gerek</w:t>
      </w:r>
      <w:r w:rsidR="002F075B">
        <w:rPr>
          <w:lang w:val="tr-TR"/>
        </w:rPr>
        <w:t>ir</w:t>
      </w:r>
      <w:r w:rsidR="00D705DA" w:rsidRPr="008F1795">
        <w:rPr>
          <w:lang w:val="tr-TR"/>
        </w:rPr>
        <w:t xml:space="preserve">. </w:t>
      </w:r>
    </w:p>
    <w:p w14:paraId="03002FB8" w14:textId="77777777" w:rsidR="005A5960" w:rsidRPr="008F1795" w:rsidRDefault="005A5960" w:rsidP="005A5960">
      <w:pPr>
        <w:pStyle w:val="ListeParagraf"/>
        <w:tabs>
          <w:tab w:val="left" w:pos="669"/>
        </w:tabs>
        <w:rPr>
          <w:lang w:val="tr-TR"/>
        </w:rPr>
      </w:pPr>
    </w:p>
    <w:p w14:paraId="790F0027" w14:textId="531C6395" w:rsidR="003E006B" w:rsidRPr="008F1795" w:rsidRDefault="00885A21">
      <w:pPr>
        <w:pStyle w:val="ListeParagraf"/>
        <w:numPr>
          <w:ilvl w:val="0"/>
          <w:numId w:val="3"/>
        </w:numPr>
        <w:tabs>
          <w:tab w:val="left" w:pos="655"/>
        </w:tabs>
        <w:ind w:right="217" w:firstLine="0"/>
        <w:rPr>
          <w:lang w:val="tr-TR"/>
        </w:rPr>
      </w:pPr>
      <w:r w:rsidRPr="008F1795">
        <w:rPr>
          <w:lang w:val="tr-TR"/>
        </w:rPr>
        <w:t xml:space="preserve">Ankara ziyareti sırasında yetkililer, </w:t>
      </w:r>
      <w:r w:rsidR="00B71BA9" w:rsidRPr="008F1795">
        <w:rPr>
          <w:lang w:val="tr-TR"/>
        </w:rPr>
        <w:t>2007’deki anayasal reform sonra</w:t>
      </w:r>
      <w:r w:rsidR="00163A94" w:rsidRPr="008F1795">
        <w:rPr>
          <w:lang w:val="tr-TR"/>
        </w:rPr>
        <w:t>sında</w:t>
      </w:r>
      <w:r w:rsidR="00B71BA9" w:rsidRPr="008F1795">
        <w:rPr>
          <w:lang w:val="tr-TR"/>
        </w:rPr>
        <w:t xml:space="preserve"> Cumhurbaşkanın</w:t>
      </w:r>
      <w:r w:rsidR="002F075B">
        <w:rPr>
          <w:lang w:val="tr-TR"/>
        </w:rPr>
        <w:t>ın</w:t>
      </w:r>
      <w:r w:rsidR="00B71BA9" w:rsidRPr="008F1795">
        <w:rPr>
          <w:lang w:val="tr-TR"/>
        </w:rPr>
        <w:t xml:space="preserve"> halkoyuyla seçildiğini</w:t>
      </w:r>
      <w:r w:rsidR="00EE7D4E" w:rsidRPr="008F1795">
        <w:rPr>
          <w:lang w:val="tr-TR"/>
        </w:rPr>
        <w:t xml:space="preserve"> ve bunun sonucunda Cumhurbaşkanının </w:t>
      </w:r>
      <w:r w:rsidR="00FD466C" w:rsidRPr="008F1795">
        <w:rPr>
          <w:lang w:val="tr-TR"/>
        </w:rPr>
        <w:t xml:space="preserve">siyasete </w:t>
      </w:r>
      <w:r w:rsidR="00DE02BD" w:rsidRPr="008F1795">
        <w:rPr>
          <w:lang w:val="tr-TR"/>
        </w:rPr>
        <w:t xml:space="preserve">seleflerinden daha </w:t>
      </w:r>
      <w:r w:rsidR="00FD466C" w:rsidRPr="008F1795">
        <w:rPr>
          <w:lang w:val="tr-TR"/>
        </w:rPr>
        <w:t xml:space="preserve">fazla dahil olduğunu açıklamıştır. </w:t>
      </w:r>
      <w:r w:rsidR="00163A94" w:rsidRPr="008F1795">
        <w:rPr>
          <w:lang w:val="tr-TR"/>
        </w:rPr>
        <w:t>Bu durum</w:t>
      </w:r>
      <w:r w:rsidR="00C34B68" w:rsidRPr="008F1795">
        <w:rPr>
          <w:lang w:val="tr-TR"/>
        </w:rPr>
        <w:t>un</w:t>
      </w:r>
      <w:r w:rsidR="002F075B">
        <w:rPr>
          <w:lang w:val="tr-TR"/>
        </w:rPr>
        <w:t>,</w:t>
      </w:r>
      <w:r w:rsidR="00C34B68" w:rsidRPr="008F1795">
        <w:rPr>
          <w:lang w:val="tr-TR"/>
        </w:rPr>
        <w:t xml:space="preserve"> Cumhurbaşkanına yönelik saldırıların yoğunluğunu ve miktarını</w:t>
      </w:r>
      <w:r w:rsidR="00A93C12" w:rsidRPr="008F1795">
        <w:rPr>
          <w:lang w:val="tr-TR"/>
        </w:rPr>
        <w:t xml:space="preserve"> artırdığı bildirilmiştir. Dolayısıyla, yetkililere göre, 299. </w:t>
      </w:r>
      <w:r w:rsidR="00241305" w:rsidRPr="008F1795">
        <w:rPr>
          <w:lang w:val="tr-TR"/>
        </w:rPr>
        <w:t>Madde</w:t>
      </w:r>
      <w:r w:rsidR="00A93C12" w:rsidRPr="008F1795">
        <w:rPr>
          <w:lang w:val="tr-TR"/>
        </w:rPr>
        <w:t xml:space="preserve"> uyarınca </w:t>
      </w:r>
      <w:r w:rsidR="00E07E17" w:rsidRPr="008F1795">
        <w:rPr>
          <w:lang w:val="tr-TR"/>
        </w:rPr>
        <w:t>yürütülen kovuşturmaların sayısındaki yakın tarihli artışın esas nedeni, Devlet Başkanına karşı yapılan haksız hakaretlerin sayısındaki artış olmuşt</w:t>
      </w:r>
      <w:r w:rsidR="00451CF0" w:rsidRPr="008F1795">
        <w:rPr>
          <w:lang w:val="tr-TR"/>
        </w:rPr>
        <w:t>ur.</w:t>
      </w:r>
    </w:p>
    <w:p w14:paraId="5D5A3FCA" w14:textId="77777777" w:rsidR="003E006B" w:rsidRPr="008F1795" w:rsidRDefault="003E006B" w:rsidP="003E006B">
      <w:pPr>
        <w:pStyle w:val="ListeParagraf"/>
        <w:tabs>
          <w:tab w:val="left" w:pos="655"/>
        </w:tabs>
        <w:ind w:right="217"/>
        <w:rPr>
          <w:lang w:val="tr-TR"/>
        </w:rPr>
      </w:pPr>
    </w:p>
    <w:p w14:paraId="390C2992" w14:textId="634AACEB" w:rsidR="009D1D7D" w:rsidRPr="008F1795" w:rsidRDefault="00E16620" w:rsidP="006A65EA">
      <w:pPr>
        <w:pStyle w:val="ListeParagraf"/>
        <w:numPr>
          <w:ilvl w:val="0"/>
          <w:numId w:val="3"/>
        </w:numPr>
        <w:tabs>
          <w:tab w:val="left" w:pos="672"/>
        </w:tabs>
        <w:spacing w:before="1"/>
        <w:ind w:firstLine="0"/>
        <w:rPr>
          <w:lang w:val="tr-TR"/>
        </w:rPr>
      </w:pPr>
      <w:r w:rsidRPr="008F1795">
        <w:rPr>
          <w:lang w:val="tr-TR"/>
        </w:rPr>
        <w:t xml:space="preserve">Yetkililere göre aslında, Yargıtay ve diğer mahkemeler, bu hükmün uygulanışında geçmişte olduğundan daha liberal bir tutum benimsemiştir. </w:t>
      </w:r>
      <w:r w:rsidR="00E84862" w:rsidRPr="008F1795">
        <w:rPr>
          <w:lang w:val="tr-TR"/>
        </w:rPr>
        <w:t>Bununla ilgili olarak yetkililer</w:t>
      </w:r>
      <w:r w:rsidRPr="008F1795">
        <w:rPr>
          <w:lang w:val="tr-TR"/>
        </w:rPr>
        <w:t xml:space="preserve">, </w:t>
      </w:r>
      <w:r w:rsidR="009A607A" w:rsidRPr="008F1795">
        <w:rPr>
          <w:lang w:val="tr-TR"/>
        </w:rPr>
        <w:t xml:space="preserve">Yargıtay’ın bu </w:t>
      </w:r>
      <w:r w:rsidR="00241305" w:rsidRPr="008F1795">
        <w:rPr>
          <w:lang w:val="tr-TR"/>
        </w:rPr>
        <w:t>madde</w:t>
      </w:r>
      <w:r w:rsidR="00B43974" w:rsidRPr="008F1795">
        <w:rPr>
          <w:lang w:val="tr-TR"/>
        </w:rPr>
        <w:t xml:space="preserve"> uyarınca</w:t>
      </w:r>
      <w:r w:rsidR="009A607A" w:rsidRPr="008F1795">
        <w:rPr>
          <w:lang w:val="tr-TR"/>
        </w:rPr>
        <w:t xml:space="preserve"> bir kararını ve </w:t>
      </w:r>
      <w:r w:rsidR="00E84862" w:rsidRPr="008F1795">
        <w:rPr>
          <w:lang w:val="tr-TR"/>
        </w:rPr>
        <w:t>halen devam etmekte olan davalara ilişkin Yargıtay Cumhuriyet Başsavcısı</w:t>
      </w:r>
      <w:r w:rsidR="009A607A" w:rsidRPr="008F1795">
        <w:rPr>
          <w:lang w:val="tr-TR"/>
        </w:rPr>
        <w:t xml:space="preserve"> tarafından Yargıtay</w:t>
      </w:r>
      <w:r w:rsidR="00D45A6D" w:rsidRPr="008F1795">
        <w:rPr>
          <w:lang w:val="tr-TR"/>
        </w:rPr>
        <w:t>’</w:t>
      </w:r>
      <w:r w:rsidR="009A607A" w:rsidRPr="008F1795">
        <w:rPr>
          <w:lang w:val="tr-TR"/>
        </w:rPr>
        <w:t>ın yetkili dairelerine iletilen bazı tebliğnameleri</w:t>
      </w:r>
      <w:r w:rsidR="00D45A6D" w:rsidRPr="008F1795">
        <w:rPr>
          <w:lang w:val="tr-TR"/>
        </w:rPr>
        <w:t xml:space="preserve"> sunmuştur.</w:t>
      </w:r>
      <w:r w:rsidR="00D45A6D" w:rsidRPr="008F1795">
        <w:rPr>
          <w:rStyle w:val="DipnotBavurusu"/>
          <w:lang w:val="tr-TR"/>
        </w:rPr>
        <w:footnoteReference w:id="64"/>
      </w:r>
      <w:r w:rsidR="00D45A6D" w:rsidRPr="008F1795">
        <w:rPr>
          <w:lang w:val="tr-TR"/>
        </w:rPr>
        <w:t xml:space="preserve"> </w:t>
      </w:r>
      <w:r w:rsidR="004C17FC" w:rsidRPr="008F1795">
        <w:rPr>
          <w:lang w:val="tr-TR"/>
        </w:rPr>
        <w:t>I</w:t>
      </w:r>
      <w:r w:rsidR="008B3781" w:rsidRPr="008F1795">
        <w:rPr>
          <w:lang w:val="tr-TR"/>
        </w:rPr>
        <w:t>nternet haber sitesine</w:t>
      </w:r>
      <w:r w:rsidR="004C17FC" w:rsidRPr="008F1795">
        <w:rPr>
          <w:lang w:val="tr-TR"/>
        </w:rPr>
        <w:t xml:space="preserve"> </w:t>
      </w:r>
      <w:r w:rsidR="0005188A" w:rsidRPr="008F1795">
        <w:rPr>
          <w:lang w:val="tr-TR"/>
        </w:rPr>
        <w:t>“</w:t>
      </w:r>
      <w:r w:rsidR="0005188A" w:rsidRPr="008F1795">
        <w:rPr>
          <w:i/>
          <w:iCs/>
          <w:lang w:val="tr-TR"/>
        </w:rPr>
        <w:t xml:space="preserve">Arkasından her türlü numarayı çevirdiler, şimdi de utanmadan cenazesine katılıyorlar, insanda biraz </w:t>
      </w:r>
      <w:r w:rsidR="008741CC" w:rsidRPr="008F1795">
        <w:rPr>
          <w:i/>
          <w:iCs/>
          <w:lang w:val="tr-TR"/>
        </w:rPr>
        <w:t>onur</w:t>
      </w:r>
      <w:r w:rsidR="0005188A" w:rsidRPr="008F1795">
        <w:rPr>
          <w:i/>
          <w:iCs/>
          <w:lang w:val="tr-TR"/>
        </w:rPr>
        <w:t xml:space="preserve"> olur</w:t>
      </w:r>
      <w:r w:rsidR="0005188A" w:rsidRPr="008F1795">
        <w:rPr>
          <w:lang w:val="tr-TR"/>
        </w:rPr>
        <w:t xml:space="preserve">” </w:t>
      </w:r>
      <w:r w:rsidR="00AD1308" w:rsidRPr="008F1795">
        <w:rPr>
          <w:lang w:val="tr-TR"/>
        </w:rPr>
        <w:t>(</w:t>
      </w:r>
      <w:r w:rsidR="00A30127" w:rsidRPr="008F1795">
        <w:rPr>
          <w:lang w:val="tr-TR"/>
        </w:rPr>
        <w:t xml:space="preserve">belli ki </w:t>
      </w:r>
      <w:r w:rsidR="00033432" w:rsidRPr="008F1795">
        <w:rPr>
          <w:lang w:val="tr-TR"/>
        </w:rPr>
        <w:t xml:space="preserve">o dönemin Cumhurbaşkanının </w:t>
      </w:r>
      <w:r w:rsidR="00AD1308" w:rsidRPr="008F1795">
        <w:rPr>
          <w:lang w:val="tr-TR"/>
        </w:rPr>
        <w:t xml:space="preserve">eski Cumhurbaşkanının cenazesine </w:t>
      </w:r>
      <w:r w:rsidR="00033432" w:rsidRPr="008F1795">
        <w:rPr>
          <w:lang w:val="tr-TR"/>
        </w:rPr>
        <w:t>katılması</w:t>
      </w:r>
      <w:r w:rsidR="00A30127" w:rsidRPr="008F1795">
        <w:rPr>
          <w:lang w:val="tr-TR"/>
        </w:rPr>
        <w:t>nı eleştirmek</w:t>
      </w:r>
      <w:r w:rsidR="00033432" w:rsidRPr="008F1795">
        <w:rPr>
          <w:lang w:val="tr-TR"/>
        </w:rPr>
        <w:t xml:space="preserve"> üzer</w:t>
      </w:r>
      <w:r w:rsidR="00A30127" w:rsidRPr="008F1795">
        <w:rPr>
          <w:lang w:val="tr-TR"/>
        </w:rPr>
        <w:t xml:space="preserve">e yazılmış) </w:t>
      </w:r>
      <w:r w:rsidR="0005188A" w:rsidRPr="008F1795">
        <w:rPr>
          <w:lang w:val="tr-TR"/>
        </w:rPr>
        <w:t>y</w:t>
      </w:r>
      <w:r w:rsidR="004C17FC" w:rsidRPr="008F1795">
        <w:rPr>
          <w:lang w:val="tr-TR"/>
        </w:rPr>
        <w:t xml:space="preserve">azdığı için </w:t>
      </w:r>
      <w:r w:rsidR="00A007F4" w:rsidRPr="008F1795">
        <w:rPr>
          <w:lang w:val="tr-TR"/>
        </w:rPr>
        <w:t xml:space="preserve">sanığa </w:t>
      </w:r>
      <w:r w:rsidR="004C17FC" w:rsidRPr="008F1795">
        <w:rPr>
          <w:lang w:val="tr-TR"/>
        </w:rPr>
        <w:t xml:space="preserve">on aylık </w:t>
      </w:r>
      <w:r w:rsidR="00054E81">
        <w:rPr>
          <w:lang w:val="tr-TR"/>
        </w:rPr>
        <w:t>ertelenmiş</w:t>
      </w:r>
      <w:r w:rsidR="004C17FC" w:rsidRPr="008F1795">
        <w:rPr>
          <w:lang w:val="tr-TR"/>
        </w:rPr>
        <w:t xml:space="preserve"> hapis ce</w:t>
      </w:r>
      <w:r w:rsidR="00A007F4" w:rsidRPr="008F1795">
        <w:rPr>
          <w:lang w:val="tr-TR"/>
        </w:rPr>
        <w:t xml:space="preserve">zası veren Antalya 15. Ağır Ceza Mahkemesinin (31 </w:t>
      </w:r>
      <w:r w:rsidR="00053938" w:rsidRPr="008F1795">
        <w:rPr>
          <w:lang w:val="tr-TR"/>
        </w:rPr>
        <w:t>M</w:t>
      </w:r>
      <w:r w:rsidR="00A007F4" w:rsidRPr="008F1795">
        <w:rPr>
          <w:lang w:val="tr-TR"/>
        </w:rPr>
        <w:t xml:space="preserve">ayıs 2013) bu kararı, </w:t>
      </w:r>
      <w:r w:rsidR="00565E06" w:rsidRPr="008F1795">
        <w:rPr>
          <w:lang w:val="tr-TR"/>
        </w:rPr>
        <w:t xml:space="preserve">6 Ekim 2015 tarihli </w:t>
      </w:r>
      <w:r w:rsidR="00A007F4" w:rsidRPr="008F1795">
        <w:rPr>
          <w:lang w:val="tr-TR"/>
        </w:rPr>
        <w:t xml:space="preserve">Yargıtay </w:t>
      </w:r>
      <w:r w:rsidR="00565E06" w:rsidRPr="008F1795">
        <w:rPr>
          <w:lang w:val="tr-TR"/>
        </w:rPr>
        <w:t>karar</w:t>
      </w:r>
      <w:r w:rsidR="00A007F4" w:rsidRPr="008F1795">
        <w:rPr>
          <w:lang w:val="tr-TR"/>
        </w:rPr>
        <w:t xml:space="preserve">ı ile </w:t>
      </w:r>
      <w:r w:rsidR="00B43974" w:rsidRPr="008F1795">
        <w:rPr>
          <w:lang w:val="tr-TR"/>
        </w:rPr>
        <w:t>bozulmuştur</w:t>
      </w:r>
      <w:r w:rsidR="00A007F4" w:rsidRPr="008F1795">
        <w:rPr>
          <w:lang w:val="tr-TR"/>
        </w:rPr>
        <w:t>.</w:t>
      </w:r>
      <w:r w:rsidR="00053938" w:rsidRPr="008F1795">
        <w:rPr>
          <w:rStyle w:val="DipnotBavurusu"/>
          <w:lang w:val="tr-TR"/>
        </w:rPr>
        <w:footnoteReference w:id="65"/>
      </w:r>
      <w:r w:rsidR="00A007F4" w:rsidRPr="008F1795">
        <w:rPr>
          <w:lang w:val="tr-TR"/>
        </w:rPr>
        <w:t xml:space="preserve"> </w:t>
      </w:r>
      <w:r w:rsidR="00B5711B" w:rsidRPr="008F1795">
        <w:rPr>
          <w:lang w:val="tr-TR"/>
        </w:rPr>
        <w:t>Yargıtay bu ifadenin</w:t>
      </w:r>
      <w:r w:rsidR="00DA7B8B">
        <w:rPr>
          <w:lang w:val="tr-TR"/>
        </w:rPr>
        <w:t>,</w:t>
      </w:r>
      <w:r w:rsidR="00B5711B" w:rsidRPr="008F1795">
        <w:rPr>
          <w:lang w:val="tr-TR"/>
        </w:rPr>
        <w:t xml:space="preserve"> ifade özgürlüğü kapsamına girdiği kararını vermiştir. </w:t>
      </w:r>
    </w:p>
    <w:p w14:paraId="2D1AE974" w14:textId="77777777" w:rsidR="00B5711B" w:rsidRPr="008F1795" w:rsidRDefault="00B5711B" w:rsidP="009D1D7D">
      <w:pPr>
        <w:pStyle w:val="ListeParagraf"/>
        <w:tabs>
          <w:tab w:val="left" w:pos="672"/>
        </w:tabs>
        <w:spacing w:before="1"/>
        <w:rPr>
          <w:lang w:val="tr-TR"/>
        </w:rPr>
      </w:pPr>
    </w:p>
    <w:p w14:paraId="7249C55D" w14:textId="402471F2" w:rsidR="00EB4CF7" w:rsidRPr="008F1795" w:rsidRDefault="00B85AC8">
      <w:pPr>
        <w:pStyle w:val="ListeParagraf"/>
        <w:numPr>
          <w:ilvl w:val="0"/>
          <w:numId w:val="3"/>
        </w:numPr>
        <w:tabs>
          <w:tab w:val="left" w:pos="710"/>
        </w:tabs>
        <w:ind w:right="215" w:firstLine="0"/>
        <w:rPr>
          <w:lang w:val="tr-TR"/>
        </w:rPr>
      </w:pPr>
      <w:r w:rsidRPr="008F1795">
        <w:rPr>
          <w:lang w:val="tr-TR"/>
        </w:rPr>
        <w:t>Yetkililerin heyete sunduğu Yargıtay Cumhuriyet Başsavcısı</w:t>
      </w:r>
      <w:r w:rsidR="000F26E4">
        <w:rPr>
          <w:lang w:val="tr-TR"/>
        </w:rPr>
        <w:t>na ait</w:t>
      </w:r>
      <w:r w:rsidRPr="008F1795">
        <w:rPr>
          <w:lang w:val="tr-TR"/>
        </w:rPr>
        <w:t xml:space="preserve"> </w:t>
      </w:r>
      <w:proofErr w:type="spellStart"/>
      <w:r w:rsidRPr="008F1795">
        <w:rPr>
          <w:lang w:val="tr-TR"/>
        </w:rPr>
        <w:t>tebliğnameler</w:t>
      </w:r>
      <w:proofErr w:type="spellEnd"/>
      <w:r w:rsidR="000F26E4">
        <w:rPr>
          <w:lang w:val="tr-TR"/>
        </w:rPr>
        <w:t xml:space="preserve"> </w:t>
      </w:r>
      <w:r w:rsidRPr="008F1795">
        <w:rPr>
          <w:lang w:val="tr-TR"/>
        </w:rPr>
        <w:t>çoğunlukla o dönemin Başbakanına (</w:t>
      </w:r>
      <w:r w:rsidR="000F26E4">
        <w:rPr>
          <w:lang w:val="tr-TR"/>
        </w:rPr>
        <w:t>şimdi ki</w:t>
      </w:r>
      <w:r w:rsidRPr="008F1795">
        <w:rPr>
          <w:lang w:val="tr-TR"/>
        </w:rPr>
        <w:t xml:space="preserve"> Cumhurbaşkanı) yönelik hakaret iddiaları</w:t>
      </w:r>
      <w:r w:rsidR="000F26E4">
        <w:rPr>
          <w:lang w:val="tr-TR"/>
        </w:rPr>
        <w:t xml:space="preserve"> </w:t>
      </w:r>
      <w:r w:rsidR="00650B21">
        <w:rPr>
          <w:lang w:val="tr-TR"/>
        </w:rPr>
        <w:t>ve 12</w:t>
      </w:r>
      <w:r w:rsidR="00A75637">
        <w:rPr>
          <w:lang w:val="tr-TR"/>
        </w:rPr>
        <w:t>5</w:t>
      </w:r>
      <w:r w:rsidR="00650B21">
        <w:rPr>
          <w:lang w:val="tr-TR"/>
        </w:rPr>
        <w:t xml:space="preserve">. madde </w:t>
      </w:r>
      <w:r w:rsidR="000F26E4">
        <w:rPr>
          <w:lang w:val="tr-TR"/>
        </w:rPr>
        <w:t>ile ilgili</w:t>
      </w:r>
      <w:r w:rsidR="00650B21">
        <w:rPr>
          <w:lang w:val="tr-TR"/>
        </w:rPr>
        <w:t>dir.</w:t>
      </w:r>
      <w:r w:rsidR="00E14116" w:rsidRPr="008F1795">
        <w:rPr>
          <w:lang w:val="tr-TR"/>
        </w:rPr>
        <w:t xml:space="preserve"> </w:t>
      </w:r>
      <w:r w:rsidR="001F631D" w:rsidRPr="008F1795">
        <w:rPr>
          <w:lang w:val="tr-TR"/>
        </w:rPr>
        <w:t xml:space="preserve">İlk derece mahkemeleri, </w:t>
      </w:r>
      <w:r w:rsidR="00E14116" w:rsidRPr="008F1795">
        <w:rPr>
          <w:lang w:val="tr-TR"/>
        </w:rPr>
        <w:t>“</w:t>
      </w:r>
      <w:r w:rsidR="00E14116" w:rsidRPr="008F1795">
        <w:rPr>
          <w:i/>
          <w:iCs/>
          <w:lang w:val="tr-TR"/>
        </w:rPr>
        <w:t>Ampul Tayyip</w:t>
      </w:r>
      <w:r w:rsidR="00E14116" w:rsidRPr="008F1795">
        <w:rPr>
          <w:lang w:val="tr-TR"/>
        </w:rPr>
        <w:t>”</w:t>
      </w:r>
      <w:r w:rsidR="00875617" w:rsidRPr="008F1795">
        <w:rPr>
          <w:rStyle w:val="DipnotBavurusu"/>
          <w:lang w:val="tr-TR"/>
        </w:rPr>
        <w:footnoteReference w:id="66"/>
      </w:r>
      <w:r w:rsidR="001A4EAF" w:rsidRPr="008F1795">
        <w:rPr>
          <w:lang w:val="tr-TR"/>
        </w:rPr>
        <w:t xml:space="preserve"> diye slogan atmak, “</w:t>
      </w:r>
      <w:r w:rsidR="003858A7" w:rsidRPr="008F1795">
        <w:rPr>
          <w:i/>
          <w:iCs/>
          <w:lang w:val="tr-TR"/>
        </w:rPr>
        <w:t>kimi</w:t>
      </w:r>
      <w:r w:rsidR="001A4EAF" w:rsidRPr="008F1795">
        <w:rPr>
          <w:i/>
          <w:iCs/>
          <w:lang w:val="tr-TR"/>
        </w:rPr>
        <w:t xml:space="preserve"> 15’inde ölür sonsuz</w:t>
      </w:r>
      <w:r w:rsidR="003858A7" w:rsidRPr="008F1795">
        <w:rPr>
          <w:i/>
          <w:iCs/>
          <w:lang w:val="tr-TR"/>
        </w:rPr>
        <w:t xml:space="preserve"> olur, kimi </w:t>
      </w:r>
      <w:r w:rsidR="001A4EAF" w:rsidRPr="008F1795">
        <w:rPr>
          <w:i/>
          <w:iCs/>
          <w:lang w:val="tr-TR"/>
        </w:rPr>
        <w:t>60</w:t>
      </w:r>
      <w:r w:rsidR="003858A7" w:rsidRPr="008F1795">
        <w:rPr>
          <w:i/>
          <w:iCs/>
          <w:lang w:val="tr-TR"/>
        </w:rPr>
        <w:t>’ında yolsuz olur</w:t>
      </w:r>
      <w:r w:rsidR="001A4EAF" w:rsidRPr="008F1795">
        <w:rPr>
          <w:i/>
          <w:iCs/>
          <w:lang w:val="tr-TR"/>
        </w:rPr>
        <w:t>”</w:t>
      </w:r>
      <w:r w:rsidR="00B61155" w:rsidRPr="008F1795">
        <w:rPr>
          <w:i/>
          <w:iCs/>
          <w:lang w:val="tr-TR"/>
        </w:rPr>
        <w:t xml:space="preserve">” </w:t>
      </w:r>
      <w:r w:rsidR="00B61155" w:rsidRPr="008F1795">
        <w:rPr>
          <w:lang w:val="tr-TR"/>
        </w:rPr>
        <w:t>ya da</w:t>
      </w:r>
      <w:r w:rsidR="00B61155" w:rsidRPr="008F1795">
        <w:rPr>
          <w:i/>
          <w:iCs/>
          <w:lang w:val="tr-TR"/>
        </w:rPr>
        <w:t xml:space="preserve"> “ne </w:t>
      </w:r>
      <w:r w:rsidR="00C17FD2" w:rsidRPr="008F1795">
        <w:rPr>
          <w:i/>
          <w:iCs/>
          <w:lang w:val="tr-TR"/>
        </w:rPr>
        <w:t>söylendiğiyle</w:t>
      </w:r>
      <w:r w:rsidR="00B61155" w:rsidRPr="008F1795">
        <w:rPr>
          <w:i/>
          <w:iCs/>
          <w:lang w:val="tr-TR"/>
        </w:rPr>
        <w:t xml:space="preserve"> değil, </w:t>
      </w:r>
      <w:r w:rsidR="00C17FD2" w:rsidRPr="008F1795">
        <w:rPr>
          <w:i/>
          <w:iCs/>
          <w:lang w:val="tr-TR"/>
        </w:rPr>
        <w:t>cinayetle ilgileniyorum</w:t>
      </w:r>
      <w:r w:rsidR="0021290C" w:rsidRPr="008F1795">
        <w:rPr>
          <w:lang w:val="tr-TR"/>
        </w:rPr>
        <w:t>” yazan bir pankart taşımak</w:t>
      </w:r>
      <w:r w:rsidR="00952F6E" w:rsidRPr="008F1795">
        <w:rPr>
          <w:lang w:val="tr-TR"/>
        </w:rPr>
        <w:t xml:space="preserve"> suçuyla yargılanan sanıklar</w:t>
      </w:r>
      <w:r w:rsidR="00875617" w:rsidRPr="008F1795">
        <w:rPr>
          <w:lang w:val="tr-TR"/>
        </w:rPr>
        <w:t xml:space="preserve"> hakkında</w:t>
      </w:r>
      <w:r w:rsidR="00952F6E" w:rsidRPr="008F1795">
        <w:rPr>
          <w:lang w:val="tr-TR"/>
        </w:rPr>
        <w:t xml:space="preserve"> beraat </w:t>
      </w:r>
      <w:r w:rsidR="00875617" w:rsidRPr="008F1795">
        <w:rPr>
          <w:lang w:val="tr-TR"/>
        </w:rPr>
        <w:t xml:space="preserve">kararı alarak, </w:t>
      </w:r>
      <w:r w:rsidR="00952F6E" w:rsidRPr="008F1795">
        <w:rPr>
          <w:lang w:val="tr-TR"/>
        </w:rPr>
        <w:t xml:space="preserve">bu </w:t>
      </w:r>
      <w:r w:rsidR="00875617" w:rsidRPr="008F1795">
        <w:rPr>
          <w:lang w:val="tr-TR"/>
        </w:rPr>
        <w:t>söylemlerin</w:t>
      </w:r>
      <w:r w:rsidR="00952F6E" w:rsidRPr="008F1795">
        <w:rPr>
          <w:lang w:val="tr-TR"/>
        </w:rPr>
        <w:t xml:space="preserve"> ifade özgürlüğü</w:t>
      </w:r>
      <w:r w:rsidR="00BD7C7D" w:rsidRPr="008F1795">
        <w:rPr>
          <w:lang w:val="tr-TR"/>
        </w:rPr>
        <w:t xml:space="preserve"> tarafından korunduğunu değerlendirmiştir.</w:t>
      </w:r>
      <w:r w:rsidR="00683923" w:rsidRPr="008F1795">
        <w:rPr>
          <w:rStyle w:val="DipnotBavurusu"/>
          <w:lang w:val="tr-TR"/>
        </w:rPr>
        <w:footnoteReference w:id="67"/>
      </w:r>
      <w:r w:rsidR="00EC00D2" w:rsidRPr="008F1795">
        <w:rPr>
          <w:lang w:val="tr-TR"/>
        </w:rPr>
        <w:t xml:space="preserve"> Bu davaların Yargıtay</w:t>
      </w:r>
      <w:r w:rsidR="00CE00E7" w:rsidRPr="008F1795">
        <w:rPr>
          <w:lang w:val="tr-TR"/>
        </w:rPr>
        <w:t xml:space="preserve">’da </w:t>
      </w:r>
      <w:r w:rsidR="004D0172" w:rsidRPr="008F1795">
        <w:rPr>
          <w:lang w:val="tr-TR"/>
        </w:rPr>
        <w:t>halen görüldüğü</w:t>
      </w:r>
      <w:r w:rsidR="00C973D4" w:rsidRPr="008F1795">
        <w:rPr>
          <w:lang w:val="tr-TR"/>
        </w:rPr>
        <w:t xml:space="preserve"> </w:t>
      </w:r>
      <w:r w:rsidR="00CE00E7" w:rsidRPr="008F1795">
        <w:rPr>
          <w:lang w:val="tr-TR"/>
        </w:rPr>
        <w:t>anlaşılmaktadır</w:t>
      </w:r>
      <w:r w:rsidR="00C973D4" w:rsidRPr="008F1795">
        <w:rPr>
          <w:lang w:val="tr-TR"/>
        </w:rPr>
        <w:t xml:space="preserve">; Yargıtay Cumhuriyet Başsavcısı </w:t>
      </w:r>
      <w:proofErr w:type="spellStart"/>
      <w:r w:rsidR="00AB3EED" w:rsidRPr="008F1795">
        <w:rPr>
          <w:lang w:val="tr-TR"/>
        </w:rPr>
        <w:t>tebliğnamesinde</w:t>
      </w:r>
      <w:proofErr w:type="spellEnd"/>
      <w:r w:rsidR="00AB3EED" w:rsidRPr="008F1795">
        <w:rPr>
          <w:lang w:val="tr-TR"/>
        </w:rPr>
        <w:t xml:space="preserve"> Yargıtay Dairesinin ilk derece mahkemeler tarafından verilen beraat kararını </w:t>
      </w:r>
      <w:r w:rsidR="00AB3EED" w:rsidRPr="008F1795">
        <w:rPr>
          <w:lang w:val="tr-TR"/>
        </w:rPr>
        <w:lastRenderedPageBreak/>
        <w:t>onaylamasını tavsiye etmiştir.</w:t>
      </w:r>
      <w:r w:rsidR="0007542B" w:rsidRPr="008F1795">
        <w:rPr>
          <w:rStyle w:val="DipnotBavurusu"/>
          <w:lang w:val="tr-TR"/>
        </w:rPr>
        <w:footnoteReference w:id="68"/>
      </w:r>
      <w:r w:rsidR="00AB3EED" w:rsidRPr="008F1795">
        <w:rPr>
          <w:lang w:val="tr-TR"/>
        </w:rPr>
        <w:t xml:space="preserve"> </w:t>
      </w:r>
      <w:r w:rsidR="0007542B" w:rsidRPr="008F1795">
        <w:rPr>
          <w:lang w:val="tr-TR"/>
        </w:rPr>
        <w:t>Bununla birlikte</w:t>
      </w:r>
      <w:r w:rsidR="00256595" w:rsidRPr="008F1795">
        <w:rPr>
          <w:lang w:val="tr-TR"/>
        </w:rPr>
        <w:t xml:space="preserve"> </w:t>
      </w:r>
      <w:r w:rsidR="001A6421" w:rsidRPr="008F1795">
        <w:rPr>
          <w:lang w:val="tr-TR"/>
        </w:rPr>
        <w:t>Yargıtay Cumhuriyet Başsavcısı</w:t>
      </w:r>
      <w:r w:rsidR="007C3400" w:rsidRPr="008F1795">
        <w:rPr>
          <w:lang w:val="tr-TR"/>
        </w:rPr>
        <w:t>, Niğde ilk derece mahkemesin</w:t>
      </w:r>
      <w:r w:rsidR="006378E3">
        <w:rPr>
          <w:lang w:val="tr-TR"/>
        </w:rPr>
        <w:t>in</w:t>
      </w:r>
      <w:r w:rsidR="007C3400" w:rsidRPr="008F1795">
        <w:rPr>
          <w:lang w:val="tr-TR"/>
        </w:rPr>
        <w:t xml:space="preserve"> beraat kararı</w:t>
      </w:r>
      <w:r w:rsidR="00086BF6" w:rsidRPr="008F1795">
        <w:rPr>
          <w:lang w:val="tr-TR"/>
        </w:rPr>
        <w:t xml:space="preserve">na rağmen, </w:t>
      </w:r>
      <w:r w:rsidR="00C15478" w:rsidRPr="008F1795">
        <w:rPr>
          <w:lang w:val="tr-TR"/>
        </w:rPr>
        <w:t>“</w:t>
      </w:r>
      <w:r w:rsidR="00C15478" w:rsidRPr="000B06B9">
        <w:rPr>
          <w:i/>
          <w:iCs/>
          <w:lang w:val="tr-TR"/>
        </w:rPr>
        <w:t>Hırsız ve Katil</w:t>
      </w:r>
      <w:r w:rsidR="00C15478" w:rsidRPr="008F1795">
        <w:rPr>
          <w:lang w:val="tr-TR"/>
        </w:rPr>
        <w:t>” yazılı pankart</w:t>
      </w:r>
      <w:r w:rsidR="00086BF6" w:rsidRPr="008F1795">
        <w:rPr>
          <w:lang w:val="tr-TR"/>
        </w:rPr>
        <w:t>ın ifade özgürlüğü kapsamının dışına çıktığını</w:t>
      </w:r>
      <w:r w:rsidR="00256595" w:rsidRPr="008F1795">
        <w:rPr>
          <w:lang w:val="tr-TR"/>
        </w:rPr>
        <w:t xml:space="preserve"> değerlendirerek, Yargıtay’ın ilk derece mahkemesinin beraat kararını bozmasını tavsiye etmiştir. </w:t>
      </w:r>
      <w:r w:rsidR="00A346FD" w:rsidRPr="008F1795">
        <w:rPr>
          <w:rStyle w:val="DipnotBavurusu"/>
          <w:lang w:val="tr-TR"/>
        </w:rPr>
        <w:footnoteReference w:id="69"/>
      </w:r>
    </w:p>
    <w:p w14:paraId="1EC71332" w14:textId="77777777" w:rsidR="00EB4CF7" w:rsidRPr="008F1795" w:rsidRDefault="00EB4CF7" w:rsidP="00EB4CF7">
      <w:pPr>
        <w:pStyle w:val="ListeParagraf"/>
        <w:tabs>
          <w:tab w:val="left" w:pos="710"/>
        </w:tabs>
        <w:ind w:right="215"/>
        <w:rPr>
          <w:lang w:val="tr-TR"/>
        </w:rPr>
      </w:pPr>
    </w:p>
    <w:p w14:paraId="68F28146" w14:textId="26327997" w:rsidR="00A346FD" w:rsidRPr="008F1795" w:rsidRDefault="00C10551">
      <w:pPr>
        <w:pStyle w:val="ListeParagraf"/>
        <w:numPr>
          <w:ilvl w:val="0"/>
          <w:numId w:val="3"/>
        </w:numPr>
        <w:tabs>
          <w:tab w:val="left" w:pos="640"/>
        </w:tabs>
        <w:ind w:right="217" w:firstLine="0"/>
        <w:rPr>
          <w:lang w:val="tr-TR"/>
        </w:rPr>
      </w:pPr>
      <w:r w:rsidRPr="008F1795">
        <w:rPr>
          <w:lang w:val="tr-TR"/>
        </w:rPr>
        <w:t>Yetkililerin heyete sunduğu açıklayıcı notta</w:t>
      </w:r>
      <w:r w:rsidR="00567A88" w:rsidRPr="008F1795">
        <w:rPr>
          <w:lang w:val="tr-TR"/>
        </w:rPr>
        <w:t xml:space="preserve">, savcıların </w:t>
      </w:r>
      <w:r w:rsidR="00536A4C" w:rsidRPr="008F1795">
        <w:rPr>
          <w:lang w:val="tr-TR"/>
        </w:rPr>
        <w:t xml:space="preserve">(299(3). </w:t>
      </w:r>
      <w:r w:rsidR="00241305" w:rsidRPr="008F1795">
        <w:rPr>
          <w:lang w:val="tr-TR"/>
        </w:rPr>
        <w:t>Madde</w:t>
      </w:r>
      <w:r w:rsidR="00536A4C" w:rsidRPr="008F1795">
        <w:rPr>
          <w:lang w:val="tr-TR"/>
        </w:rPr>
        <w:t xml:space="preserve"> uyarınca) </w:t>
      </w:r>
      <w:r w:rsidR="006350CC" w:rsidRPr="008F1795">
        <w:rPr>
          <w:lang w:val="tr-TR"/>
        </w:rPr>
        <w:t xml:space="preserve">kovuşturma başlatmak için izin talep etmek üzere </w:t>
      </w:r>
      <w:r w:rsidR="00567A88" w:rsidRPr="008F1795">
        <w:rPr>
          <w:lang w:val="tr-TR"/>
        </w:rPr>
        <w:t>Adalet Bakanlığın</w:t>
      </w:r>
      <w:r w:rsidR="006350CC" w:rsidRPr="008F1795">
        <w:rPr>
          <w:lang w:val="tr-TR"/>
        </w:rPr>
        <w:t>a gönderdiği</w:t>
      </w:r>
      <w:r w:rsidR="00567A88" w:rsidRPr="008F1795">
        <w:rPr>
          <w:lang w:val="tr-TR"/>
        </w:rPr>
        <w:t xml:space="preserve"> dosyalarda</w:t>
      </w:r>
      <w:r w:rsidR="00C44158" w:rsidRPr="008F1795">
        <w:rPr>
          <w:lang w:val="tr-TR"/>
        </w:rPr>
        <w:t xml:space="preserve">n alınan ifade örnekleri yer almaktadır. </w:t>
      </w:r>
      <w:r w:rsidR="00536A4C" w:rsidRPr="008F1795">
        <w:rPr>
          <w:lang w:val="tr-TR"/>
        </w:rPr>
        <w:t>Açıklayıcı nota göre bu ifadeler, “</w:t>
      </w:r>
      <w:r w:rsidR="002920B1" w:rsidRPr="008F1795">
        <w:rPr>
          <w:i/>
          <w:iCs/>
          <w:lang w:val="tr-TR"/>
        </w:rPr>
        <w:t xml:space="preserve">hoşgörü </w:t>
      </w:r>
      <w:r w:rsidR="00C359DF" w:rsidRPr="008F1795">
        <w:rPr>
          <w:i/>
          <w:iCs/>
          <w:lang w:val="tr-TR"/>
        </w:rPr>
        <w:t>seviyesini</w:t>
      </w:r>
      <w:r w:rsidR="002920B1" w:rsidRPr="008F1795">
        <w:rPr>
          <w:i/>
          <w:iCs/>
          <w:lang w:val="tr-TR"/>
        </w:rPr>
        <w:t xml:space="preserve"> </w:t>
      </w:r>
      <w:r w:rsidR="00E829B2" w:rsidRPr="008F1795">
        <w:rPr>
          <w:i/>
          <w:iCs/>
          <w:lang w:val="tr-TR"/>
        </w:rPr>
        <w:t xml:space="preserve">aşmaktadır ve bir kişinin kutsal değerlerine </w:t>
      </w:r>
      <w:r w:rsidR="00FA5131" w:rsidRPr="008F1795">
        <w:rPr>
          <w:i/>
          <w:iCs/>
          <w:lang w:val="tr-TR"/>
        </w:rPr>
        <w:t>utandırıcı şekilde küfretme niteliklerine sahiptir</w:t>
      </w:r>
      <w:r w:rsidR="00FA5131" w:rsidRPr="008F1795">
        <w:rPr>
          <w:lang w:val="tr-TR"/>
        </w:rPr>
        <w:t xml:space="preserve">”. </w:t>
      </w:r>
      <w:r w:rsidR="000F33FD" w:rsidRPr="008F1795">
        <w:rPr>
          <w:lang w:val="tr-TR"/>
        </w:rPr>
        <w:t xml:space="preserve">Bu ifadeler </w:t>
      </w:r>
      <w:r w:rsidR="00ED569A" w:rsidRPr="008F1795">
        <w:rPr>
          <w:lang w:val="tr-TR"/>
        </w:rPr>
        <w:t>(çoğu muhtemelen İnternette yayınlanmıştır)</w:t>
      </w:r>
      <w:r w:rsidR="0061169A" w:rsidRPr="008F1795">
        <w:rPr>
          <w:lang w:val="tr-TR"/>
        </w:rPr>
        <w:t>,</w:t>
      </w:r>
      <w:r w:rsidR="00ED569A" w:rsidRPr="008F1795">
        <w:rPr>
          <w:lang w:val="tr-TR"/>
        </w:rPr>
        <w:t xml:space="preserve"> Cumhurbaşkanına ve aile fertlerine yönelik </w:t>
      </w:r>
      <w:r w:rsidR="008F44D6" w:rsidRPr="008F1795">
        <w:rPr>
          <w:lang w:val="tr-TR"/>
        </w:rPr>
        <w:t xml:space="preserve">küfürlü kelimeler içermektedir. </w:t>
      </w:r>
      <w:r w:rsidR="002B0BF6" w:rsidRPr="008F1795">
        <w:rPr>
          <w:lang w:val="tr-TR"/>
        </w:rPr>
        <w:t xml:space="preserve">Yetkililer, </w:t>
      </w:r>
      <w:r w:rsidR="00425E77" w:rsidRPr="008F1795">
        <w:rPr>
          <w:lang w:val="tr-TR"/>
        </w:rPr>
        <w:t xml:space="preserve">bazen müstehcen </w:t>
      </w:r>
      <w:r w:rsidR="00890D3F" w:rsidRPr="008F1795">
        <w:rPr>
          <w:lang w:val="tr-TR"/>
        </w:rPr>
        <w:t xml:space="preserve">içerikli olan </w:t>
      </w:r>
      <w:r w:rsidR="00425E77" w:rsidRPr="008F1795">
        <w:rPr>
          <w:lang w:val="tr-TR"/>
        </w:rPr>
        <w:t xml:space="preserve">bu küfürlü sözleri değerlendirirken, </w:t>
      </w:r>
      <w:r w:rsidR="00890D3F" w:rsidRPr="008F1795">
        <w:rPr>
          <w:lang w:val="tr-TR"/>
        </w:rPr>
        <w:t xml:space="preserve">ülkenin kültürel ve ahlaki özelliklerinin de dikkate alınması gerektiğini vurgulamıştır. </w:t>
      </w:r>
    </w:p>
    <w:p w14:paraId="187368FE" w14:textId="77777777" w:rsidR="00A346FD" w:rsidRPr="008F1795" w:rsidRDefault="00A346FD" w:rsidP="00A346FD">
      <w:pPr>
        <w:pStyle w:val="ListeParagraf"/>
        <w:tabs>
          <w:tab w:val="left" w:pos="640"/>
        </w:tabs>
        <w:ind w:right="217"/>
        <w:rPr>
          <w:lang w:val="tr-TR"/>
        </w:rPr>
      </w:pPr>
    </w:p>
    <w:p w14:paraId="171BD9B4" w14:textId="3F821ADA" w:rsidR="00FB5338" w:rsidRPr="008F1795" w:rsidRDefault="00EA0676">
      <w:pPr>
        <w:pStyle w:val="ListeParagraf"/>
        <w:numPr>
          <w:ilvl w:val="0"/>
          <w:numId w:val="3"/>
        </w:numPr>
        <w:tabs>
          <w:tab w:val="left" w:pos="645"/>
        </w:tabs>
        <w:ind w:firstLine="0"/>
        <w:rPr>
          <w:lang w:val="tr-TR"/>
        </w:rPr>
      </w:pPr>
      <w:r w:rsidRPr="008F1795">
        <w:rPr>
          <w:lang w:val="tr-TR"/>
        </w:rPr>
        <w:t>Yetkililer bu konuda, Yargıtay</w:t>
      </w:r>
      <w:r w:rsidR="00FA14AE" w:rsidRPr="008F1795">
        <w:rPr>
          <w:lang w:val="tr-TR"/>
        </w:rPr>
        <w:t>’</w:t>
      </w:r>
      <w:r w:rsidRPr="008F1795">
        <w:rPr>
          <w:lang w:val="tr-TR"/>
        </w:rPr>
        <w:t xml:space="preserve">ın yakın tarihli iki </w:t>
      </w:r>
      <w:r w:rsidR="008D46AC" w:rsidRPr="008F1795">
        <w:rPr>
          <w:lang w:val="tr-TR"/>
        </w:rPr>
        <w:t xml:space="preserve">kararını heyete sunmuştur: </w:t>
      </w:r>
      <w:r w:rsidR="00556BB0" w:rsidRPr="008F1795">
        <w:rPr>
          <w:lang w:val="tr-TR"/>
        </w:rPr>
        <w:t xml:space="preserve">İlkinde Yargıtay, </w:t>
      </w:r>
      <w:r w:rsidR="002D4538" w:rsidRPr="008F1795">
        <w:rPr>
          <w:lang w:val="tr-TR"/>
        </w:rPr>
        <w:t>İstanbul 3. Çocuk Mahkemesinin sanı</w:t>
      </w:r>
      <w:r w:rsidR="005C734C" w:rsidRPr="008F1795">
        <w:rPr>
          <w:lang w:val="tr-TR"/>
        </w:rPr>
        <w:t>k</w:t>
      </w:r>
      <w:r w:rsidR="002D4538" w:rsidRPr="008F1795">
        <w:rPr>
          <w:lang w:val="tr-TR"/>
        </w:rPr>
        <w:t xml:space="preserve"> (</w:t>
      </w:r>
      <w:r w:rsidR="005C734C" w:rsidRPr="008F1795">
        <w:rPr>
          <w:lang w:val="tr-TR"/>
        </w:rPr>
        <w:t xml:space="preserve">olay zamanında </w:t>
      </w:r>
      <w:r w:rsidR="002D4538" w:rsidRPr="008F1795">
        <w:rPr>
          <w:lang w:val="tr-TR"/>
        </w:rPr>
        <w:t>17 yaşında</w:t>
      </w:r>
      <w:r w:rsidR="005C734C" w:rsidRPr="008F1795">
        <w:rPr>
          <w:lang w:val="tr-TR"/>
        </w:rPr>
        <w:t xml:space="preserve"> olan bir oğlan çocuğu) hakkında aldığı beraat kararını </w:t>
      </w:r>
      <w:r w:rsidR="00425322" w:rsidRPr="008F1795">
        <w:rPr>
          <w:lang w:val="tr-TR"/>
        </w:rPr>
        <w:t>(4 Kasım 2014) 21 Ekim 2015 tarihli kararı ile bozmuştur</w:t>
      </w:r>
      <w:r w:rsidR="00D53920" w:rsidRPr="008F1795">
        <w:rPr>
          <w:lang w:val="tr-TR"/>
        </w:rPr>
        <w:t>.</w:t>
      </w:r>
      <w:r w:rsidR="00974C81" w:rsidRPr="008F1795">
        <w:rPr>
          <w:rStyle w:val="DipnotBavurusu"/>
          <w:lang w:val="tr-TR"/>
        </w:rPr>
        <w:footnoteReference w:id="70"/>
      </w:r>
      <w:r w:rsidR="00D53920" w:rsidRPr="008F1795">
        <w:rPr>
          <w:lang w:val="tr-TR"/>
        </w:rPr>
        <w:t xml:space="preserve"> </w:t>
      </w:r>
      <w:r w:rsidR="003361DC" w:rsidRPr="008F1795">
        <w:rPr>
          <w:lang w:val="tr-TR"/>
        </w:rPr>
        <w:t>O dönemin Cumhurbaşkanının “</w:t>
      </w:r>
      <w:r w:rsidR="00694466" w:rsidRPr="008F1795">
        <w:rPr>
          <w:i/>
          <w:iCs/>
          <w:lang w:val="tr-TR"/>
        </w:rPr>
        <w:t>Türkiye’de internet özgürlükleri kıs</w:t>
      </w:r>
      <w:r w:rsidR="00842675" w:rsidRPr="008F1795">
        <w:rPr>
          <w:i/>
          <w:iCs/>
          <w:lang w:val="tr-TR"/>
        </w:rPr>
        <w:t>ı</w:t>
      </w:r>
      <w:r w:rsidR="00694466" w:rsidRPr="008F1795">
        <w:rPr>
          <w:i/>
          <w:iCs/>
          <w:lang w:val="tr-TR"/>
        </w:rPr>
        <w:t>tlanmayacak</w:t>
      </w:r>
      <w:r w:rsidR="00842675" w:rsidRPr="008F1795">
        <w:rPr>
          <w:lang w:val="tr-TR"/>
        </w:rPr>
        <w:t>” şeklindeki açıklaması üzerine oğlan çocuğu internet sitesinde “</w:t>
      </w:r>
      <w:proofErr w:type="gramStart"/>
      <w:r w:rsidR="003B5300" w:rsidRPr="008F1795">
        <w:rPr>
          <w:i/>
          <w:iCs/>
          <w:lang w:val="tr-TR"/>
        </w:rPr>
        <w:t>s..</w:t>
      </w:r>
      <w:proofErr w:type="gramEnd"/>
      <w:r w:rsidR="003B5300" w:rsidRPr="008F1795">
        <w:rPr>
          <w:i/>
          <w:iCs/>
          <w:lang w:val="tr-TR"/>
        </w:rPr>
        <w:t xml:space="preserve"> git p…. dedirten açıklama</w:t>
      </w:r>
      <w:r w:rsidR="006066F5" w:rsidRPr="008F1795">
        <w:rPr>
          <w:i/>
          <w:iCs/>
          <w:lang w:val="tr-TR"/>
        </w:rPr>
        <w:t>!</w:t>
      </w:r>
      <w:r w:rsidR="003B5300" w:rsidRPr="008F1795">
        <w:rPr>
          <w:lang w:val="tr-TR"/>
        </w:rPr>
        <w:t>”</w:t>
      </w:r>
      <w:r w:rsidR="00B33E00" w:rsidRPr="008F1795">
        <w:rPr>
          <w:lang w:val="tr-TR"/>
        </w:rPr>
        <w:t xml:space="preserve"> </w:t>
      </w:r>
      <w:r w:rsidR="006066F5" w:rsidRPr="008F1795">
        <w:rPr>
          <w:lang w:val="tr-TR"/>
        </w:rPr>
        <w:t xml:space="preserve">yazan bir </w:t>
      </w:r>
      <w:r w:rsidR="00B33E00" w:rsidRPr="008F1795">
        <w:rPr>
          <w:lang w:val="tr-TR"/>
        </w:rPr>
        <w:t>gönderim paylaşmıştır.</w:t>
      </w:r>
      <w:r w:rsidR="006066F5" w:rsidRPr="008F1795">
        <w:rPr>
          <w:lang w:val="tr-TR"/>
        </w:rPr>
        <w:t xml:space="preserve"> Yargıtay, </w:t>
      </w:r>
      <w:r w:rsidR="00674644" w:rsidRPr="008F1795">
        <w:rPr>
          <w:lang w:val="tr-TR"/>
        </w:rPr>
        <w:t xml:space="preserve">Cumhurbaşkanına </w:t>
      </w:r>
      <w:r w:rsidR="00666CEC" w:rsidRPr="008F1795">
        <w:rPr>
          <w:lang w:val="tr-TR"/>
        </w:rPr>
        <w:t xml:space="preserve">yönelik sövgü içeren bu gönderimin 299. </w:t>
      </w:r>
      <w:r w:rsidR="00241305" w:rsidRPr="008F1795">
        <w:rPr>
          <w:lang w:val="tr-TR"/>
        </w:rPr>
        <w:t>Madde</w:t>
      </w:r>
      <w:r w:rsidR="00666CEC" w:rsidRPr="008F1795">
        <w:rPr>
          <w:lang w:val="tr-TR"/>
        </w:rPr>
        <w:t xml:space="preserve">nin ihlali olduğunu </w:t>
      </w:r>
      <w:r w:rsidR="000B1536" w:rsidRPr="008F1795">
        <w:rPr>
          <w:lang w:val="tr-TR"/>
        </w:rPr>
        <w:t>değerlendirmiştir.</w:t>
      </w:r>
      <w:r w:rsidR="000B1536" w:rsidRPr="008F1795">
        <w:rPr>
          <w:rStyle w:val="DipnotBavurusu"/>
          <w:lang w:val="tr-TR"/>
        </w:rPr>
        <w:footnoteReference w:id="71"/>
      </w:r>
      <w:r w:rsidR="000B1536" w:rsidRPr="008F1795">
        <w:rPr>
          <w:lang w:val="tr-TR"/>
        </w:rPr>
        <w:t xml:space="preserve"> Yargıtay, 15 Ocak 2014 tarihli başka bir kararında ise, </w:t>
      </w:r>
      <w:r w:rsidR="00AD2A08" w:rsidRPr="008F1795">
        <w:rPr>
          <w:lang w:val="tr-TR"/>
        </w:rPr>
        <w:t xml:space="preserve">sanık hakkında 11 ay ve 20 gün hapis cezası veren </w:t>
      </w:r>
      <w:r w:rsidR="00236093" w:rsidRPr="008F1795">
        <w:rPr>
          <w:lang w:val="tr-TR"/>
        </w:rPr>
        <w:t>ve bunu para cezasına çeviren ilk derece mahkemesinin kararını onaylamıştır.</w:t>
      </w:r>
      <w:r w:rsidR="00D63A8F" w:rsidRPr="008F1795">
        <w:rPr>
          <w:rStyle w:val="DipnotBavurusu"/>
          <w:lang w:val="tr-TR"/>
        </w:rPr>
        <w:footnoteReference w:id="72"/>
      </w:r>
      <w:r w:rsidR="00236093" w:rsidRPr="008F1795">
        <w:rPr>
          <w:lang w:val="tr-TR"/>
        </w:rPr>
        <w:t xml:space="preserve"> </w:t>
      </w:r>
      <w:r w:rsidR="00C62D14" w:rsidRPr="008F1795">
        <w:rPr>
          <w:lang w:val="tr-TR"/>
        </w:rPr>
        <w:t>H</w:t>
      </w:r>
      <w:r w:rsidR="00D041D2" w:rsidRPr="008F1795">
        <w:rPr>
          <w:lang w:val="tr-TR"/>
        </w:rPr>
        <w:t xml:space="preserve">ükümlü, Atatürk’e hakaret edildiğini düşündüğü bir </w:t>
      </w:r>
      <w:r w:rsidR="00D4070C" w:rsidRPr="008F1795">
        <w:rPr>
          <w:lang w:val="tr-TR"/>
        </w:rPr>
        <w:t>F</w:t>
      </w:r>
      <w:r w:rsidR="00D041D2" w:rsidRPr="008F1795">
        <w:rPr>
          <w:lang w:val="tr-TR"/>
        </w:rPr>
        <w:t>acebook gönderisine cevap olarak, o dönemin Cumhurbaşkanına ait bir fotoğraf</w:t>
      </w:r>
      <w:r w:rsidR="00863710" w:rsidRPr="008F1795">
        <w:rPr>
          <w:lang w:val="tr-TR"/>
        </w:rPr>
        <w:t xml:space="preserve">ı küfürlü kelimeler kullanarak paylaşmıştır. </w:t>
      </w:r>
    </w:p>
    <w:p w14:paraId="7AA18BBE" w14:textId="77777777" w:rsidR="00FB5338" w:rsidRPr="008F1795" w:rsidRDefault="00FB5338" w:rsidP="00FB5338">
      <w:pPr>
        <w:pStyle w:val="ListeParagraf"/>
        <w:tabs>
          <w:tab w:val="left" w:pos="645"/>
        </w:tabs>
        <w:rPr>
          <w:lang w:val="tr-TR"/>
        </w:rPr>
      </w:pPr>
    </w:p>
    <w:p w14:paraId="27631651" w14:textId="355BA172" w:rsidR="00863710" w:rsidRPr="008F1795" w:rsidRDefault="00B0788E">
      <w:pPr>
        <w:pStyle w:val="ListeParagraf"/>
        <w:numPr>
          <w:ilvl w:val="0"/>
          <w:numId w:val="3"/>
        </w:numPr>
        <w:tabs>
          <w:tab w:val="left" w:pos="723"/>
        </w:tabs>
        <w:ind w:firstLine="0"/>
        <w:rPr>
          <w:lang w:val="tr-TR"/>
        </w:rPr>
      </w:pPr>
      <w:r w:rsidRPr="008F1795">
        <w:rPr>
          <w:lang w:val="tr-TR"/>
        </w:rPr>
        <w:t xml:space="preserve">Yetkililer ayrıca, </w:t>
      </w:r>
      <w:r w:rsidR="009C19E8" w:rsidRPr="008F1795">
        <w:rPr>
          <w:lang w:val="tr-TR"/>
        </w:rPr>
        <w:t xml:space="preserve">Cumhurbaşkanının itibarını lekelemek amacıyla </w:t>
      </w:r>
      <w:r w:rsidR="00FE1725">
        <w:rPr>
          <w:lang w:val="tr-TR"/>
        </w:rPr>
        <w:t xml:space="preserve">Cumhurbaşkanlığı </w:t>
      </w:r>
      <w:r w:rsidR="004807BF">
        <w:rPr>
          <w:lang w:val="tr-TR"/>
        </w:rPr>
        <w:t>Külliye</w:t>
      </w:r>
      <w:r w:rsidR="00FE1725">
        <w:rPr>
          <w:lang w:val="tr-TR"/>
        </w:rPr>
        <w:t>sinde</w:t>
      </w:r>
      <w:r w:rsidR="00D4070C" w:rsidRPr="008F1795">
        <w:rPr>
          <w:lang w:val="tr-TR"/>
        </w:rPr>
        <w:t xml:space="preserve"> “altın kaplama tuvaletler” olduğu iddiaları gibi, Cumhurbaşkanı ve ailesi hakkında yanlış bilgi</w:t>
      </w:r>
      <w:r w:rsidR="00DA3BD2" w:rsidRPr="008F1795">
        <w:rPr>
          <w:lang w:val="tr-TR"/>
        </w:rPr>
        <w:t xml:space="preserve">leri bilerek yayınlayan medya haberlerine karşı </w:t>
      </w:r>
      <w:r w:rsidR="00890C2B" w:rsidRPr="008F1795">
        <w:rPr>
          <w:lang w:val="tr-TR"/>
        </w:rPr>
        <w:t xml:space="preserve">da </w:t>
      </w:r>
      <w:r w:rsidR="00DA3BD2" w:rsidRPr="008F1795">
        <w:rPr>
          <w:lang w:val="tr-TR"/>
        </w:rPr>
        <w:t xml:space="preserve">Cumhurbaşkanının korunması gerektiğini vurgulamıştır. </w:t>
      </w:r>
    </w:p>
    <w:p w14:paraId="227642E9" w14:textId="77777777" w:rsidR="00863710" w:rsidRPr="008F1795" w:rsidRDefault="00863710" w:rsidP="00863710">
      <w:pPr>
        <w:pStyle w:val="ListeParagraf"/>
        <w:tabs>
          <w:tab w:val="left" w:pos="723"/>
        </w:tabs>
        <w:rPr>
          <w:lang w:val="tr-TR"/>
        </w:rPr>
      </w:pPr>
    </w:p>
    <w:p w14:paraId="30C97093" w14:textId="09B753C1" w:rsidR="00890C2B" w:rsidRPr="008F1795" w:rsidRDefault="00890C2B">
      <w:pPr>
        <w:pStyle w:val="ListeParagraf"/>
        <w:numPr>
          <w:ilvl w:val="0"/>
          <w:numId w:val="3"/>
        </w:numPr>
        <w:tabs>
          <w:tab w:val="left" w:pos="633"/>
        </w:tabs>
        <w:ind w:right="216" w:firstLine="0"/>
        <w:rPr>
          <w:lang w:val="tr-TR"/>
        </w:rPr>
      </w:pPr>
      <w:r w:rsidRPr="008F1795">
        <w:rPr>
          <w:lang w:val="tr-TR"/>
        </w:rPr>
        <w:t xml:space="preserve">Sivil toplum </w:t>
      </w:r>
      <w:r w:rsidR="003B55AE" w:rsidRPr="008F1795">
        <w:rPr>
          <w:lang w:val="tr-TR"/>
        </w:rPr>
        <w:t>kuruluşlarına</w:t>
      </w:r>
      <w:r w:rsidRPr="008F1795">
        <w:rPr>
          <w:lang w:val="tr-TR"/>
        </w:rPr>
        <w:t xml:space="preserve"> görüş</w:t>
      </w:r>
      <w:r w:rsidR="00234FC3" w:rsidRPr="008F1795">
        <w:rPr>
          <w:lang w:val="tr-TR"/>
        </w:rPr>
        <w:t xml:space="preserve">üne göre, 299. </w:t>
      </w:r>
      <w:r w:rsidR="00241305" w:rsidRPr="008F1795">
        <w:rPr>
          <w:lang w:val="tr-TR"/>
        </w:rPr>
        <w:t>Madde</w:t>
      </w:r>
      <w:r w:rsidR="00234FC3" w:rsidRPr="008F1795">
        <w:rPr>
          <w:lang w:val="tr-TR"/>
        </w:rPr>
        <w:t xml:space="preserve">nin aşırı kullanımı, uygulamada eleştiri ve </w:t>
      </w:r>
      <w:r w:rsidR="001078E6" w:rsidRPr="008F1795">
        <w:rPr>
          <w:lang w:val="tr-TR"/>
        </w:rPr>
        <w:t>hakaret</w:t>
      </w:r>
      <w:r w:rsidR="00234FC3" w:rsidRPr="008F1795">
        <w:rPr>
          <w:lang w:val="tr-TR"/>
        </w:rPr>
        <w:t xml:space="preserve"> arasında bir ayrım </w:t>
      </w:r>
      <w:r w:rsidR="008A149B">
        <w:rPr>
          <w:lang w:val="tr-TR"/>
        </w:rPr>
        <w:t>yapılmamasından</w:t>
      </w:r>
      <w:r w:rsidR="00846C4D" w:rsidRPr="008F1795">
        <w:rPr>
          <w:lang w:val="tr-TR"/>
        </w:rPr>
        <w:t xml:space="preserve"> kaynaklanmaktadır</w:t>
      </w:r>
      <w:r w:rsidR="001078E6" w:rsidRPr="008F1795">
        <w:rPr>
          <w:lang w:val="tr-TR"/>
        </w:rPr>
        <w:t xml:space="preserve"> ve bu </w:t>
      </w:r>
      <w:r w:rsidR="00241305" w:rsidRPr="008F1795">
        <w:rPr>
          <w:lang w:val="tr-TR"/>
        </w:rPr>
        <w:t>madde</w:t>
      </w:r>
      <w:r w:rsidR="001078E6" w:rsidRPr="008F1795">
        <w:rPr>
          <w:lang w:val="tr-TR"/>
        </w:rPr>
        <w:t xml:space="preserve"> hükmü ülkedeki muhalif sesleri susturmak ve siyasi rakipleri yıldırmak </w:t>
      </w:r>
      <w:r w:rsidR="00846C4D" w:rsidRPr="008F1795">
        <w:rPr>
          <w:lang w:val="tr-TR"/>
        </w:rPr>
        <w:t>için kullanılmaktadır.</w:t>
      </w:r>
      <w:r w:rsidR="00F37AEC" w:rsidRPr="008F1795">
        <w:rPr>
          <w:lang w:val="tr-TR"/>
        </w:rPr>
        <w:t xml:space="preserve"> Sivil toplum temsilcileri özellikle medyada oto-sansürün yaygın olduğunu ve 299. </w:t>
      </w:r>
      <w:r w:rsidR="00241305" w:rsidRPr="008F1795">
        <w:rPr>
          <w:lang w:val="tr-TR"/>
        </w:rPr>
        <w:t>Madde</w:t>
      </w:r>
      <w:r w:rsidR="00F37AEC" w:rsidRPr="008F1795">
        <w:rPr>
          <w:lang w:val="tr-TR"/>
        </w:rPr>
        <w:t xml:space="preserve">nin aktif </w:t>
      </w:r>
      <w:r w:rsidR="00EE0D62" w:rsidRPr="008F1795">
        <w:rPr>
          <w:lang w:val="tr-TR"/>
        </w:rPr>
        <w:t>olarak</w:t>
      </w:r>
      <w:r w:rsidR="00F37AEC" w:rsidRPr="008F1795">
        <w:rPr>
          <w:lang w:val="tr-TR"/>
        </w:rPr>
        <w:t xml:space="preserve"> caydırıcı </w:t>
      </w:r>
      <w:r w:rsidR="00EE0D62" w:rsidRPr="008F1795">
        <w:rPr>
          <w:lang w:val="tr-TR"/>
        </w:rPr>
        <w:t>olduğunu bildirmiştir. ST</w:t>
      </w:r>
      <w:r w:rsidR="007E7C7B">
        <w:rPr>
          <w:lang w:val="tr-TR"/>
        </w:rPr>
        <w:t>Ö’ler</w:t>
      </w:r>
      <w:r w:rsidR="00446A22" w:rsidRPr="008F1795">
        <w:rPr>
          <w:lang w:val="tr-TR"/>
        </w:rPr>
        <w:t xml:space="preserve"> </w:t>
      </w:r>
      <w:r w:rsidR="0080522E" w:rsidRPr="008F1795">
        <w:rPr>
          <w:lang w:val="tr-TR"/>
        </w:rPr>
        <w:t xml:space="preserve">son aylarda </w:t>
      </w:r>
      <w:r w:rsidR="00446A22" w:rsidRPr="008F1795">
        <w:rPr>
          <w:lang w:val="tr-TR"/>
        </w:rPr>
        <w:t xml:space="preserve">299. </w:t>
      </w:r>
      <w:r w:rsidR="00241305" w:rsidRPr="008F1795">
        <w:rPr>
          <w:lang w:val="tr-TR"/>
        </w:rPr>
        <w:t>Madde</w:t>
      </w:r>
      <w:r w:rsidR="00446A22" w:rsidRPr="008F1795">
        <w:rPr>
          <w:lang w:val="tr-TR"/>
        </w:rPr>
        <w:t xml:space="preserve"> temelinde 42 gazeteci hakkında soruşturma ya da kovuşturma yapıldığını iddia etmiştir. </w:t>
      </w:r>
    </w:p>
    <w:p w14:paraId="38F85518" w14:textId="069E7F56" w:rsidR="00890C2B" w:rsidRPr="008F1795" w:rsidRDefault="00890C2B" w:rsidP="00890C2B">
      <w:pPr>
        <w:pStyle w:val="ListeParagraf"/>
        <w:tabs>
          <w:tab w:val="left" w:pos="633"/>
        </w:tabs>
        <w:ind w:right="216"/>
        <w:rPr>
          <w:lang w:val="tr-TR"/>
        </w:rPr>
      </w:pPr>
    </w:p>
    <w:p w14:paraId="539FA506" w14:textId="1C6078DE" w:rsidR="0080522E" w:rsidRPr="008F1795" w:rsidRDefault="00A4077F" w:rsidP="00F938BF">
      <w:pPr>
        <w:pStyle w:val="ListeParagraf"/>
        <w:numPr>
          <w:ilvl w:val="0"/>
          <w:numId w:val="3"/>
        </w:numPr>
        <w:tabs>
          <w:tab w:val="left" w:pos="665"/>
        </w:tabs>
        <w:ind w:right="215" w:firstLine="0"/>
        <w:rPr>
          <w:lang w:val="tr-TR"/>
        </w:rPr>
      </w:pPr>
      <w:r w:rsidRPr="008F1795">
        <w:rPr>
          <w:lang w:val="tr-TR"/>
        </w:rPr>
        <w:t xml:space="preserve">Yukarıda belirtilen bilgilerin ışığında </w:t>
      </w:r>
      <w:r w:rsidR="0080522E" w:rsidRPr="008F1795">
        <w:rPr>
          <w:lang w:val="tr-TR"/>
        </w:rPr>
        <w:t>Venedik Komi</w:t>
      </w:r>
      <w:r w:rsidRPr="008F1795">
        <w:rPr>
          <w:lang w:val="tr-TR"/>
        </w:rPr>
        <w:t>s</w:t>
      </w:r>
      <w:r w:rsidR="0080522E" w:rsidRPr="008F1795">
        <w:rPr>
          <w:lang w:val="tr-TR"/>
        </w:rPr>
        <w:t xml:space="preserve">yonu, </w:t>
      </w:r>
      <w:r w:rsidR="00E646B6" w:rsidRPr="008F1795">
        <w:rPr>
          <w:b/>
          <w:bCs/>
          <w:lang w:val="tr-TR"/>
        </w:rPr>
        <w:t>ilk olarak</w:t>
      </w:r>
      <w:r w:rsidR="0080522E" w:rsidRPr="008F1795">
        <w:rPr>
          <w:lang w:val="tr-TR"/>
        </w:rPr>
        <w:t xml:space="preserve">, </w:t>
      </w:r>
      <w:r w:rsidR="00A350AC" w:rsidRPr="008F1795">
        <w:rPr>
          <w:lang w:val="tr-TR"/>
        </w:rPr>
        <w:t xml:space="preserve">Cumhurbaşkanına hakaret iddialarına dayalı soruşturma, kovuşturma, yakalama ve alıkonulmaların </w:t>
      </w:r>
      <w:r w:rsidRPr="008F1795">
        <w:rPr>
          <w:lang w:val="tr-TR"/>
        </w:rPr>
        <w:t xml:space="preserve">sadece sövgü içeren ifadeler ile sınırlı tutulmadığını gözlemlemektedir. </w:t>
      </w:r>
      <w:r w:rsidR="00EC66E3" w:rsidRPr="008F1795">
        <w:rPr>
          <w:lang w:val="tr-TR"/>
        </w:rPr>
        <w:t>Aralık 2013 yolsuzluk soruşturması</w:t>
      </w:r>
      <w:r w:rsidR="00F05CF5" w:rsidRPr="008F1795">
        <w:rPr>
          <w:rStyle w:val="DipnotBavurusu"/>
          <w:lang w:val="tr-TR"/>
        </w:rPr>
        <w:footnoteReference w:id="73"/>
      </w:r>
      <w:r w:rsidR="0009651A" w:rsidRPr="008F1795">
        <w:rPr>
          <w:lang w:val="tr-TR"/>
        </w:rPr>
        <w:t xml:space="preserve"> ve</w:t>
      </w:r>
      <w:r w:rsidR="0001330E" w:rsidRPr="008F1795">
        <w:rPr>
          <w:lang w:val="tr-TR"/>
        </w:rPr>
        <w:t xml:space="preserve"> Suriyeli mülteci krizi</w:t>
      </w:r>
      <w:r w:rsidR="00D045EB" w:rsidRPr="008F1795">
        <w:rPr>
          <w:rStyle w:val="DipnotBavurusu"/>
          <w:lang w:val="tr-TR"/>
        </w:rPr>
        <w:footnoteReference w:id="74"/>
      </w:r>
      <w:r w:rsidR="00EC66E3" w:rsidRPr="008F1795">
        <w:rPr>
          <w:lang w:val="tr-TR"/>
        </w:rPr>
        <w:t xml:space="preserve"> ile ilgili </w:t>
      </w:r>
      <w:r w:rsidR="000536D7" w:rsidRPr="008F1795">
        <w:rPr>
          <w:lang w:val="tr-TR"/>
        </w:rPr>
        <w:t xml:space="preserve">basın makalelerinde Cumhurbaşkanına hakaret </w:t>
      </w:r>
      <w:r w:rsidR="00D16E27" w:rsidRPr="008F1795">
        <w:rPr>
          <w:lang w:val="tr-TR"/>
        </w:rPr>
        <w:t>etme</w:t>
      </w:r>
      <w:r w:rsidR="008534B2">
        <w:rPr>
          <w:lang w:val="tr-TR"/>
        </w:rPr>
        <w:t>kle suçlanan</w:t>
      </w:r>
      <w:r w:rsidR="000536D7" w:rsidRPr="008F1795">
        <w:rPr>
          <w:lang w:val="tr-TR"/>
        </w:rPr>
        <w:t xml:space="preserve"> gazeteciler</w:t>
      </w:r>
      <w:r w:rsidR="0009651A" w:rsidRPr="008F1795">
        <w:rPr>
          <w:lang w:val="tr-TR"/>
        </w:rPr>
        <w:t xml:space="preserve"> </w:t>
      </w:r>
      <w:r w:rsidR="00645CCC" w:rsidRPr="008F1795">
        <w:rPr>
          <w:lang w:val="tr-TR"/>
        </w:rPr>
        <w:t>ile terörizm propagandası ile mücadele bağlamında hükümet politikalarını protesto eden bir muhalif parti lideri</w:t>
      </w:r>
      <w:r w:rsidR="00645CCC" w:rsidRPr="008F1795">
        <w:rPr>
          <w:rStyle w:val="DipnotBavurusu"/>
          <w:lang w:val="tr-TR"/>
        </w:rPr>
        <w:footnoteReference w:id="75"/>
      </w:r>
      <w:r w:rsidR="00645CCC" w:rsidRPr="008F1795">
        <w:rPr>
          <w:lang w:val="tr-TR"/>
        </w:rPr>
        <w:t xml:space="preserve"> </w:t>
      </w:r>
      <w:r w:rsidR="00E544A6" w:rsidRPr="008F1795">
        <w:rPr>
          <w:lang w:val="tr-TR"/>
        </w:rPr>
        <w:t>hakkında</w:t>
      </w:r>
      <w:r w:rsidR="00607FE6" w:rsidRPr="008F1795">
        <w:rPr>
          <w:lang w:val="tr-TR"/>
        </w:rPr>
        <w:t xml:space="preserve"> yürütülen soruşturma ve kovuşturmalar</w:t>
      </w:r>
      <w:r w:rsidR="00915B75" w:rsidRPr="008F1795">
        <w:rPr>
          <w:lang w:val="tr-TR"/>
        </w:rPr>
        <w:t xml:space="preserve">ın hepsi kamuyu ilgilendiren önemli konulardaki tartışmalar ile ilgilidir. </w:t>
      </w:r>
      <w:r w:rsidR="00606643" w:rsidRPr="008F1795">
        <w:rPr>
          <w:lang w:val="tr-TR"/>
        </w:rPr>
        <w:t>Örnekler, ö</w:t>
      </w:r>
      <w:r w:rsidR="001C086E" w:rsidRPr="008F1795">
        <w:rPr>
          <w:lang w:val="tr-TR"/>
        </w:rPr>
        <w:t xml:space="preserve">zellikle yakın tarihli </w:t>
      </w:r>
      <w:r w:rsidR="00606643" w:rsidRPr="008F1795">
        <w:rPr>
          <w:lang w:val="tr-TR"/>
        </w:rPr>
        <w:t>olanlar</w:t>
      </w:r>
      <w:r w:rsidR="00CE7363" w:rsidRPr="008F1795">
        <w:rPr>
          <w:lang w:val="tr-TR"/>
        </w:rPr>
        <w:t>,</w:t>
      </w:r>
      <w:r w:rsidR="001C086E" w:rsidRPr="008F1795">
        <w:rPr>
          <w:lang w:val="tr-TR"/>
        </w:rPr>
        <w:t xml:space="preserve"> basın haberlerinde</w:t>
      </w:r>
      <w:r w:rsidR="00CE7363" w:rsidRPr="008F1795">
        <w:rPr>
          <w:lang w:val="tr-TR"/>
        </w:rPr>
        <w:t xml:space="preserve"> yaygın </w:t>
      </w:r>
      <w:r w:rsidR="004F4781" w:rsidRPr="008F1795">
        <w:rPr>
          <w:lang w:val="tr-TR"/>
        </w:rPr>
        <w:t>şekilde</w:t>
      </w:r>
      <w:r w:rsidR="00CE7363" w:rsidRPr="008F1795">
        <w:rPr>
          <w:lang w:val="tr-TR"/>
        </w:rPr>
        <w:t xml:space="preserve"> görülmektedir: 10 Aralık 2015’te </w:t>
      </w:r>
      <w:proofErr w:type="spellStart"/>
      <w:r w:rsidR="00CE7363" w:rsidRPr="008F1795">
        <w:rPr>
          <w:i/>
          <w:iCs/>
          <w:lang w:val="tr-TR"/>
        </w:rPr>
        <w:t>Birgün</w:t>
      </w:r>
      <w:proofErr w:type="spellEnd"/>
      <w:r w:rsidR="00CE7363" w:rsidRPr="008F1795">
        <w:rPr>
          <w:lang w:val="tr-TR"/>
        </w:rPr>
        <w:t xml:space="preserve"> gazetesin</w:t>
      </w:r>
      <w:r w:rsidR="00FA6E65" w:rsidRPr="008F1795">
        <w:rPr>
          <w:lang w:val="tr-TR"/>
        </w:rPr>
        <w:t xml:space="preserve">de çalışan sorumlu yazı işleri müdürü, yazı işleri müdürü ve bir </w:t>
      </w:r>
      <w:r w:rsidR="00FA6E65" w:rsidRPr="008F1795">
        <w:rPr>
          <w:lang w:val="tr-TR"/>
        </w:rPr>
        <w:lastRenderedPageBreak/>
        <w:t>gazeteci</w:t>
      </w:r>
      <w:r w:rsidR="00DF4157" w:rsidRPr="008F1795">
        <w:rPr>
          <w:lang w:val="tr-TR"/>
        </w:rPr>
        <w:t>ye</w:t>
      </w:r>
      <w:r w:rsidR="00984F3F" w:rsidRPr="008F1795">
        <w:rPr>
          <w:lang w:val="tr-TR"/>
        </w:rPr>
        <w:t xml:space="preserve">, </w:t>
      </w:r>
      <w:r w:rsidR="001B2BF3" w:rsidRPr="008F1795">
        <w:rPr>
          <w:lang w:val="tr-TR"/>
        </w:rPr>
        <w:t>17 Şubat 2015 tarihinde gazetede</w:t>
      </w:r>
      <w:r w:rsidR="00DF4157" w:rsidRPr="008F1795">
        <w:rPr>
          <w:lang w:val="tr-TR"/>
        </w:rPr>
        <w:t xml:space="preserve"> </w:t>
      </w:r>
      <w:r w:rsidR="00AC39EE" w:rsidRPr="008F1795">
        <w:rPr>
          <w:lang w:val="tr-TR"/>
        </w:rPr>
        <w:t>yer alan</w:t>
      </w:r>
      <w:r w:rsidR="001B2BF3" w:rsidRPr="008F1795">
        <w:rPr>
          <w:lang w:val="tr-TR"/>
        </w:rPr>
        <w:t xml:space="preserve"> “</w:t>
      </w:r>
      <w:r w:rsidR="001B2BF3" w:rsidRPr="008F1795">
        <w:rPr>
          <w:i/>
          <w:iCs/>
          <w:lang w:val="tr-TR"/>
        </w:rPr>
        <w:t>Hırsız, Katil Erdoğan</w:t>
      </w:r>
      <w:r w:rsidR="001B2BF3" w:rsidRPr="008F1795">
        <w:rPr>
          <w:lang w:val="tr-TR"/>
        </w:rPr>
        <w:t xml:space="preserve">” </w:t>
      </w:r>
      <w:r w:rsidR="00C605C9" w:rsidRPr="008F1795">
        <w:rPr>
          <w:lang w:val="tr-TR"/>
        </w:rPr>
        <w:t>ve “</w:t>
      </w:r>
      <w:r w:rsidR="00C605C9" w:rsidRPr="008F1795">
        <w:rPr>
          <w:i/>
          <w:iCs/>
          <w:lang w:val="tr-TR"/>
        </w:rPr>
        <w:t>Biz nefret ettiğin 35 milyon</w:t>
      </w:r>
      <w:r w:rsidR="008D3973" w:rsidRPr="008F1795">
        <w:rPr>
          <w:i/>
          <w:iCs/>
          <w:lang w:val="tr-TR"/>
        </w:rPr>
        <w:t>uz</w:t>
      </w:r>
      <w:r w:rsidR="00093D48" w:rsidRPr="008F1795">
        <w:rPr>
          <w:i/>
          <w:iCs/>
          <w:lang w:val="tr-TR"/>
        </w:rPr>
        <w:t xml:space="preserve">! Biz de işledik </w:t>
      </w:r>
      <w:r w:rsidR="00C605C9" w:rsidRPr="008F1795">
        <w:rPr>
          <w:i/>
          <w:iCs/>
          <w:lang w:val="tr-TR"/>
        </w:rPr>
        <w:t>aynı suçu</w:t>
      </w:r>
      <w:r w:rsidR="00C605C9" w:rsidRPr="008F1795">
        <w:rPr>
          <w:lang w:val="tr-TR"/>
        </w:rPr>
        <w:t>”</w:t>
      </w:r>
      <w:r w:rsidR="004F4781" w:rsidRPr="008F1795">
        <w:rPr>
          <w:rStyle w:val="DipnotBavurusu"/>
          <w:lang w:val="tr-TR"/>
        </w:rPr>
        <w:footnoteReference w:id="76"/>
      </w:r>
      <w:r w:rsidR="00AC39EE" w:rsidRPr="008F1795">
        <w:rPr>
          <w:lang w:val="tr-TR"/>
        </w:rPr>
        <w:t xml:space="preserve"> </w:t>
      </w:r>
      <w:r w:rsidR="008D3973" w:rsidRPr="008F1795">
        <w:rPr>
          <w:lang w:val="tr-TR"/>
        </w:rPr>
        <w:t xml:space="preserve">manşeti </w:t>
      </w:r>
      <w:r w:rsidR="00DF4157" w:rsidRPr="008F1795">
        <w:rPr>
          <w:lang w:val="tr-TR"/>
        </w:rPr>
        <w:t>nedeniyle 11 ay ve 20’şer gün hapis cezası verilmiştir.</w:t>
      </w:r>
      <w:r w:rsidR="005E006A" w:rsidRPr="008F1795">
        <w:rPr>
          <w:lang w:val="tr-TR"/>
        </w:rPr>
        <w:t xml:space="preserve"> Manşetin, bir gösteri sırasında aynı sloganı atan</w:t>
      </w:r>
      <w:r w:rsidR="008C3AE6" w:rsidRPr="008F1795">
        <w:rPr>
          <w:lang w:val="tr-TR"/>
        </w:rPr>
        <w:t xml:space="preserve"> kişiler</w:t>
      </w:r>
      <w:r w:rsidR="00781102" w:rsidRPr="008F1795">
        <w:rPr>
          <w:lang w:val="tr-TR"/>
        </w:rPr>
        <w:t xml:space="preserve"> hakkında</w:t>
      </w:r>
      <w:r w:rsidR="008C3AE6" w:rsidRPr="008F1795">
        <w:rPr>
          <w:lang w:val="tr-TR"/>
        </w:rPr>
        <w:t xml:space="preserve"> Cumhurbaşkanına hakaret suçundan </w:t>
      </w:r>
      <w:r w:rsidR="00194BAE">
        <w:rPr>
          <w:lang w:val="tr-TR"/>
        </w:rPr>
        <w:t>yürütülen</w:t>
      </w:r>
      <w:r w:rsidR="00781102" w:rsidRPr="008F1795">
        <w:rPr>
          <w:lang w:val="tr-TR"/>
        </w:rPr>
        <w:t xml:space="preserve"> </w:t>
      </w:r>
      <w:r w:rsidR="008C3AE6" w:rsidRPr="008F1795">
        <w:rPr>
          <w:lang w:val="tr-TR"/>
        </w:rPr>
        <w:t>kovuşturma</w:t>
      </w:r>
      <w:r w:rsidR="00781102" w:rsidRPr="008F1795">
        <w:rPr>
          <w:lang w:val="tr-TR"/>
        </w:rPr>
        <w:t>yı eleştirmek için yayınlandığı anlaşılmaktadır. Eylül 2015’te</w:t>
      </w:r>
      <w:r w:rsidR="00A81BBB" w:rsidRPr="008F1795">
        <w:rPr>
          <w:lang w:val="tr-TR"/>
        </w:rPr>
        <w:t xml:space="preserve"> </w:t>
      </w:r>
      <w:r w:rsidR="00454354" w:rsidRPr="008F1795">
        <w:rPr>
          <w:lang w:val="tr-TR"/>
        </w:rPr>
        <w:t>Cumhurbaşkanına hakaret ve terör</w:t>
      </w:r>
      <w:r w:rsidR="007002E7" w:rsidRPr="008F1795">
        <w:rPr>
          <w:lang w:val="tr-TR"/>
        </w:rPr>
        <w:t xml:space="preserve"> örgütü</w:t>
      </w:r>
      <w:r w:rsidR="00454354" w:rsidRPr="008F1795">
        <w:rPr>
          <w:lang w:val="tr-TR"/>
        </w:rPr>
        <w:t xml:space="preserve"> propaganda</w:t>
      </w:r>
      <w:r w:rsidR="007002E7" w:rsidRPr="008F1795">
        <w:rPr>
          <w:lang w:val="tr-TR"/>
        </w:rPr>
        <w:t>sı yapma</w:t>
      </w:r>
      <w:r w:rsidR="007154B6" w:rsidRPr="008F1795">
        <w:rPr>
          <w:lang w:val="tr-TR"/>
        </w:rPr>
        <w:t xml:space="preserve"> suçuyla hakkında soruşturma </w:t>
      </w:r>
      <w:r w:rsidR="00F457D0" w:rsidRPr="008F1795">
        <w:rPr>
          <w:lang w:val="tr-TR"/>
        </w:rPr>
        <w:t>yürütülen</w:t>
      </w:r>
      <w:r w:rsidR="007154B6" w:rsidRPr="008F1795">
        <w:rPr>
          <w:lang w:val="tr-TR"/>
        </w:rPr>
        <w:t xml:space="preserve"> haftalık </w:t>
      </w:r>
      <w:r w:rsidR="007154B6" w:rsidRPr="008F1795">
        <w:rPr>
          <w:i/>
          <w:iCs/>
          <w:lang w:val="tr-TR"/>
        </w:rPr>
        <w:t>Nokta</w:t>
      </w:r>
      <w:r w:rsidR="007154B6" w:rsidRPr="008F1795">
        <w:rPr>
          <w:lang w:val="tr-TR"/>
        </w:rPr>
        <w:t xml:space="preserve"> dergisi</w:t>
      </w:r>
      <w:r w:rsidR="006111DF" w:rsidRPr="008F1795">
        <w:rPr>
          <w:lang w:val="tr-TR"/>
        </w:rPr>
        <w:t>, polis tarafından baskına uğramıştır ve derginin son sayısının dağıtımı da yasaklanmıştır. Derginin kapağı</w:t>
      </w:r>
      <w:r w:rsidR="00F457D0" w:rsidRPr="008F1795">
        <w:rPr>
          <w:lang w:val="tr-TR"/>
        </w:rPr>
        <w:t>nda</w:t>
      </w:r>
      <w:r w:rsidR="000144CC" w:rsidRPr="008F1795">
        <w:rPr>
          <w:lang w:val="tr-TR"/>
        </w:rPr>
        <w:t xml:space="preserve">, </w:t>
      </w:r>
      <w:r w:rsidR="009C4C0E" w:rsidRPr="008F1795">
        <w:rPr>
          <w:lang w:val="tr-TR"/>
        </w:rPr>
        <w:t>Türk bayra</w:t>
      </w:r>
      <w:r w:rsidR="00B602A3" w:rsidRPr="008F1795">
        <w:rPr>
          <w:lang w:val="tr-TR"/>
        </w:rPr>
        <w:t>ğ</w:t>
      </w:r>
      <w:r w:rsidR="009C4C0E" w:rsidRPr="008F1795">
        <w:rPr>
          <w:lang w:val="tr-TR"/>
        </w:rPr>
        <w:t>ı</w:t>
      </w:r>
      <w:r w:rsidR="00395111" w:rsidRPr="008F1795">
        <w:rPr>
          <w:lang w:val="tr-TR"/>
        </w:rPr>
        <w:t>na</w:t>
      </w:r>
      <w:r w:rsidR="009C4C0E" w:rsidRPr="008F1795">
        <w:rPr>
          <w:lang w:val="tr-TR"/>
        </w:rPr>
        <w:t xml:space="preserve"> sarılı bir tabutu taşıyan askerlerin</w:t>
      </w:r>
      <w:r w:rsidR="002A5A93" w:rsidRPr="008F1795">
        <w:rPr>
          <w:lang w:val="tr-TR"/>
        </w:rPr>
        <w:t xml:space="preserve"> olduğu bir arka planda</w:t>
      </w:r>
      <w:r w:rsidR="00395111" w:rsidRPr="008F1795">
        <w:rPr>
          <w:lang w:val="tr-TR"/>
        </w:rPr>
        <w:t>,</w:t>
      </w:r>
      <w:r w:rsidR="000144CC" w:rsidRPr="008F1795">
        <w:rPr>
          <w:lang w:val="tr-TR"/>
        </w:rPr>
        <w:t xml:space="preserve"> </w:t>
      </w:r>
      <w:r w:rsidR="00395111" w:rsidRPr="008F1795">
        <w:rPr>
          <w:lang w:val="tr-TR"/>
        </w:rPr>
        <w:t xml:space="preserve">Cumhurbaşkanın önde </w:t>
      </w:r>
      <w:r w:rsidR="00B602A3" w:rsidRPr="008F1795">
        <w:rPr>
          <w:lang w:val="tr-TR"/>
        </w:rPr>
        <w:t>gülümseyerek</w:t>
      </w:r>
      <w:r w:rsidR="009638E7">
        <w:rPr>
          <w:lang w:val="tr-TR"/>
        </w:rPr>
        <w:t xml:space="preserve"> </w:t>
      </w:r>
      <w:proofErr w:type="spellStart"/>
      <w:r w:rsidR="009638E7">
        <w:rPr>
          <w:lang w:val="tr-TR"/>
        </w:rPr>
        <w:t>özçekim</w:t>
      </w:r>
      <w:proofErr w:type="spellEnd"/>
      <w:r w:rsidR="009638E7">
        <w:rPr>
          <w:lang w:val="tr-TR"/>
        </w:rPr>
        <w:t xml:space="preserve"> (</w:t>
      </w:r>
      <w:proofErr w:type="spellStart"/>
      <w:r w:rsidR="00DA0496" w:rsidRPr="008F1795">
        <w:rPr>
          <w:lang w:val="tr-TR"/>
        </w:rPr>
        <w:t>selfie</w:t>
      </w:r>
      <w:proofErr w:type="spellEnd"/>
      <w:r w:rsidR="009638E7">
        <w:rPr>
          <w:lang w:val="tr-TR"/>
        </w:rPr>
        <w:t>)</w:t>
      </w:r>
      <w:r w:rsidR="00395111" w:rsidRPr="008F1795">
        <w:rPr>
          <w:lang w:val="tr-TR"/>
        </w:rPr>
        <w:t xml:space="preserve"> </w:t>
      </w:r>
      <w:r w:rsidR="009638E7">
        <w:rPr>
          <w:lang w:val="tr-TR"/>
        </w:rPr>
        <w:t>yaptığı</w:t>
      </w:r>
      <w:r w:rsidR="00555827">
        <w:rPr>
          <w:lang w:val="tr-TR"/>
        </w:rPr>
        <w:t xml:space="preserve">, </w:t>
      </w:r>
      <w:proofErr w:type="spellStart"/>
      <w:r w:rsidR="00ED1AFD" w:rsidRPr="008F1795">
        <w:rPr>
          <w:lang w:val="tr-TR"/>
        </w:rPr>
        <w:t>photoshop</w:t>
      </w:r>
      <w:proofErr w:type="spellEnd"/>
      <w:r w:rsidR="00ED1AFD" w:rsidRPr="008F1795">
        <w:rPr>
          <w:lang w:val="tr-TR"/>
        </w:rPr>
        <w:t xml:space="preserve"> ile düzenlenen</w:t>
      </w:r>
      <w:r w:rsidR="00316BB3" w:rsidRPr="008F1795">
        <w:rPr>
          <w:lang w:val="tr-TR"/>
        </w:rPr>
        <w:t xml:space="preserve"> bir </w:t>
      </w:r>
      <w:r w:rsidR="00395111" w:rsidRPr="008F1795">
        <w:rPr>
          <w:lang w:val="tr-TR"/>
        </w:rPr>
        <w:t xml:space="preserve">fotoğraf yer almaktadır. </w:t>
      </w:r>
      <w:r w:rsidR="00BC1000" w:rsidRPr="008F1795">
        <w:rPr>
          <w:lang w:val="tr-TR"/>
        </w:rPr>
        <w:t xml:space="preserve">Saatlerce alıkonulan derginin bölüm editörü, </w:t>
      </w:r>
      <w:r w:rsidR="00316BB3" w:rsidRPr="008F1795">
        <w:rPr>
          <w:lang w:val="tr-TR"/>
        </w:rPr>
        <w:t xml:space="preserve">fotoğrafın ülkenin güneydoğusunda </w:t>
      </w:r>
      <w:r w:rsidR="00555827">
        <w:rPr>
          <w:lang w:val="tr-TR"/>
        </w:rPr>
        <w:t>emniyet</w:t>
      </w:r>
      <w:r w:rsidR="00316BB3" w:rsidRPr="008F1795">
        <w:rPr>
          <w:lang w:val="tr-TR"/>
        </w:rPr>
        <w:t xml:space="preserve"> kuvvetleri ile PKK arasında artan şiddet olaylarına </w:t>
      </w:r>
      <w:r w:rsidR="00A97B85" w:rsidRPr="008F1795">
        <w:rPr>
          <w:lang w:val="tr-TR"/>
        </w:rPr>
        <w:t>bir gönderme olduğunu açıklamıştır.</w:t>
      </w:r>
      <w:r w:rsidR="00A97B85" w:rsidRPr="008F1795">
        <w:rPr>
          <w:rStyle w:val="DipnotBavurusu"/>
          <w:lang w:val="tr-TR"/>
        </w:rPr>
        <w:footnoteReference w:id="77"/>
      </w:r>
      <w:r w:rsidR="00A97B85" w:rsidRPr="008F1795">
        <w:rPr>
          <w:lang w:val="tr-TR"/>
        </w:rPr>
        <w:t xml:space="preserve"> Mart 2015’te </w:t>
      </w:r>
      <w:r w:rsidR="00A97B85" w:rsidRPr="008F1795">
        <w:rPr>
          <w:i/>
          <w:iCs/>
          <w:lang w:val="tr-TR"/>
        </w:rPr>
        <w:t>Penguen</w:t>
      </w:r>
      <w:r w:rsidR="00A97B85" w:rsidRPr="008F1795">
        <w:rPr>
          <w:lang w:val="tr-TR"/>
        </w:rPr>
        <w:t xml:space="preserve"> dergisinde çalışan iki karikatürist</w:t>
      </w:r>
      <w:r w:rsidR="001A24BA">
        <w:rPr>
          <w:lang w:val="tr-TR"/>
        </w:rPr>
        <w:t xml:space="preserve"> hakkında</w:t>
      </w:r>
      <w:r w:rsidR="00123BDB" w:rsidRPr="008F1795">
        <w:rPr>
          <w:lang w:val="tr-TR"/>
        </w:rPr>
        <w:t xml:space="preserve">, Erdoğan’ın Cumhurbaşkanlığına </w:t>
      </w:r>
      <w:r w:rsidR="001A24BA">
        <w:rPr>
          <w:lang w:val="tr-TR"/>
        </w:rPr>
        <w:t>erişimini</w:t>
      </w:r>
      <w:r w:rsidR="00123BDB" w:rsidRPr="008F1795">
        <w:rPr>
          <w:lang w:val="tr-TR"/>
        </w:rPr>
        <w:t xml:space="preserve"> betimleyen</w:t>
      </w:r>
      <w:r w:rsidR="00B079A3" w:rsidRPr="008F1795">
        <w:rPr>
          <w:lang w:val="tr-TR"/>
        </w:rPr>
        <w:t xml:space="preserve"> bir karikatür</w:t>
      </w:r>
      <w:r w:rsidR="005A55B1" w:rsidRPr="008F1795">
        <w:rPr>
          <w:lang w:val="tr-TR"/>
        </w:rPr>
        <w:t xml:space="preserve"> çizdikleri için 11 ay ve 20 gün hapis cezası verilmiştir.</w:t>
      </w:r>
      <w:r w:rsidR="005A55B1" w:rsidRPr="008F1795">
        <w:rPr>
          <w:rStyle w:val="DipnotBavurusu"/>
          <w:lang w:val="tr-TR"/>
        </w:rPr>
        <w:footnoteReference w:id="78"/>
      </w:r>
      <w:r w:rsidR="005A55B1" w:rsidRPr="008F1795">
        <w:rPr>
          <w:lang w:val="tr-TR"/>
        </w:rPr>
        <w:t xml:space="preserve"> </w:t>
      </w:r>
      <w:r w:rsidR="00A07CEF" w:rsidRPr="008F1795">
        <w:rPr>
          <w:lang w:val="tr-TR"/>
        </w:rPr>
        <w:t>25 Ocak 2016’da</w:t>
      </w:r>
      <w:r w:rsidR="006D0C82" w:rsidRPr="008F1795">
        <w:rPr>
          <w:lang w:val="tr-TR"/>
        </w:rPr>
        <w:t xml:space="preserve">, </w:t>
      </w:r>
      <w:r w:rsidR="00F938BF" w:rsidRPr="008F1795">
        <w:rPr>
          <w:lang w:val="tr-TR"/>
        </w:rPr>
        <w:t>Cumhurbaşkanına “diktatör bozuntusu” diyen ana muhalefet lideri</w:t>
      </w:r>
      <w:r w:rsidR="0066334F" w:rsidRPr="008F1795">
        <w:rPr>
          <w:lang w:val="tr-TR"/>
        </w:rPr>
        <w:t>ne Erdoğan tarafından açılan dava ile ilgili haberleri sunarken, “Diktatör mahkemede” ifades</w:t>
      </w:r>
      <w:r w:rsidR="006F7C21" w:rsidRPr="008F1795">
        <w:rPr>
          <w:lang w:val="tr-TR"/>
        </w:rPr>
        <w:t>i</w:t>
      </w:r>
      <w:r w:rsidR="0066334F" w:rsidRPr="008F1795">
        <w:rPr>
          <w:lang w:val="tr-TR"/>
        </w:rPr>
        <w:t xml:space="preserve"> kullan</w:t>
      </w:r>
      <w:r w:rsidR="006F7C21" w:rsidRPr="008F1795">
        <w:rPr>
          <w:lang w:val="tr-TR"/>
        </w:rPr>
        <w:t>ıl</w:t>
      </w:r>
      <w:r w:rsidR="0066334F" w:rsidRPr="008F1795">
        <w:rPr>
          <w:lang w:val="tr-TR"/>
        </w:rPr>
        <w:t xml:space="preserve">dığı için </w:t>
      </w:r>
      <w:r w:rsidR="006F7C21" w:rsidRPr="008F1795">
        <w:rPr>
          <w:lang w:val="tr-TR"/>
        </w:rPr>
        <w:t>TV kanalı CNN-Türk hakkında soruşturma başlatılmıştır.</w:t>
      </w:r>
      <w:r w:rsidR="006F7C21" w:rsidRPr="008F1795">
        <w:rPr>
          <w:rStyle w:val="DipnotBavurusu"/>
          <w:lang w:val="tr-TR"/>
        </w:rPr>
        <w:footnoteReference w:id="79"/>
      </w:r>
    </w:p>
    <w:p w14:paraId="54B86057" w14:textId="4054C086" w:rsidR="002A1799" w:rsidRPr="008F1795" w:rsidRDefault="002A1799">
      <w:pPr>
        <w:pStyle w:val="GvdeMetni"/>
        <w:spacing w:before="121"/>
        <w:ind w:left="198" w:right="213"/>
        <w:jc w:val="both"/>
        <w:rPr>
          <w:lang w:val="tr-TR"/>
        </w:rPr>
      </w:pPr>
    </w:p>
    <w:p w14:paraId="020CADAC" w14:textId="6A291D1D" w:rsidR="00ED1AFD" w:rsidRPr="008F1795" w:rsidRDefault="00ED1AFD">
      <w:pPr>
        <w:pStyle w:val="ListeParagraf"/>
        <w:numPr>
          <w:ilvl w:val="0"/>
          <w:numId w:val="3"/>
        </w:numPr>
        <w:tabs>
          <w:tab w:val="left" w:pos="780"/>
        </w:tabs>
        <w:ind w:right="214" w:firstLine="0"/>
        <w:rPr>
          <w:lang w:val="tr-TR"/>
        </w:rPr>
      </w:pPr>
      <w:r w:rsidRPr="008F1795">
        <w:rPr>
          <w:lang w:val="tr-TR"/>
        </w:rPr>
        <w:t>Venedik Komisyonu</w:t>
      </w:r>
      <w:r w:rsidR="00D840E5" w:rsidRPr="008F1795">
        <w:rPr>
          <w:lang w:val="tr-TR"/>
        </w:rPr>
        <w:t>, basın</w:t>
      </w:r>
      <w:r w:rsidR="009F068F" w:rsidRPr="008F1795">
        <w:rPr>
          <w:lang w:val="tr-TR"/>
        </w:rPr>
        <w:t xml:space="preserve"> haber</w:t>
      </w:r>
      <w:r w:rsidR="006D2F67" w:rsidRPr="008F1795">
        <w:rPr>
          <w:lang w:val="tr-TR"/>
        </w:rPr>
        <w:t>lerinde</w:t>
      </w:r>
      <w:r w:rsidR="00FA0AA8" w:rsidRPr="008F1795">
        <w:rPr>
          <w:lang w:val="tr-TR"/>
        </w:rPr>
        <w:t xml:space="preserve"> geçen</w:t>
      </w:r>
      <w:r w:rsidR="009F068F" w:rsidRPr="008F1795">
        <w:rPr>
          <w:lang w:val="tr-TR"/>
        </w:rPr>
        <w:t xml:space="preserve"> </w:t>
      </w:r>
      <w:r w:rsidR="0066436B" w:rsidRPr="008F1795">
        <w:rPr>
          <w:lang w:val="tr-TR"/>
        </w:rPr>
        <w:t xml:space="preserve">Cumhurbaşkanına hakaret suçuyla </w:t>
      </w:r>
      <w:r w:rsidR="009F068F" w:rsidRPr="008F1795">
        <w:rPr>
          <w:lang w:val="tr-TR"/>
        </w:rPr>
        <w:t xml:space="preserve">yürütülen </w:t>
      </w:r>
      <w:r w:rsidR="0066436B" w:rsidRPr="008F1795">
        <w:rPr>
          <w:lang w:val="tr-TR"/>
        </w:rPr>
        <w:t>soruşturma, kovuşturma ya da hüküm</w:t>
      </w:r>
      <w:r w:rsidR="009F068F" w:rsidRPr="008F1795">
        <w:rPr>
          <w:lang w:val="tr-TR"/>
        </w:rPr>
        <w:t>lerin</w:t>
      </w:r>
      <w:r w:rsidR="0066436B" w:rsidRPr="008F1795">
        <w:rPr>
          <w:lang w:val="tr-TR"/>
        </w:rPr>
        <w:t xml:space="preserve"> </w:t>
      </w:r>
      <w:r w:rsidR="00D840E5" w:rsidRPr="008F1795">
        <w:rPr>
          <w:lang w:val="tr-TR"/>
        </w:rPr>
        <w:t>yüksek sayısını endişe ile kaydetmektedir</w:t>
      </w:r>
      <w:r w:rsidR="00890576" w:rsidRPr="008F1795">
        <w:rPr>
          <w:lang w:val="tr-TR"/>
        </w:rPr>
        <w:t>. Komisyon, Avrupa Komisyonunun Türkiye hakkındaki 2015 tarihli raporunda</w:t>
      </w:r>
      <w:r w:rsidR="00F43AA6" w:rsidRPr="008F1795">
        <w:rPr>
          <w:lang w:val="tr-TR"/>
        </w:rPr>
        <w:t xml:space="preserve"> “</w:t>
      </w:r>
      <w:r w:rsidR="00F43AA6" w:rsidRPr="008F1795">
        <w:rPr>
          <w:i/>
          <w:iCs/>
          <w:lang w:val="tr-TR"/>
        </w:rPr>
        <w:t>gazetecilere, yazarlara, sosyal medya kullanıcılarına ve kamunun diğer ke</w:t>
      </w:r>
      <w:r w:rsidR="00CE146B" w:rsidRPr="008F1795">
        <w:rPr>
          <w:i/>
          <w:iCs/>
          <w:lang w:val="tr-TR"/>
        </w:rPr>
        <w:t>si</w:t>
      </w:r>
      <w:r w:rsidR="00F43AA6" w:rsidRPr="008F1795">
        <w:rPr>
          <w:i/>
          <w:iCs/>
          <w:lang w:val="tr-TR"/>
        </w:rPr>
        <w:t>mlerine karşı</w:t>
      </w:r>
      <w:r w:rsidR="007F4876" w:rsidRPr="008F1795">
        <w:rPr>
          <w:i/>
          <w:iCs/>
          <w:lang w:val="tr-TR"/>
        </w:rPr>
        <w:t xml:space="preserve">, </w:t>
      </w:r>
      <w:r w:rsidR="00CE146B" w:rsidRPr="008F1795">
        <w:rPr>
          <w:i/>
          <w:iCs/>
          <w:lang w:val="tr-TR"/>
        </w:rPr>
        <w:t>Cumhurbaşkanına hakaret iddia</w:t>
      </w:r>
      <w:r w:rsidR="00042594" w:rsidRPr="008F1795">
        <w:rPr>
          <w:i/>
          <w:iCs/>
          <w:lang w:val="tr-TR"/>
        </w:rPr>
        <w:t>sıyla</w:t>
      </w:r>
      <w:r w:rsidR="00CE146B" w:rsidRPr="008F1795">
        <w:rPr>
          <w:i/>
          <w:iCs/>
          <w:lang w:val="tr-TR"/>
        </w:rPr>
        <w:t xml:space="preserve"> </w:t>
      </w:r>
      <w:r w:rsidR="00040E03" w:rsidRPr="008F1795">
        <w:rPr>
          <w:i/>
          <w:iCs/>
          <w:lang w:val="tr-TR"/>
        </w:rPr>
        <w:t>dava aç</w:t>
      </w:r>
      <w:r w:rsidR="0021568B" w:rsidRPr="008F1795">
        <w:rPr>
          <w:i/>
          <w:iCs/>
          <w:lang w:val="tr-TR"/>
        </w:rPr>
        <w:t>ma</w:t>
      </w:r>
      <w:r w:rsidR="00040E03" w:rsidRPr="008F1795">
        <w:rPr>
          <w:i/>
          <w:iCs/>
          <w:lang w:val="tr-TR"/>
        </w:rPr>
        <w:t xml:space="preserve"> uygulama</w:t>
      </w:r>
      <w:r w:rsidR="00D0160D">
        <w:rPr>
          <w:i/>
          <w:iCs/>
          <w:lang w:val="tr-TR"/>
        </w:rPr>
        <w:t>sının</w:t>
      </w:r>
      <w:r w:rsidR="00040E03" w:rsidRPr="008F1795">
        <w:rPr>
          <w:i/>
          <w:iCs/>
          <w:lang w:val="tr-TR"/>
        </w:rPr>
        <w:t xml:space="preserve"> </w:t>
      </w:r>
      <w:r w:rsidR="00D0160D">
        <w:rPr>
          <w:i/>
          <w:iCs/>
          <w:lang w:val="tr-TR"/>
        </w:rPr>
        <w:t xml:space="preserve">arttığı </w:t>
      </w:r>
      <w:r w:rsidR="00BA630E" w:rsidRPr="008F1795">
        <w:rPr>
          <w:i/>
          <w:iCs/>
          <w:lang w:val="tr-TR"/>
        </w:rPr>
        <w:t xml:space="preserve">görülmektedir; bu davalar hapis cezası, </w:t>
      </w:r>
      <w:r w:rsidR="00054E81">
        <w:rPr>
          <w:i/>
          <w:iCs/>
          <w:lang w:val="tr-TR"/>
        </w:rPr>
        <w:t>ertelenmiş</w:t>
      </w:r>
      <w:r w:rsidR="00BA630E" w:rsidRPr="008F1795">
        <w:rPr>
          <w:i/>
          <w:iCs/>
          <w:lang w:val="tr-TR"/>
        </w:rPr>
        <w:t xml:space="preserve"> cezalar ya da para cezası ile sonuçlanabil</w:t>
      </w:r>
      <w:r w:rsidR="00D02EAF" w:rsidRPr="008F1795">
        <w:rPr>
          <w:i/>
          <w:iCs/>
          <w:lang w:val="tr-TR"/>
        </w:rPr>
        <w:t>mektedir</w:t>
      </w:r>
      <w:r w:rsidR="0026530E" w:rsidRPr="008F1795">
        <w:rPr>
          <w:lang w:val="tr-TR"/>
        </w:rPr>
        <w:t>”</w:t>
      </w:r>
      <w:r w:rsidR="00A865BB" w:rsidRPr="008F1795">
        <w:rPr>
          <w:lang w:val="tr-TR"/>
        </w:rPr>
        <w:t xml:space="preserve"> diye vurguladığını hatırlatır.</w:t>
      </w:r>
      <w:r w:rsidR="0026530E" w:rsidRPr="008F1795">
        <w:rPr>
          <w:rStyle w:val="DipnotBavurusu"/>
          <w:lang w:val="tr-TR"/>
        </w:rPr>
        <w:footnoteReference w:id="80"/>
      </w:r>
      <w:r w:rsidR="00042594" w:rsidRPr="008F1795">
        <w:rPr>
          <w:lang w:val="tr-TR"/>
        </w:rPr>
        <w:t xml:space="preserve"> Aynı rapora göre, </w:t>
      </w:r>
      <w:r w:rsidR="004A1F81" w:rsidRPr="008F1795">
        <w:rPr>
          <w:lang w:val="tr-TR"/>
        </w:rPr>
        <w:t>göz korkutucu</w:t>
      </w:r>
      <w:r w:rsidR="001E603B" w:rsidRPr="008F1795">
        <w:rPr>
          <w:lang w:val="tr-TR"/>
        </w:rPr>
        <w:t xml:space="preserve"> bu iklim oto-sansürün artmasına yol açmaktadır. Buna ek olarak, </w:t>
      </w:r>
      <w:r w:rsidR="00434575" w:rsidRPr="008F1795">
        <w:rPr>
          <w:lang w:val="tr-TR"/>
        </w:rPr>
        <w:t xml:space="preserve">yakın tarihli basın raporlarına göre 2 Ocak 2016’da Emniyet Genel Müdürlüğü, Cumhurbaşkanı dahil, üst düzey devlet görevlilerine hakaret eden kişilere karşı </w:t>
      </w:r>
      <w:r w:rsidR="00FC37F9" w:rsidRPr="008F1795">
        <w:rPr>
          <w:lang w:val="tr-TR"/>
        </w:rPr>
        <w:t xml:space="preserve">tüm emniyet müdürlüklerinin </w:t>
      </w:r>
      <w:r w:rsidR="008E33A4" w:rsidRPr="008F1795">
        <w:rPr>
          <w:lang w:val="tr-TR"/>
        </w:rPr>
        <w:t xml:space="preserve">derhal hukuki işlem </w:t>
      </w:r>
      <w:r w:rsidR="00480127" w:rsidRPr="008F1795">
        <w:rPr>
          <w:lang w:val="tr-TR"/>
        </w:rPr>
        <w:t>başlatmasını</w:t>
      </w:r>
      <w:r w:rsidR="008E33A4" w:rsidRPr="008F1795">
        <w:rPr>
          <w:lang w:val="tr-TR"/>
        </w:rPr>
        <w:t xml:space="preserve"> isteyen bir genelge</w:t>
      </w:r>
      <w:r w:rsidR="00FC37F9" w:rsidRPr="008F1795">
        <w:rPr>
          <w:lang w:val="tr-TR"/>
        </w:rPr>
        <w:t xml:space="preserve"> yayınlamıştır.</w:t>
      </w:r>
      <w:r w:rsidR="00480127" w:rsidRPr="008F1795">
        <w:rPr>
          <w:rStyle w:val="DipnotBavurusu"/>
          <w:lang w:val="tr-TR"/>
        </w:rPr>
        <w:footnoteReference w:id="81"/>
      </w:r>
      <w:r w:rsidR="00FC37F9" w:rsidRPr="008F1795">
        <w:rPr>
          <w:lang w:val="tr-TR"/>
        </w:rPr>
        <w:t xml:space="preserve"> </w:t>
      </w:r>
    </w:p>
    <w:p w14:paraId="2DC157F8" w14:textId="77777777" w:rsidR="00AA398F" w:rsidRPr="008F1795" w:rsidRDefault="00AA398F">
      <w:pPr>
        <w:pStyle w:val="GvdeMetni"/>
        <w:spacing w:before="1"/>
        <w:rPr>
          <w:lang w:val="tr-TR"/>
        </w:rPr>
      </w:pPr>
    </w:p>
    <w:p w14:paraId="20F72700" w14:textId="09D771FF" w:rsidR="00906A21" w:rsidRPr="008F1795" w:rsidRDefault="00906A21">
      <w:pPr>
        <w:pStyle w:val="ListeParagraf"/>
        <w:numPr>
          <w:ilvl w:val="0"/>
          <w:numId w:val="3"/>
        </w:numPr>
        <w:tabs>
          <w:tab w:val="left" w:pos="635"/>
        </w:tabs>
        <w:ind w:right="215" w:firstLine="0"/>
        <w:rPr>
          <w:lang w:val="tr-TR"/>
        </w:rPr>
      </w:pPr>
      <w:r w:rsidRPr="008F1795">
        <w:rPr>
          <w:lang w:val="tr-TR"/>
        </w:rPr>
        <w:t xml:space="preserve">Venedik Komisyonu, </w:t>
      </w:r>
      <w:r w:rsidR="00E5035A" w:rsidRPr="008F1795">
        <w:rPr>
          <w:lang w:val="tr-TR"/>
        </w:rPr>
        <w:t>kamu yararını ilgilendiren konuların tartışılması bağlamında rencide, şok ve rahatsız edici sözlerin kullanılmasının ifade özgürlüğü</w:t>
      </w:r>
      <w:r w:rsidR="00C4254C">
        <w:rPr>
          <w:lang w:val="tr-TR"/>
        </w:rPr>
        <w:t xml:space="preserve"> kapsamında</w:t>
      </w:r>
      <w:r w:rsidR="009F38B2" w:rsidRPr="008F1795">
        <w:rPr>
          <w:lang w:val="tr-TR"/>
        </w:rPr>
        <w:t xml:space="preserve"> teminat altına alındığını hatırlatır. “</w:t>
      </w:r>
      <w:r w:rsidR="009F38B2" w:rsidRPr="00C4254C">
        <w:rPr>
          <w:i/>
          <w:iCs/>
          <w:lang w:val="tr-TR"/>
        </w:rPr>
        <w:t>Hırsız</w:t>
      </w:r>
      <w:r w:rsidR="009F38B2" w:rsidRPr="008F1795">
        <w:rPr>
          <w:lang w:val="tr-TR"/>
        </w:rPr>
        <w:t>” (yolsuzluk soruşturmasıyla ilgili olarak) ya da “</w:t>
      </w:r>
      <w:r w:rsidR="009F38B2" w:rsidRPr="00C4254C">
        <w:rPr>
          <w:i/>
          <w:iCs/>
          <w:lang w:val="tr-TR"/>
        </w:rPr>
        <w:t>Katil</w:t>
      </w:r>
      <w:r w:rsidR="009F38B2" w:rsidRPr="008F1795">
        <w:rPr>
          <w:lang w:val="tr-TR"/>
        </w:rPr>
        <w:t>” (</w:t>
      </w:r>
      <w:r w:rsidR="00C4254C">
        <w:rPr>
          <w:lang w:val="tr-TR"/>
        </w:rPr>
        <w:t>G</w:t>
      </w:r>
      <w:r w:rsidR="00FF6F0A" w:rsidRPr="008F1795">
        <w:rPr>
          <w:lang w:val="tr-TR"/>
        </w:rPr>
        <w:t>ezi olayında yaşamlarını yitiren göstericiler ile ilgili olarak), “</w:t>
      </w:r>
      <w:r w:rsidR="00FF6F0A" w:rsidRPr="00C4254C">
        <w:rPr>
          <w:i/>
          <w:iCs/>
          <w:lang w:val="tr-TR"/>
        </w:rPr>
        <w:t>Diktatör</w:t>
      </w:r>
      <w:r w:rsidR="00FF6F0A" w:rsidRPr="008F1795">
        <w:rPr>
          <w:lang w:val="tr-TR"/>
        </w:rPr>
        <w:t>” vs. gibi soyut olarak aşağılayıcı olarak algılanabilen ifadeler</w:t>
      </w:r>
      <w:r w:rsidR="00A85F25" w:rsidRPr="008F1795">
        <w:rPr>
          <w:lang w:val="tr-TR"/>
        </w:rPr>
        <w:t xml:space="preserve">, kamu tartışması bağlamında değerlendirilmelidir. AİHS 10(2). </w:t>
      </w:r>
      <w:r w:rsidR="00241305" w:rsidRPr="008F1795">
        <w:rPr>
          <w:lang w:val="tr-TR"/>
        </w:rPr>
        <w:t>Madde</w:t>
      </w:r>
      <w:r w:rsidR="00A85F25" w:rsidRPr="008F1795">
        <w:rPr>
          <w:lang w:val="tr-TR"/>
        </w:rPr>
        <w:t>si kapsamında</w:t>
      </w:r>
      <w:r w:rsidR="008003B6" w:rsidRPr="008F1795">
        <w:rPr>
          <w:lang w:val="tr-TR"/>
        </w:rPr>
        <w:t xml:space="preserve">, </w:t>
      </w:r>
      <w:r w:rsidR="001E42E3" w:rsidRPr="008F1795">
        <w:rPr>
          <w:lang w:val="tr-TR"/>
        </w:rPr>
        <w:t xml:space="preserve">kamuyu ilgilendiren </w:t>
      </w:r>
      <w:r w:rsidR="008003B6" w:rsidRPr="008F1795">
        <w:rPr>
          <w:lang w:val="tr-TR"/>
        </w:rPr>
        <w:t xml:space="preserve">ve geniş bir şekilde tanımlanan </w:t>
      </w:r>
      <w:r w:rsidR="001E42E3" w:rsidRPr="008F1795">
        <w:rPr>
          <w:lang w:val="tr-TR"/>
        </w:rPr>
        <w:t>konularda tartışma ya da siyasi söylemi</w:t>
      </w:r>
      <w:r w:rsidR="0010753C" w:rsidRPr="008F1795">
        <w:rPr>
          <w:lang w:val="tr-TR"/>
        </w:rPr>
        <w:t>n</w:t>
      </w:r>
      <w:r w:rsidR="001E42E3" w:rsidRPr="008F1795">
        <w:rPr>
          <w:lang w:val="tr-TR"/>
        </w:rPr>
        <w:t xml:space="preserve"> kısıtl</w:t>
      </w:r>
      <w:r w:rsidR="0010753C" w:rsidRPr="008F1795">
        <w:rPr>
          <w:lang w:val="tr-TR"/>
        </w:rPr>
        <w:t>anmasına çok dar bir anlamda izin verilmektedir</w:t>
      </w:r>
      <w:r w:rsidR="00A85EE6" w:rsidRPr="008F1795">
        <w:rPr>
          <w:lang w:val="tr-TR"/>
        </w:rPr>
        <w:t>.</w:t>
      </w:r>
      <w:r w:rsidR="004030CB" w:rsidRPr="008F1795">
        <w:rPr>
          <w:rStyle w:val="DipnotBavurusu"/>
          <w:lang w:val="tr-TR"/>
        </w:rPr>
        <w:footnoteReference w:id="82"/>
      </w:r>
      <w:r w:rsidR="008003B6" w:rsidRPr="008F1795">
        <w:rPr>
          <w:lang w:val="tr-TR"/>
        </w:rPr>
        <w:t xml:space="preserve"> Ayrıca, </w:t>
      </w:r>
      <w:r w:rsidR="00CB437E" w:rsidRPr="008F1795">
        <w:rPr>
          <w:lang w:val="tr-TR"/>
        </w:rPr>
        <w:t xml:space="preserve">kaba </w:t>
      </w:r>
      <w:r w:rsidR="00B11A56" w:rsidRPr="008F1795">
        <w:rPr>
          <w:lang w:val="tr-TR"/>
        </w:rPr>
        <w:t>terimlerin kullanımı kendi başına da belirleyici bir etken değildir</w:t>
      </w:r>
      <w:r w:rsidR="00751E76" w:rsidRPr="008F1795">
        <w:rPr>
          <w:lang w:val="tr-TR"/>
        </w:rPr>
        <w:t xml:space="preserve">; </w:t>
      </w:r>
      <w:r w:rsidR="00B11A56" w:rsidRPr="008F1795">
        <w:rPr>
          <w:lang w:val="tr-TR"/>
        </w:rPr>
        <w:t xml:space="preserve">zira bu terimler, </w:t>
      </w:r>
      <w:r w:rsidR="00A425CA" w:rsidRPr="008F1795">
        <w:rPr>
          <w:lang w:val="tr-TR"/>
        </w:rPr>
        <w:t>ifade özgürlüğü</w:t>
      </w:r>
      <w:r w:rsidR="001846B7" w:rsidRPr="008F1795">
        <w:rPr>
          <w:lang w:val="tr-TR"/>
        </w:rPr>
        <w:t>nün koruma kapsamına giren</w:t>
      </w:r>
      <w:r w:rsidR="00751E76" w:rsidRPr="008F1795">
        <w:rPr>
          <w:lang w:val="tr-TR"/>
        </w:rPr>
        <w:t xml:space="preserve"> ve</w:t>
      </w:r>
      <w:r w:rsidR="001846B7" w:rsidRPr="008F1795">
        <w:rPr>
          <w:lang w:val="tr-TR"/>
        </w:rPr>
        <w:t xml:space="preserve"> </w:t>
      </w:r>
      <w:r w:rsidR="00F119A4" w:rsidRPr="008F1795">
        <w:rPr>
          <w:lang w:val="tr-TR"/>
        </w:rPr>
        <w:t>kinaye</w:t>
      </w:r>
      <w:r w:rsidR="00FC7D60" w:rsidRPr="008F1795">
        <w:rPr>
          <w:lang w:val="tr-TR"/>
        </w:rPr>
        <w:t xml:space="preserve"> yapmak gibi </w:t>
      </w:r>
      <w:r w:rsidR="002215C3" w:rsidRPr="008F1795">
        <w:rPr>
          <w:lang w:val="tr-TR"/>
        </w:rPr>
        <w:t>biçimsel</w:t>
      </w:r>
      <w:r w:rsidR="00A425CA" w:rsidRPr="008F1795">
        <w:rPr>
          <w:lang w:val="tr-TR"/>
        </w:rPr>
        <w:t xml:space="preserve"> </w:t>
      </w:r>
      <w:r w:rsidR="003E68A2" w:rsidRPr="008F1795">
        <w:rPr>
          <w:lang w:val="tr-TR"/>
        </w:rPr>
        <w:t xml:space="preserve">bir </w:t>
      </w:r>
      <w:r w:rsidR="00E506A2" w:rsidRPr="008F1795">
        <w:rPr>
          <w:lang w:val="tr-TR"/>
        </w:rPr>
        <w:t>amaç</w:t>
      </w:r>
      <w:r w:rsidR="003E68A2" w:rsidRPr="008F1795">
        <w:rPr>
          <w:lang w:val="tr-TR"/>
        </w:rPr>
        <w:t xml:space="preserve"> güden</w:t>
      </w:r>
      <w:r w:rsidR="00E506A2" w:rsidRPr="008F1795">
        <w:rPr>
          <w:lang w:val="tr-TR"/>
        </w:rPr>
        <w:t xml:space="preserve"> </w:t>
      </w:r>
      <w:r w:rsidR="00A425CA" w:rsidRPr="008F1795">
        <w:rPr>
          <w:lang w:val="tr-TR"/>
        </w:rPr>
        <w:t>terimler olabilir</w:t>
      </w:r>
      <w:r w:rsidR="00751E76" w:rsidRPr="008F1795">
        <w:rPr>
          <w:lang w:val="tr-TR"/>
        </w:rPr>
        <w:t>.</w:t>
      </w:r>
      <w:r w:rsidR="00AA398F" w:rsidRPr="008F1795">
        <w:rPr>
          <w:rStyle w:val="DipnotBavurusu"/>
          <w:lang w:val="tr-TR"/>
        </w:rPr>
        <w:footnoteReference w:id="83"/>
      </w:r>
      <w:r w:rsidR="00751E76" w:rsidRPr="008F1795">
        <w:rPr>
          <w:lang w:val="tr-TR"/>
        </w:rPr>
        <w:t xml:space="preserve"> </w:t>
      </w:r>
      <w:r w:rsidR="0068095B" w:rsidRPr="008F1795">
        <w:rPr>
          <w:lang w:val="tr-TR"/>
        </w:rPr>
        <w:t xml:space="preserve">Komisyon, demokratik bir toplumda </w:t>
      </w:r>
      <w:r w:rsidR="00883405" w:rsidRPr="008F1795">
        <w:rPr>
          <w:lang w:val="tr-TR"/>
        </w:rPr>
        <w:t>güçlü bir kamu tartışması</w:t>
      </w:r>
      <w:r w:rsidR="007B2D2C" w:rsidRPr="008F1795">
        <w:rPr>
          <w:lang w:val="tr-TR"/>
        </w:rPr>
        <w:t xml:space="preserve"> yapma imkanının olması gerektiğini ve AİHM </w:t>
      </w:r>
      <w:r w:rsidR="004A7E6C" w:rsidRPr="008F1795">
        <w:rPr>
          <w:lang w:val="tr-TR"/>
        </w:rPr>
        <w:t>içtihatlarında kamuya mal olmuş kişilerin</w:t>
      </w:r>
      <w:r w:rsidR="00684547" w:rsidRPr="008F1795">
        <w:rPr>
          <w:lang w:val="tr-TR"/>
        </w:rPr>
        <w:t xml:space="preserve"> eleştirilmesi dahil, siyasi söyleme </w:t>
      </w:r>
      <w:r w:rsidR="00606215" w:rsidRPr="008F1795">
        <w:rPr>
          <w:lang w:val="tr-TR"/>
        </w:rPr>
        <w:t>verilen</w:t>
      </w:r>
      <w:r w:rsidR="00027EA2" w:rsidRPr="008F1795">
        <w:rPr>
          <w:lang w:val="tr-TR"/>
        </w:rPr>
        <w:t xml:space="preserve"> değer</w:t>
      </w:r>
      <w:r w:rsidR="00606215" w:rsidRPr="008F1795">
        <w:rPr>
          <w:lang w:val="tr-TR"/>
        </w:rPr>
        <w:t xml:space="preserve">in büyük olduğunu vurgulamaktadır. </w:t>
      </w:r>
      <w:r w:rsidR="00FF45A3" w:rsidRPr="008F1795">
        <w:rPr>
          <w:lang w:val="tr-TR"/>
        </w:rPr>
        <w:t>Birleşmiş Milletler İnsan Hakları Komitesi, “</w:t>
      </w:r>
      <w:r w:rsidR="00FF45A3" w:rsidRPr="008F1795">
        <w:rPr>
          <w:i/>
          <w:iCs/>
          <w:lang w:val="tr-TR"/>
        </w:rPr>
        <w:t>ifade biçimlerinin kamuya mal olmuş bir kişiye hakaret olarak değerlendirilmesi, ceza verilmesini haklı kılmaya tek başına yeterli değildir</w:t>
      </w:r>
      <w:r w:rsidR="008A49B3" w:rsidRPr="008F1795">
        <w:rPr>
          <w:i/>
          <w:iCs/>
          <w:lang w:val="tr-TR"/>
        </w:rPr>
        <w:t xml:space="preserve">. Devlet başkanı ve hükümet başkanı gibi en üst düzey siyasi makamlar dahil, kamuya mal olmuş kişiler, </w:t>
      </w:r>
      <w:r w:rsidR="00736A3F" w:rsidRPr="008F1795">
        <w:rPr>
          <w:i/>
          <w:iCs/>
          <w:lang w:val="tr-TR"/>
        </w:rPr>
        <w:t>meşru bir şekilde eleştir</w:t>
      </w:r>
      <w:r w:rsidR="00900B65" w:rsidRPr="008F1795">
        <w:rPr>
          <w:i/>
          <w:iCs/>
          <w:lang w:val="tr-TR"/>
        </w:rPr>
        <w:t>i</w:t>
      </w:r>
      <w:r w:rsidR="00736A3F" w:rsidRPr="008F1795">
        <w:rPr>
          <w:i/>
          <w:iCs/>
          <w:lang w:val="tr-TR"/>
        </w:rPr>
        <w:t>ye ve siyasi muhalefete tabii</w:t>
      </w:r>
      <w:r w:rsidR="00900B65" w:rsidRPr="008F1795">
        <w:rPr>
          <w:i/>
          <w:iCs/>
          <w:lang w:val="tr-TR"/>
        </w:rPr>
        <w:t xml:space="preserve">dir” </w:t>
      </w:r>
      <w:r w:rsidR="00900B65" w:rsidRPr="008F1795">
        <w:rPr>
          <w:lang w:val="tr-TR"/>
        </w:rPr>
        <w:t>diye</w:t>
      </w:r>
      <w:r w:rsidR="00900B65" w:rsidRPr="008F1795">
        <w:rPr>
          <w:i/>
          <w:iCs/>
          <w:lang w:val="tr-TR"/>
        </w:rPr>
        <w:t xml:space="preserve"> </w:t>
      </w:r>
      <w:r w:rsidR="00900B65" w:rsidRPr="008F1795">
        <w:rPr>
          <w:lang w:val="tr-TR"/>
        </w:rPr>
        <w:t>vurgulamıştır</w:t>
      </w:r>
      <w:r w:rsidR="00900B65" w:rsidRPr="008F1795">
        <w:rPr>
          <w:i/>
          <w:iCs/>
          <w:lang w:val="tr-TR"/>
        </w:rPr>
        <w:t xml:space="preserve">. </w:t>
      </w:r>
      <w:r w:rsidR="00C2615D" w:rsidRPr="008F1795">
        <w:rPr>
          <w:lang w:val="tr-TR"/>
        </w:rPr>
        <w:t>Nitekim, “</w:t>
      </w:r>
      <w:r w:rsidR="007B12C1" w:rsidRPr="008F1795">
        <w:rPr>
          <w:lang w:val="tr-TR"/>
        </w:rPr>
        <w:t xml:space="preserve">Sözleşme </w:t>
      </w:r>
      <w:r w:rsidR="00633DD0" w:rsidRPr="008F1795">
        <w:rPr>
          <w:lang w:val="tr-TR"/>
        </w:rPr>
        <w:t>siyasi alanda</w:t>
      </w:r>
      <w:r w:rsidR="00261421" w:rsidRPr="008F1795">
        <w:rPr>
          <w:lang w:val="tr-TR"/>
        </w:rPr>
        <w:t xml:space="preserve"> ve kamu kurumlarında</w:t>
      </w:r>
      <w:r w:rsidR="00633DD0" w:rsidRPr="008F1795">
        <w:rPr>
          <w:lang w:val="tr-TR"/>
        </w:rPr>
        <w:t xml:space="preserve"> kamuya mal olmuş kişiler</w:t>
      </w:r>
      <w:r w:rsidR="0044280D" w:rsidRPr="008F1795">
        <w:rPr>
          <w:lang w:val="tr-TR"/>
        </w:rPr>
        <w:t xml:space="preserve"> ile ilgili kamu tartışmalarında</w:t>
      </w:r>
      <w:r w:rsidR="007B12C1" w:rsidRPr="008F1795">
        <w:rPr>
          <w:lang w:val="tr-TR"/>
        </w:rPr>
        <w:t xml:space="preserve"> </w:t>
      </w:r>
      <w:r w:rsidR="00D43433" w:rsidRPr="008F1795">
        <w:rPr>
          <w:lang w:val="tr-TR"/>
        </w:rPr>
        <w:t>ifadelerin kısıtlanmamasına</w:t>
      </w:r>
      <w:r w:rsidR="006D4349" w:rsidRPr="008F1795">
        <w:rPr>
          <w:lang w:val="tr-TR"/>
        </w:rPr>
        <w:t xml:space="preserve"> büyük değer vermektedir”.</w:t>
      </w:r>
      <w:r w:rsidR="007B12C1" w:rsidRPr="008F1795">
        <w:rPr>
          <w:rStyle w:val="DipnotBavurusu"/>
          <w:lang w:val="tr-TR"/>
        </w:rPr>
        <w:footnoteReference w:id="84"/>
      </w:r>
      <w:r w:rsidR="009D47C0" w:rsidRPr="008F1795">
        <w:rPr>
          <w:lang w:val="tr-TR"/>
        </w:rPr>
        <w:t xml:space="preserve"> Venedik Komisyonu</w:t>
      </w:r>
      <w:r w:rsidR="008B23FA" w:rsidRPr="008F1795">
        <w:rPr>
          <w:lang w:val="tr-TR"/>
        </w:rPr>
        <w:t>,</w:t>
      </w:r>
      <w:r w:rsidR="009D47C0" w:rsidRPr="008F1795">
        <w:rPr>
          <w:lang w:val="tr-TR"/>
        </w:rPr>
        <w:t xml:space="preserve"> </w:t>
      </w:r>
      <w:r w:rsidR="009D47C0" w:rsidRPr="008F1795">
        <w:rPr>
          <w:i/>
          <w:iCs/>
          <w:lang w:val="tr-TR"/>
        </w:rPr>
        <w:t>Artun ve Güvener davasında</w:t>
      </w:r>
      <w:r w:rsidR="009D47C0" w:rsidRPr="008F1795">
        <w:rPr>
          <w:lang w:val="tr-TR"/>
        </w:rPr>
        <w:t xml:space="preserve"> </w:t>
      </w:r>
      <w:r w:rsidR="00A80B08" w:rsidRPr="008F1795">
        <w:rPr>
          <w:lang w:val="tr-TR"/>
        </w:rPr>
        <w:t xml:space="preserve">AİHM’nin şu </w:t>
      </w:r>
      <w:r w:rsidR="008B23FA" w:rsidRPr="008F1795">
        <w:rPr>
          <w:lang w:val="tr-TR"/>
        </w:rPr>
        <w:t>değerlendirmesini vurgulamaktadır: “</w:t>
      </w:r>
      <w:r w:rsidR="007906FE" w:rsidRPr="008F1795">
        <w:rPr>
          <w:i/>
          <w:iCs/>
          <w:lang w:val="tr-TR"/>
        </w:rPr>
        <w:t>K</w:t>
      </w:r>
      <w:r w:rsidR="007F7828" w:rsidRPr="008F1795">
        <w:rPr>
          <w:i/>
          <w:iCs/>
          <w:lang w:val="tr-TR"/>
        </w:rPr>
        <w:t xml:space="preserve">abul edilebilir eleştirinin sınırları </w:t>
      </w:r>
      <w:r w:rsidR="007F7828" w:rsidRPr="008F1795">
        <w:rPr>
          <w:i/>
          <w:iCs/>
          <w:lang w:val="tr-TR"/>
        </w:rPr>
        <w:lastRenderedPageBreak/>
        <w:t>siyasetçi</w:t>
      </w:r>
      <w:r w:rsidR="007906FE" w:rsidRPr="008F1795">
        <w:rPr>
          <w:i/>
          <w:iCs/>
          <w:lang w:val="tr-TR"/>
        </w:rPr>
        <w:t>ler</w:t>
      </w:r>
      <w:r w:rsidR="007F7828" w:rsidRPr="008F1795">
        <w:rPr>
          <w:i/>
          <w:iCs/>
          <w:lang w:val="tr-TR"/>
        </w:rPr>
        <w:t xml:space="preserve"> için özel</w:t>
      </w:r>
      <w:r w:rsidR="00B85B3D" w:rsidRPr="008F1795">
        <w:rPr>
          <w:i/>
          <w:iCs/>
          <w:lang w:val="tr-TR"/>
        </w:rPr>
        <w:t xml:space="preserve"> bir</w:t>
      </w:r>
      <w:r w:rsidR="007F7828" w:rsidRPr="008F1795">
        <w:rPr>
          <w:i/>
          <w:iCs/>
          <w:lang w:val="tr-TR"/>
        </w:rPr>
        <w:t xml:space="preserve"> birey</w:t>
      </w:r>
      <w:r w:rsidR="00B85B3D" w:rsidRPr="008F1795">
        <w:rPr>
          <w:i/>
          <w:iCs/>
          <w:lang w:val="tr-TR"/>
        </w:rPr>
        <w:t>e göre daha geniştir. Bireyin aksine siyasetçi</w:t>
      </w:r>
      <w:r w:rsidR="00681784" w:rsidRPr="008F1795">
        <w:rPr>
          <w:i/>
          <w:iCs/>
          <w:lang w:val="tr-TR"/>
        </w:rPr>
        <w:t xml:space="preserve">, her sözünün ve hareketinin hem gazeteciler hem de </w:t>
      </w:r>
      <w:r w:rsidR="006858DF" w:rsidRPr="008F1795">
        <w:rPr>
          <w:i/>
          <w:iCs/>
          <w:lang w:val="tr-TR"/>
        </w:rPr>
        <w:t>kamu</w:t>
      </w:r>
      <w:r w:rsidR="00444BEE" w:rsidRPr="008F1795">
        <w:rPr>
          <w:i/>
          <w:iCs/>
          <w:lang w:val="tr-TR"/>
        </w:rPr>
        <w:t>oyu</w:t>
      </w:r>
      <w:r w:rsidR="001B42DF" w:rsidRPr="008F1795">
        <w:rPr>
          <w:i/>
          <w:iCs/>
          <w:lang w:val="tr-TR"/>
        </w:rPr>
        <w:t xml:space="preserve"> tarafından</w:t>
      </w:r>
      <w:r w:rsidR="00444BEE" w:rsidRPr="008F1795">
        <w:rPr>
          <w:i/>
          <w:iCs/>
          <w:lang w:val="tr-TR"/>
        </w:rPr>
        <w:t xml:space="preserve"> yakın</w:t>
      </w:r>
      <w:r w:rsidR="001B42DF" w:rsidRPr="008F1795">
        <w:rPr>
          <w:i/>
          <w:iCs/>
          <w:lang w:val="tr-TR"/>
        </w:rPr>
        <w:t>dan</w:t>
      </w:r>
      <w:r w:rsidR="00444BEE" w:rsidRPr="008F1795">
        <w:rPr>
          <w:i/>
          <w:iCs/>
          <w:lang w:val="tr-TR"/>
        </w:rPr>
        <w:t xml:space="preserve"> </w:t>
      </w:r>
      <w:r w:rsidR="00304937" w:rsidRPr="008F1795">
        <w:rPr>
          <w:i/>
          <w:iCs/>
          <w:lang w:val="tr-TR"/>
        </w:rPr>
        <w:t>tetki</w:t>
      </w:r>
      <w:r w:rsidR="001B42DF" w:rsidRPr="008F1795">
        <w:rPr>
          <w:i/>
          <w:iCs/>
          <w:lang w:val="tr-TR"/>
        </w:rPr>
        <w:t xml:space="preserve">k edileceğini </w:t>
      </w:r>
      <w:r w:rsidR="00FB1181" w:rsidRPr="008F1795">
        <w:rPr>
          <w:i/>
          <w:iCs/>
          <w:lang w:val="tr-TR"/>
        </w:rPr>
        <w:t xml:space="preserve">bilerek ve </w:t>
      </w:r>
      <w:r w:rsidR="00755657" w:rsidRPr="008F1795">
        <w:rPr>
          <w:i/>
          <w:iCs/>
          <w:lang w:val="tr-TR"/>
        </w:rPr>
        <w:t xml:space="preserve">kaçınılmaz olarak </w:t>
      </w:r>
      <w:r w:rsidR="00FB1181" w:rsidRPr="008F1795">
        <w:rPr>
          <w:i/>
          <w:iCs/>
          <w:lang w:val="tr-TR"/>
        </w:rPr>
        <w:t xml:space="preserve">kendini buna </w:t>
      </w:r>
      <w:r w:rsidR="009B7E53" w:rsidRPr="008F1795">
        <w:rPr>
          <w:i/>
          <w:iCs/>
          <w:lang w:val="tr-TR"/>
        </w:rPr>
        <w:t xml:space="preserve">maruz </w:t>
      </w:r>
      <w:proofErr w:type="gramStart"/>
      <w:r w:rsidR="009B7E53" w:rsidRPr="008F1795">
        <w:rPr>
          <w:i/>
          <w:iCs/>
          <w:lang w:val="tr-TR"/>
        </w:rPr>
        <w:t>bırakır</w:t>
      </w:r>
      <w:r w:rsidR="000E4FA7" w:rsidRPr="008F1795">
        <w:rPr>
          <w:i/>
          <w:iCs/>
          <w:lang w:val="tr-TR"/>
        </w:rPr>
        <w:t>,</w:t>
      </w:r>
      <w:proofErr w:type="gramEnd"/>
      <w:r w:rsidR="000E4FA7" w:rsidRPr="008F1795">
        <w:rPr>
          <w:i/>
          <w:iCs/>
          <w:lang w:val="tr-TR"/>
        </w:rPr>
        <w:t xml:space="preserve"> ve bu nedenle daha fazla tolerans göstermesi gerek</w:t>
      </w:r>
      <w:r w:rsidR="006B0830">
        <w:rPr>
          <w:i/>
          <w:iCs/>
          <w:lang w:val="tr-TR"/>
        </w:rPr>
        <w:t>ir</w:t>
      </w:r>
      <w:r w:rsidR="000E4FA7" w:rsidRPr="008F1795">
        <w:rPr>
          <w:lang w:val="tr-TR"/>
        </w:rPr>
        <w:t>.</w:t>
      </w:r>
      <w:r w:rsidR="000E4FA7" w:rsidRPr="008F1795">
        <w:rPr>
          <w:rStyle w:val="DipnotBavurusu"/>
          <w:lang w:val="tr-TR"/>
        </w:rPr>
        <w:footnoteReference w:id="85"/>
      </w:r>
      <w:r w:rsidR="00755657" w:rsidRPr="008F1795">
        <w:rPr>
          <w:lang w:val="tr-TR"/>
        </w:rPr>
        <w:t xml:space="preserve"> </w:t>
      </w:r>
    </w:p>
    <w:p w14:paraId="47823953" w14:textId="77777777" w:rsidR="00906A21" w:rsidRPr="008F1795" w:rsidRDefault="00906A21" w:rsidP="00906A21">
      <w:pPr>
        <w:pStyle w:val="ListeParagraf"/>
        <w:tabs>
          <w:tab w:val="left" w:pos="635"/>
        </w:tabs>
        <w:ind w:right="215"/>
        <w:rPr>
          <w:lang w:val="tr-TR"/>
        </w:rPr>
      </w:pPr>
    </w:p>
    <w:p w14:paraId="5DDA4B4E" w14:textId="58D74702" w:rsidR="00E646B6" w:rsidRPr="008F1795" w:rsidRDefault="00E646B6">
      <w:pPr>
        <w:pStyle w:val="ListeParagraf"/>
        <w:numPr>
          <w:ilvl w:val="0"/>
          <w:numId w:val="3"/>
        </w:numPr>
        <w:tabs>
          <w:tab w:val="left" w:pos="703"/>
        </w:tabs>
        <w:ind w:right="214" w:firstLine="0"/>
        <w:rPr>
          <w:lang w:val="tr-TR"/>
        </w:rPr>
      </w:pPr>
      <w:r w:rsidRPr="008F1795">
        <w:rPr>
          <w:b/>
          <w:bCs/>
          <w:lang w:val="tr-TR"/>
        </w:rPr>
        <w:t>İkinci olarak</w:t>
      </w:r>
      <w:r w:rsidRPr="008F1795">
        <w:rPr>
          <w:lang w:val="tr-TR"/>
        </w:rPr>
        <w:t>,</w:t>
      </w:r>
      <w:r w:rsidR="00CA57D7" w:rsidRPr="008F1795">
        <w:rPr>
          <w:lang w:val="tr-TR"/>
        </w:rPr>
        <w:t xml:space="preserve"> </w:t>
      </w:r>
      <w:r w:rsidR="00B96A75" w:rsidRPr="008F1795">
        <w:rPr>
          <w:lang w:val="tr-TR"/>
        </w:rPr>
        <w:t xml:space="preserve">yetkililere göre eleştirel bir içerik olmadan, </w:t>
      </w:r>
      <w:r w:rsidR="00CA57D7" w:rsidRPr="008F1795">
        <w:rPr>
          <w:lang w:val="tr-TR"/>
        </w:rPr>
        <w:t xml:space="preserve">Cumhurbaşkanı ve aile fertlerine </w:t>
      </w:r>
      <w:r w:rsidR="007C2CF7" w:rsidRPr="008F1795">
        <w:rPr>
          <w:lang w:val="tr-TR"/>
        </w:rPr>
        <w:t xml:space="preserve">yönelik </w:t>
      </w:r>
      <w:r w:rsidR="00CA57D7" w:rsidRPr="008F1795">
        <w:rPr>
          <w:lang w:val="tr-TR"/>
        </w:rPr>
        <w:t>küfür içeren hakaretler ile ilgili olarak</w:t>
      </w:r>
      <w:r w:rsidR="00B96A75" w:rsidRPr="008F1795">
        <w:rPr>
          <w:lang w:val="tr-TR"/>
        </w:rPr>
        <w:t xml:space="preserve">, </w:t>
      </w:r>
      <w:r w:rsidR="007C2CF7" w:rsidRPr="008F1795">
        <w:rPr>
          <w:lang w:val="tr-TR"/>
        </w:rPr>
        <w:t xml:space="preserve">eleştiri ve hakaret arasında net bir ayrım yapılmalıdır. </w:t>
      </w:r>
      <w:r w:rsidR="0009685D" w:rsidRPr="008F1795">
        <w:rPr>
          <w:lang w:val="tr-TR"/>
        </w:rPr>
        <w:t xml:space="preserve">Eğer </w:t>
      </w:r>
      <w:r w:rsidR="002D361C" w:rsidRPr="008F1795">
        <w:rPr>
          <w:lang w:val="tr-TR"/>
        </w:rPr>
        <w:t xml:space="preserve">ahlaksızca aşağılama ya da asılsız kişisel saldırıya varan </w:t>
      </w:r>
      <w:r w:rsidR="0009685D" w:rsidRPr="008F1795">
        <w:rPr>
          <w:lang w:val="tr-TR"/>
        </w:rPr>
        <w:t xml:space="preserve">ifade biçiminin tek amacı Cumhurbaşkanına hakaret etmek ise, </w:t>
      </w:r>
      <w:r w:rsidR="000A7CB0" w:rsidRPr="008F1795">
        <w:rPr>
          <w:lang w:val="tr-TR"/>
        </w:rPr>
        <w:t xml:space="preserve">buna orantılı bir yaptırım </w:t>
      </w:r>
      <w:r w:rsidR="00DE3463" w:rsidRPr="008F1795">
        <w:rPr>
          <w:lang w:val="tr-TR"/>
        </w:rPr>
        <w:t xml:space="preserve">uygulanması, </w:t>
      </w:r>
      <w:r w:rsidR="000A7CB0" w:rsidRPr="008F1795">
        <w:rPr>
          <w:lang w:val="tr-TR"/>
        </w:rPr>
        <w:t>ilke olarak ifade özgürlüğü hakkının ihlal</w:t>
      </w:r>
      <w:r w:rsidR="00DE3463" w:rsidRPr="008F1795">
        <w:rPr>
          <w:lang w:val="tr-TR"/>
        </w:rPr>
        <w:t>i sayılmaz.</w:t>
      </w:r>
      <w:r w:rsidR="00DE3463" w:rsidRPr="008F1795">
        <w:rPr>
          <w:rStyle w:val="DipnotBavurusu"/>
          <w:lang w:val="tr-TR"/>
        </w:rPr>
        <w:footnoteReference w:id="86"/>
      </w:r>
      <w:r w:rsidR="00DE3463" w:rsidRPr="008F1795">
        <w:rPr>
          <w:lang w:val="tr-TR"/>
        </w:rPr>
        <w:t xml:space="preserve"> </w:t>
      </w:r>
      <w:r w:rsidR="00434067" w:rsidRPr="008F1795">
        <w:rPr>
          <w:lang w:val="tr-TR"/>
        </w:rPr>
        <w:t xml:space="preserve">Ancak Venedik Komisyonu, </w:t>
      </w:r>
      <w:r w:rsidR="00EF690D" w:rsidRPr="008F1795">
        <w:rPr>
          <w:lang w:val="tr-TR"/>
        </w:rPr>
        <w:t xml:space="preserve">Cumhurbaşkanına hakaret </w:t>
      </w:r>
      <w:r w:rsidR="00346D1A" w:rsidRPr="008F1795">
        <w:rPr>
          <w:lang w:val="tr-TR"/>
        </w:rPr>
        <w:t>nedeniyle</w:t>
      </w:r>
      <w:r w:rsidR="001311BC" w:rsidRPr="008F1795">
        <w:rPr>
          <w:lang w:val="tr-TR"/>
        </w:rPr>
        <w:t xml:space="preserve"> </w:t>
      </w:r>
      <w:r w:rsidR="006F034A" w:rsidRPr="008F1795">
        <w:rPr>
          <w:lang w:val="tr-TR"/>
        </w:rPr>
        <w:t xml:space="preserve">verilen </w:t>
      </w:r>
      <w:r w:rsidR="00EF690D" w:rsidRPr="008F1795">
        <w:rPr>
          <w:lang w:val="tr-TR"/>
        </w:rPr>
        <w:t>hapis ceza</w:t>
      </w:r>
      <w:r w:rsidR="001311BC" w:rsidRPr="008F1795">
        <w:rPr>
          <w:lang w:val="tr-TR"/>
        </w:rPr>
        <w:t>ları</w:t>
      </w:r>
      <w:r w:rsidR="00956D53" w:rsidRPr="008F1795">
        <w:rPr>
          <w:lang w:val="tr-TR"/>
        </w:rPr>
        <w:t xml:space="preserve"> ile</w:t>
      </w:r>
      <w:r w:rsidR="00EF690D" w:rsidRPr="008F1795">
        <w:rPr>
          <w:lang w:val="tr-TR"/>
        </w:rPr>
        <w:t xml:space="preserve"> yakalan</w:t>
      </w:r>
      <w:r w:rsidR="001311BC" w:rsidRPr="008F1795">
        <w:rPr>
          <w:lang w:val="tr-TR"/>
        </w:rPr>
        <w:t>ma</w:t>
      </w:r>
      <w:r w:rsidR="00EF690D" w:rsidRPr="008F1795">
        <w:rPr>
          <w:lang w:val="tr-TR"/>
        </w:rPr>
        <w:t xml:space="preserve"> ve alıkonul</w:t>
      </w:r>
      <w:r w:rsidR="001311BC" w:rsidRPr="008F1795">
        <w:rPr>
          <w:lang w:val="tr-TR"/>
        </w:rPr>
        <w:t>ma vakaları</w:t>
      </w:r>
      <w:r w:rsidR="009E5B38" w:rsidRPr="008F1795">
        <w:rPr>
          <w:lang w:val="tr-TR"/>
        </w:rPr>
        <w:t xml:space="preserve">ndan dolayı </w:t>
      </w:r>
      <w:r w:rsidR="008C4998" w:rsidRPr="008F1795">
        <w:rPr>
          <w:lang w:val="tr-TR"/>
        </w:rPr>
        <w:t>şaşkınlığa uğramıştır</w:t>
      </w:r>
      <w:r w:rsidR="006F034A" w:rsidRPr="008F1795">
        <w:rPr>
          <w:lang w:val="tr-TR"/>
        </w:rPr>
        <w:t xml:space="preserve">. </w:t>
      </w:r>
      <w:r w:rsidR="00C00A66" w:rsidRPr="008F1795">
        <w:rPr>
          <w:lang w:val="tr-TR"/>
        </w:rPr>
        <w:t>İfadeler sövgü içerse bile, Cumhurbaşkanına hakaret nedeniyle 16 yaşında bir çocuğun okulunda yakalanması</w:t>
      </w:r>
      <w:r w:rsidR="0036627A" w:rsidRPr="008F1795">
        <w:rPr>
          <w:rStyle w:val="DipnotBavurusu"/>
          <w:lang w:val="tr-TR"/>
        </w:rPr>
        <w:footnoteReference w:id="87"/>
      </w:r>
      <w:r w:rsidR="00C00A66" w:rsidRPr="008F1795">
        <w:rPr>
          <w:lang w:val="tr-TR"/>
        </w:rPr>
        <w:t xml:space="preserve"> ve mahkemelerin verdiği hapis cezaları</w:t>
      </w:r>
      <w:r w:rsidR="00366EBA" w:rsidRPr="008F1795">
        <w:rPr>
          <w:lang w:val="tr-TR"/>
        </w:rPr>
        <w:t xml:space="preserve"> </w:t>
      </w:r>
      <w:r w:rsidR="00D13FB6" w:rsidRPr="008F1795">
        <w:rPr>
          <w:lang w:val="tr-TR"/>
        </w:rPr>
        <w:t>(bkz</w:t>
      </w:r>
      <w:r w:rsidR="00FA065C" w:rsidRPr="008F1795">
        <w:rPr>
          <w:lang w:val="tr-TR"/>
        </w:rPr>
        <w:t>.</w:t>
      </w:r>
      <w:r w:rsidR="00D13FB6" w:rsidRPr="008F1795">
        <w:rPr>
          <w:lang w:val="tr-TR"/>
        </w:rPr>
        <w:t xml:space="preserve"> </w:t>
      </w:r>
      <w:r w:rsidR="00FA065C" w:rsidRPr="008F1795">
        <w:rPr>
          <w:lang w:val="tr-TR"/>
        </w:rPr>
        <w:t xml:space="preserve">62 ve 65. paragraflar) </w:t>
      </w:r>
      <w:r w:rsidR="00366EBA" w:rsidRPr="008F1795">
        <w:rPr>
          <w:lang w:val="tr-TR"/>
        </w:rPr>
        <w:t>büyük ihtimalle tüm toplumda caydırıcı bir etkiye yol açacaktır ve Cumhurbaşkanının onurunu ve şerefini koruma</w:t>
      </w:r>
      <w:r w:rsidR="00250806" w:rsidRPr="008F1795">
        <w:rPr>
          <w:lang w:val="tr-TR"/>
        </w:rPr>
        <w:t>k gibi</w:t>
      </w:r>
      <w:r w:rsidR="00D13FB6" w:rsidRPr="008F1795">
        <w:rPr>
          <w:lang w:val="tr-TR"/>
        </w:rPr>
        <w:t xml:space="preserve"> meşru </w:t>
      </w:r>
      <w:r w:rsidR="00250806" w:rsidRPr="008F1795">
        <w:rPr>
          <w:lang w:val="tr-TR"/>
        </w:rPr>
        <w:t xml:space="preserve">bir </w:t>
      </w:r>
      <w:r w:rsidR="00D13FB6" w:rsidRPr="008F1795">
        <w:rPr>
          <w:lang w:val="tr-TR"/>
        </w:rPr>
        <w:t xml:space="preserve">amaca orantılı olarak değerlendirilemez. </w:t>
      </w:r>
    </w:p>
    <w:p w14:paraId="6746091F" w14:textId="77777777" w:rsidR="00E646B6" w:rsidRPr="008F1795" w:rsidRDefault="00E646B6" w:rsidP="00E646B6">
      <w:pPr>
        <w:pStyle w:val="ListeParagraf"/>
        <w:tabs>
          <w:tab w:val="left" w:pos="703"/>
        </w:tabs>
        <w:ind w:right="214"/>
        <w:rPr>
          <w:b/>
          <w:lang w:val="tr-TR"/>
        </w:rPr>
      </w:pPr>
    </w:p>
    <w:p w14:paraId="38EA3338" w14:textId="4755B6A3" w:rsidR="00165A4B" w:rsidRPr="008F1795" w:rsidRDefault="00165A4B" w:rsidP="00E130A8">
      <w:pPr>
        <w:pStyle w:val="ListeParagraf"/>
        <w:numPr>
          <w:ilvl w:val="0"/>
          <w:numId w:val="3"/>
        </w:numPr>
        <w:tabs>
          <w:tab w:val="left" w:pos="698"/>
        </w:tabs>
        <w:spacing w:before="1"/>
        <w:ind w:right="215" w:firstLine="0"/>
        <w:rPr>
          <w:lang w:val="tr-TR"/>
        </w:rPr>
      </w:pPr>
      <w:r w:rsidRPr="008F1795">
        <w:rPr>
          <w:lang w:val="tr-TR"/>
        </w:rPr>
        <w:t xml:space="preserve">AİHM, </w:t>
      </w:r>
      <w:proofErr w:type="spellStart"/>
      <w:r w:rsidRPr="008F1795">
        <w:rPr>
          <w:i/>
          <w:iCs/>
          <w:lang w:val="tr-TR"/>
        </w:rPr>
        <w:t>Eon</w:t>
      </w:r>
      <w:proofErr w:type="spellEnd"/>
      <w:r w:rsidRPr="008F1795">
        <w:rPr>
          <w:i/>
          <w:iCs/>
          <w:lang w:val="tr-TR"/>
        </w:rPr>
        <w:t xml:space="preserve"> ve Fransa davasında</w:t>
      </w:r>
      <w:r w:rsidRPr="008F1795">
        <w:rPr>
          <w:lang w:val="tr-TR"/>
        </w:rPr>
        <w:t xml:space="preserve"> </w:t>
      </w:r>
      <w:r w:rsidR="00706220" w:rsidRPr="008F1795">
        <w:rPr>
          <w:lang w:val="tr-TR"/>
        </w:rPr>
        <w:t xml:space="preserve">ceza davasında başvurucuya verilen 30 </w:t>
      </w:r>
      <w:r w:rsidR="00972CBA">
        <w:rPr>
          <w:lang w:val="tr-TR"/>
        </w:rPr>
        <w:t>avro</w:t>
      </w:r>
      <w:r w:rsidR="00706220" w:rsidRPr="008F1795">
        <w:rPr>
          <w:lang w:val="tr-TR"/>
        </w:rPr>
        <w:t xml:space="preserve"> tutarındaki para cezasının, </w:t>
      </w:r>
      <w:r w:rsidR="00C53BAB" w:rsidRPr="008F1795">
        <w:rPr>
          <w:lang w:val="tr-TR"/>
        </w:rPr>
        <w:t xml:space="preserve">gündemdeki meseleler hakkında hicivsel ifade biçimlerinin kullanılması üzerinde caydırıcı bir </w:t>
      </w:r>
      <w:r w:rsidR="00706220" w:rsidRPr="008F1795">
        <w:rPr>
          <w:lang w:val="tr-TR"/>
        </w:rPr>
        <w:t xml:space="preserve">etki bırakmasının muhtemel olduğu </w:t>
      </w:r>
      <w:r w:rsidR="00E34672" w:rsidRPr="008F1795">
        <w:rPr>
          <w:lang w:val="tr-TR"/>
        </w:rPr>
        <w:t>kararını vermiştir. Bu karar</w:t>
      </w:r>
      <w:r w:rsidR="005F2529" w:rsidRPr="008F1795">
        <w:rPr>
          <w:lang w:val="tr-TR"/>
        </w:rPr>
        <w:t xml:space="preserve">, sert hapis cezaları için </w:t>
      </w:r>
      <w:r w:rsidR="00156308" w:rsidRPr="008F1795">
        <w:rPr>
          <w:i/>
          <w:iCs/>
          <w:lang w:val="tr-TR"/>
        </w:rPr>
        <w:t>bilhassa</w:t>
      </w:r>
      <w:r w:rsidR="00156308" w:rsidRPr="008F1795">
        <w:rPr>
          <w:lang w:val="tr-TR"/>
        </w:rPr>
        <w:t xml:space="preserve"> geçerlidir. Bu bakımdan, </w:t>
      </w:r>
      <w:r w:rsidR="00E130A8" w:rsidRPr="008F1795">
        <w:rPr>
          <w:lang w:val="tr-TR"/>
        </w:rPr>
        <w:t>özel konu</w:t>
      </w:r>
      <w:r w:rsidR="00B71BD5" w:rsidRPr="008F1795">
        <w:rPr>
          <w:lang w:val="tr-TR"/>
        </w:rPr>
        <w:t xml:space="preserve">şmalar sırasında yapılan hakaretlerin bile </w:t>
      </w:r>
      <w:r w:rsidR="00675869" w:rsidRPr="008F1795">
        <w:rPr>
          <w:lang w:val="tr-TR"/>
        </w:rPr>
        <w:t xml:space="preserve">–ihbar edilirse veya başka bir şekilde </w:t>
      </w:r>
      <w:r w:rsidR="003B7630" w:rsidRPr="008F1795">
        <w:rPr>
          <w:lang w:val="tr-TR"/>
        </w:rPr>
        <w:t>keşfedilirse</w:t>
      </w:r>
      <w:r w:rsidR="00675869" w:rsidRPr="008F1795">
        <w:rPr>
          <w:lang w:val="tr-TR"/>
        </w:rPr>
        <w:t xml:space="preserve">– </w:t>
      </w:r>
      <w:r w:rsidR="00B71BD5" w:rsidRPr="008F1795">
        <w:rPr>
          <w:lang w:val="tr-TR"/>
        </w:rPr>
        <w:t xml:space="preserve">asgari bir yıl hapis cezasına tabi olduğu </w:t>
      </w:r>
      <w:r w:rsidR="00675869" w:rsidRPr="008F1795">
        <w:rPr>
          <w:lang w:val="tr-TR"/>
        </w:rPr>
        <w:t xml:space="preserve">da </w:t>
      </w:r>
      <w:r w:rsidR="00B71BD5" w:rsidRPr="008F1795">
        <w:rPr>
          <w:lang w:val="tr-TR"/>
        </w:rPr>
        <w:t xml:space="preserve">dikkate alınırsa, </w:t>
      </w:r>
      <w:r w:rsidR="00156308" w:rsidRPr="008F1795">
        <w:rPr>
          <w:lang w:val="tr-TR"/>
        </w:rPr>
        <w:t xml:space="preserve">299. </w:t>
      </w:r>
      <w:r w:rsidR="00241305" w:rsidRPr="008F1795">
        <w:rPr>
          <w:lang w:val="tr-TR"/>
        </w:rPr>
        <w:t>Madde</w:t>
      </w:r>
      <w:r w:rsidR="00156308" w:rsidRPr="008F1795">
        <w:rPr>
          <w:lang w:val="tr-TR"/>
        </w:rPr>
        <w:t>de yer alan asgari</w:t>
      </w:r>
      <w:r w:rsidR="00801885" w:rsidRPr="008F1795">
        <w:rPr>
          <w:lang w:val="tr-TR"/>
        </w:rPr>
        <w:t xml:space="preserve"> bir yıl hapis cezası</w:t>
      </w:r>
      <w:r w:rsidR="00707E0F" w:rsidRPr="008F1795">
        <w:rPr>
          <w:lang w:val="tr-TR"/>
        </w:rPr>
        <w:t xml:space="preserve"> (299(2)) </w:t>
      </w:r>
      <w:r w:rsidR="00801885" w:rsidRPr="008F1795">
        <w:rPr>
          <w:lang w:val="tr-TR"/>
        </w:rPr>
        <w:t>tamamen orantısız gözükmekte</w:t>
      </w:r>
      <w:r w:rsidR="004D605A" w:rsidRPr="008F1795">
        <w:rPr>
          <w:lang w:val="tr-TR"/>
        </w:rPr>
        <w:t>dir</w:t>
      </w:r>
      <w:r w:rsidR="003B7630" w:rsidRPr="008F1795">
        <w:rPr>
          <w:lang w:val="tr-TR"/>
        </w:rPr>
        <w:t xml:space="preserve">. </w:t>
      </w:r>
      <w:r w:rsidR="00707E0F" w:rsidRPr="008F1795">
        <w:rPr>
          <w:lang w:val="tr-TR"/>
        </w:rPr>
        <w:t xml:space="preserve">Birleşmiş Milletler İnsan Hakları Komitesi, </w:t>
      </w:r>
      <w:r w:rsidR="00532535" w:rsidRPr="008F1795">
        <w:rPr>
          <w:lang w:val="tr-TR"/>
        </w:rPr>
        <w:t>ICCPR 19(3)</w:t>
      </w:r>
      <w:r w:rsidR="0097760E" w:rsidRPr="008F1795">
        <w:rPr>
          <w:lang w:val="tr-TR"/>
        </w:rPr>
        <w:t xml:space="preserve">. </w:t>
      </w:r>
      <w:r w:rsidR="00241305" w:rsidRPr="008F1795">
        <w:rPr>
          <w:lang w:val="tr-TR"/>
        </w:rPr>
        <w:t>Madde</w:t>
      </w:r>
      <w:r w:rsidR="0097760E" w:rsidRPr="008F1795">
        <w:rPr>
          <w:lang w:val="tr-TR"/>
        </w:rPr>
        <w:t>si</w:t>
      </w:r>
      <w:r w:rsidR="00606715" w:rsidRPr="008F1795">
        <w:rPr>
          <w:lang w:val="tr-TR"/>
        </w:rPr>
        <w:t xml:space="preserve"> ile ilgili olarak, “</w:t>
      </w:r>
      <w:r w:rsidR="00606715" w:rsidRPr="008F1795">
        <w:rPr>
          <w:i/>
          <w:iCs/>
          <w:lang w:val="tr-TR"/>
        </w:rPr>
        <w:t>kısıtlayıcı tedbirler</w:t>
      </w:r>
      <w:r w:rsidR="00E95BF8" w:rsidRPr="008F1795">
        <w:rPr>
          <w:i/>
          <w:iCs/>
          <w:lang w:val="tr-TR"/>
        </w:rPr>
        <w:t>,</w:t>
      </w:r>
      <w:r w:rsidR="00606715" w:rsidRPr="008F1795">
        <w:rPr>
          <w:i/>
          <w:iCs/>
          <w:lang w:val="tr-TR"/>
        </w:rPr>
        <w:t xml:space="preserve"> orantılılık ilkesine </w:t>
      </w:r>
      <w:r w:rsidR="00EC4BE9" w:rsidRPr="008F1795">
        <w:rPr>
          <w:i/>
          <w:iCs/>
          <w:lang w:val="tr-TR"/>
        </w:rPr>
        <w:t>uyumlu</w:t>
      </w:r>
      <w:r w:rsidR="00606715" w:rsidRPr="008F1795">
        <w:rPr>
          <w:i/>
          <w:iCs/>
          <w:lang w:val="tr-TR"/>
        </w:rPr>
        <w:t xml:space="preserve"> </w:t>
      </w:r>
      <w:r w:rsidR="00DE0793" w:rsidRPr="008F1795">
        <w:rPr>
          <w:i/>
          <w:iCs/>
          <w:lang w:val="tr-TR"/>
        </w:rPr>
        <w:t>olma</w:t>
      </w:r>
      <w:r w:rsidR="00606715" w:rsidRPr="008F1795">
        <w:rPr>
          <w:i/>
          <w:iCs/>
          <w:lang w:val="tr-TR"/>
        </w:rPr>
        <w:t xml:space="preserve">lıdır; </w:t>
      </w:r>
      <w:r w:rsidR="00EC4BE9" w:rsidRPr="008F1795">
        <w:rPr>
          <w:i/>
          <w:iCs/>
          <w:lang w:val="tr-TR"/>
        </w:rPr>
        <w:t xml:space="preserve">koruyucu işlevlerini yerine getirmeye uygun olmalıdır; </w:t>
      </w:r>
      <w:r w:rsidR="00F03953" w:rsidRPr="008F1795">
        <w:rPr>
          <w:i/>
          <w:iCs/>
          <w:lang w:val="tr-TR"/>
        </w:rPr>
        <w:t xml:space="preserve">uygulanan tedbir, </w:t>
      </w:r>
      <w:r w:rsidR="00514984" w:rsidRPr="008F1795">
        <w:rPr>
          <w:i/>
          <w:iCs/>
          <w:lang w:val="tr-TR"/>
        </w:rPr>
        <w:t>koruyucu işlev</w:t>
      </w:r>
      <w:r w:rsidR="00F03953" w:rsidRPr="008F1795">
        <w:rPr>
          <w:i/>
          <w:iCs/>
          <w:lang w:val="tr-TR"/>
        </w:rPr>
        <w:t>i</w:t>
      </w:r>
      <w:r w:rsidR="00514984" w:rsidRPr="008F1795">
        <w:rPr>
          <w:i/>
          <w:iCs/>
          <w:lang w:val="tr-TR"/>
        </w:rPr>
        <w:t xml:space="preserve"> gerçekleştirebilecek en az müdahale </w:t>
      </w:r>
      <w:r w:rsidR="00630CB4" w:rsidRPr="008F1795">
        <w:rPr>
          <w:i/>
          <w:iCs/>
          <w:lang w:val="tr-TR"/>
        </w:rPr>
        <w:t>ed</w:t>
      </w:r>
      <w:r w:rsidR="006C5C0C" w:rsidRPr="008F1795">
        <w:rPr>
          <w:i/>
          <w:iCs/>
          <w:lang w:val="tr-TR"/>
        </w:rPr>
        <w:t>ici</w:t>
      </w:r>
      <w:r w:rsidR="00514984" w:rsidRPr="008F1795">
        <w:rPr>
          <w:i/>
          <w:iCs/>
          <w:lang w:val="tr-TR"/>
        </w:rPr>
        <w:t xml:space="preserve"> </w:t>
      </w:r>
      <w:r w:rsidR="006C5C0C" w:rsidRPr="008F1795">
        <w:rPr>
          <w:i/>
          <w:iCs/>
          <w:lang w:val="tr-TR"/>
        </w:rPr>
        <w:t>yöntem</w:t>
      </w:r>
      <w:r w:rsidR="00F03953" w:rsidRPr="008F1795">
        <w:rPr>
          <w:i/>
          <w:iCs/>
          <w:lang w:val="tr-TR"/>
        </w:rPr>
        <w:t xml:space="preserve"> olmalıdır</w:t>
      </w:r>
      <w:r w:rsidR="00E95BF8" w:rsidRPr="008F1795">
        <w:rPr>
          <w:i/>
          <w:iCs/>
          <w:lang w:val="tr-TR"/>
        </w:rPr>
        <w:t xml:space="preserve">; </w:t>
      </w:r>
      <w:r w:rsidR="00DE0793" w:rsidRPr="008F1795">
        <w:rPr>
          <w:i/>
          <w:iCs/>
          <w:lang w:val="tr-TR"/>
        </w:rPr>
        <w:t xml:space="preserve">bu tedbirler, </w:t>
      </w:r>
      <w:r w:rsidR="00E95BF8" w:rsidRPr="008F1795">
        <w:rPr>
          <w:i/>
          <w:iCs/>
          <w:lang w:val="tr-TR"/>
        </w:rPr>
        <w:t>korunması gereken menfaat</w:t>
      </w:r>
      <w:r w:rsidR="00DE0793" w:rsidRPr="008F1795">
        <w:rPr>
          <w:i/>
          <w:iCs/>
          <w:lang w:val="tr-TR"/>
        </w:rPr>
        <w:t xml:space="preserve"> ile</w:t>
      </w:r>
      <w:r w:rsidR="00E95BF8" w:rsidRPr="008F1795">
        <w:rPr>
          <w:i/>
          <w:iCs/>
          <w:lang w:val="tr-TR"/>
        </w:rPr>
        <w:t xml:space="preserve"> orantılı olmalıdır</w:t>
      </w:r>
      <w:r w:rsidR="00DE0793" w:rsidRPr="008F1795">
        <w:rPr>
          <w:lang w:val="tr-TR"/>
        </w:rPr>
        <w:t>.”</w:t>
      </w:r>
      <w:r w:rsidR="00836EB1" w:rsidRPr="008F1795">
        <w:rPr>
          <w:lang w:val="tr-TR"/>
        </w:rPr>
        <w:t xml:space="preserve"> diye belirtmiştir.</w:t>
      </w:r>
      <w:r w:rsidR="00C67690" w:rsidRPr="008F1795">
        <w:rPr>
          <w:rStyle w:val="DipnotBavurusu"/>
          <w:lang w:val="tr-TR"/>
        </w:rPr>
        <w:footnoteReference w:id="88"/>
      </w:r>
      <w:r w:rsidR="00EC6F94" w:rsidRPr="008F1795">
        <w:rPr>
          <w:lang w:val="tr-TR"/>
        </w:rPr>
        <w:t xml:space="preserve"> Buna ek olarak</w:t>
      </w:r>
      <w:r w:rsidR="00B1450C" w:rsidRPr="008F1795">
        <w:rPr>
          <w:lang w:val="tr-TR"/>
        </w:rPr>
        <w:t xml:space="preserve"> Komite</w:t>
      </w:r>
      <w:r w:rsidR="00EC6F94" w:rsidRPr="008F1795">
        <w:rPr>
          <w:lang w:val="tr-TR"/>
        </w:rPr>
        <w:t>, “</w:t>
      </w:r>
      <w:r w:rsidR="00B1450C" w:rsidRPr="008F1795">
        <w:rPr>
          <w:i/>
          <w:iCs/>
          <w:lang w:val="tr-TR"/>
        </w:rPr>
        <w:t>Taraf Devletler ifade özgürlüğünün kısıtlanması için meşru bir neden</w:t>
      </w:r>
      <w:r w:rsidR="001074F1" w:rsidRPr="008F1795">
        <w:rPr>
          <w:i/>
          <w:iCs/>
          <w:lang w:val="tr-TR"/>
        </w:rPr>
        <w:t xml:space="preserve"> ileri sürdüğünde, </w:t>
      </w:r>
      <w:r w:rsidR="00E708F3" w:rsidRPr="008F1795">
        <w:rPr>
          <w:i/>
          <w:iCs/>
          <w:lang w:val="tr-TR"/>
        </w:rPr>
        <w:t xml:space="preserve">özellikle </w:t>
      </w:r>
      <w:r w:rsidR="006D2A5C" w:rsidRPr="008F1795">
        <w:rPr>
          <w:i/>
          <w:iCs/>
          <w:lang w:val="tr-TR"/>
        </w:rPr>
        <w:t>ifade ile tehdit arasında</w:t>
      </w:r>
      <w:r w:rsidR="0009798D" w:rsidRPr="008F1795">
        <w:rPr>
          <w:i/>
          <w:iCs/>
          <w:lang w:val="tr-TR"/>
        </w:rPr>
        <w:t>ki</w:t>
      </w:r>
      <w:r w:rsidR="006D2A5C" w:rsidRPr="008F1795">
        <w:rPr>
          <w:i/>
          <w:iCs/>
          <w:lang w:val="tr-TR"/>
        </w:rPr>
        <w:t xml:space="preserve"> doğrudan ve yakın bağlantıyı kurarak, </w:t>
      </w:r>
      <w:r w:rsidR="00267FB5" w:rsidRPr="008F1795">
        <w:rPr>
          <w:i/>
          <w:iCs/>
          <w:lang w:val="tr-TR"/>
        </w:rPr>
        <w:t xml:space="preserve">tehdidin tam olarak yapısını </w:t>
      </w:r>
      <w:r w:rsidR="00221DB2" w:rsidRPr="008F1795">
        <w:rPr>
          <w:i/>
          <w:iCs/>
          <w:lang w:val="tr-TR"/>
        </w:rPr>
        <w:t>ve alınan eylemin gerekliliği ve orantılılığ</w:t>
      </w:r>
      <w:r w:rsidR="00A31F2D" w:rsidRPr="008F1795">
        <w:rPr>
          <w:i/>
          <w:iCs/>
          <w:lang w:val="tr-TR"/>
        </w:rPr>
        <w:t>ı</w:t>
      </w:r>
      <w:r w:rsidR="00221DB2" w:rsidRPr="008F1795">
        <w:rPr>
          <w:i/>
          <w:iCs/>
          <w:lang w:val="tr-TR"/>
        </w:rPr>
        <w:t>nı</w:t>
      </w:r>
      <w:r w:rsidR="00A31F2D" w:rsidRPr="008F1795">
        <w:rPr>
          <w:i/>
          <w:iCs/>
          <w:lang w:val="tr-TR"/>
        </w:rPr>
        <w:t xml:space="preserve"> kesin ve duruma özel biçimde ortaya koymalıdır</w:t>
      </w:r>
      <w:r w:rsidR="0009798D" w:rsidRPr="008F1795">
        <w:rPr>
          <w:lang w:val="tr-TR"/>
        </w:rPr>
        <w:t>”</w:t>
      </w:r>
      <w:r w:rsidR="00F56E59" w:rsidRPr="008F1795">
        <w:rPr>
          <w:rStyle w:val="DipnotBavurusu"/>
          <w:lang w:val="tr-TR"/>
        </w:rPr>
        <w:footnoteReference w:id="89"/>
      </w:r>
      <w:r w:rsidR="0009798D" w:rsidRPr="008F1795">
        <w:rPr>
          <w:lang w:val="tr-TR"/>
        </w:rPr>
        <w:t xml:space="preserve"> </w:t>
      </w:r>
      <w:r w:rsidR="00A767E8" w:rsidRPr="008F1795">
        <w:rPr>
          <w:lang w:val="tr-TR"/>
        </w:rPr>
        <w:t>diye vurgulamıştır.</w:t>
      </w:r>
    </w:p>
    <w:p w14:paraId="2357DB44" w14:textId="3FA6B94A" w:rsidR="00B74CEA" w:rsidRPr="008F1795" w:rsidRDefault="00BE381E" w:rsidP="00F56E59">
      <w:pPr>
        <w:pStyle w:val="ListeParagraf"/>
        <w:tabs>
          <w:tab w:val="left" w:pos="698"/>
        </w:tabs>
        <w:spacing w:before="1"/>
        <w:ind w:right="215"/>
        <w:rPr>
          <w:lang w:val="tr-TR"/>
        </w:rPr>
      </w:pPr>
      <w:r w:rsidRPr="008F1795">
        <w:rPr>
          <w:lang w:val="tr-TR"/>
        </w:rPr>
        <w:t xml:space="preserve"> </w:t>
      </w:r>
    </w:p>
    <w:p w14:paraId="4521445B" w14:textId="16E58915" w:rsidR="00F56E59" w:rsidRPr="008F1795" w:rsidRDefault="00AC192D">
      <w:pPr>
        <w:pStyle w:val="ListeParagraf"/>
        <w:numPr>
          <w:ilvl w:val="0"/>
          <w:numId w:val="3"/>
        </w:numPr>
        <w:tabs>
          <w:tab w:val="left" w:pos="701"/>
        </w:tabs>
        <w:ind w:right="214" w:firstLine="0"/>
        <w:rPr>
          <w:lang w:val="tr-TR"/>
        </w:rPr>
      </w:pPr>
      <w:r w:rsidRPr="008F1795">
        <w:rPr>
          <w:lang w:val="tr-TR"/>
        </w:rPr>
        <w:t xml:space="preserve">Cumhurbaşkanına yönelik haksız saldırılar ile ilgili olarak, </w:t>
      </w:r>
      <w:r w:rsidR="00576271" w:rsidRPr="008F1795">
        <w:rPr>
          <w:lang w:val="tr-TR"/>
        </w:rPr>
        <w:t xml:space="preserve">299. </w:t>
      </w:r>
      <w:r w:rsidR="00241305" w:rsidRPr="008F1795">
        <w:rPr>
          <w:lang w:val="tr-TR"/>
        </w:rPr>
        <w:t>Madde</w:t>
      </w:r>
      <w:r w:rsidR="00576271" w:rsidRPr="008F1795">
        <w:rPr>
          <w:lang w:val="tr-TR"/>
        </w:rPr>
        <w:t xml:space="preserve"> temelinde yürütülen ceza davası yerine, </w:t>
      </w:r>
      <w:r w:rsidR="00C411D4" w:rsidRPr="008F1795">
        <w:rPr>
          <w:lang w:val="tr-TR"/>
        </w:rPr>
        <w:t>hukuk</w:t>
      </w:r>
      <w:r w:rsidR="00F74E41" w:rsidRPr="008F1795">
        <w:rPr>
          <w:lang w:val="tr-TR"/>
        </w:rPr>
        <w:t xml:space="preserve"> dava</w:t>
      </w:r>
      <w:r w:rsidR="00576271" w:rsidRPr="008F1795">
        <w:rPr>
          <w:lang w:val="tr-TR"/>
        </w:rPr>
        <w:t>sı</w:t>
      </w:r>
      <w:r w:rsidR="00C411D4" w:rsidRPr="008F1795">
        <w:rPr>
          <w:lang w:val="tr-TR"/>
        </w:rPr>
        <w:t xml:space="preserve"> ya da en ciddi durumlarda </w:t>
      </w:r>
      <w:r w:rsidR="00EB3269" w:rsidRPr="008F1795">
        <w:rPr>
          <w:lang w:val="tr-TR"/>
        </w:rPr>
        <w:t xml:space="preserve">Ceza Kanununun hakaret ile ilgili genel hükümleri (Ceza Kanununun 125. </w:t>
      </w:r>
      <w:r w:rsidR="00241305" w:rsidRPr="008F1795">
        <w:rPr>
          <w:lang w:val="tr-TR"/>
        </w:rPr>
        <w:t>Madde</w:t>
      </w:r>
      <w:r w:rsidR="00EB3269" w:rsidRPr="008F1795">
        <w:rPr>
          <w:lang w:val="tr-TR"/>
        </w:rPr>
        <w:t xml:space="preserve">si) </w:t>
      </w:r>
      <w:r w:rsidR="001D46F7">
        <w:rPr>
          <w:lang w:val="tr-TR"/>
        </w:rPr>
        <w:t>temelinde</w:t>
      </w:r>
      <w:r w:rsidR="00576271" w:rsidRPr="008F1795">
        <w:rPr>
          <w:lang w:val="tr-TR"/>
        </w:rPr>
        <w:t xml:space="preserve"> </w:t>
      </w:r>
      <w:r w:rsidR="00C411D4" w:rsidRPr="008F1795">
        <w:rPr>
          <w:lang w:val="tr-TR"/>
        </w:rPr>
        <w:t>ceza</w:t>
      </w:r>
      <w:r w:rsidR="00F74E41" w:rsidRPr="008F1795">
        <w:rPr>
          <w:lang w:val="tr-TR"/>
        </w:rPr>
        <w:t xml:space="preserve"> dava</w:t>
      </w:r>
      <w:r w:rsidR="00576271" w:rsidRPr="008F1795">
        <w:rPr>
          <w:lang w:val="tr-TR"/>
        </w:rPr>
        <w:t>sı</w:t>
      </w:r>
      <w:r w:rsidR="002E018B" w:rsidRPr="008F1795">
        <w:rPr>
          <w:lang w:val="tr-TR"/>
        </w:rPr>
        <w:t xml:space="preserve"> tercih edilmelidir.</w:t>
      </w:r>
      <w:r w:rsidR="00576271" w:rsidRPr="008F1795">
        <w:rPr>
          <w:lang w:val="tr-TR"/>
        </w:rPr>
        <w:t xml:space="preserve"> </w:t>
      </w:r>
      <w:r w:rsidR="00766F78" w:rsidRPr="008F1795">
        <w:rPr>
          <w:lang w:val="tr-TR"/>
        </w:rPr>
        <w:t xml:space="preserve">Bu </w:t>
      </w:r>
      <w:r w:rsidR="00356C32" w:rsidRPr="008F1795">
        <w:rPr>
          <w:lang w:val="tr-TR"/>
        </w:rPr>
        <w:t>konuda</w:t>
      </w:r>
      <w:r w:rsidR="00766F78" w:rsidRPr="008F1795">
        <w:rPr>
          <w:lang w:val="tr-TR"/>
        </w:rPr>
        <w:t xml:space="preserve"> </w:t>
      </w:r>
      <w:r w:rsidR="00356C32" w:rsidRPr="008F1795">
        <w:rPr>
          <w:lang w:val="tr-TR"/>
        </w:rPr>
        <w:t>h</w:t>
      </w:r>
      <w:r w:rsidR="00681BA4" w:rsidRPr="008F1795">
        <w:rPr>
          <w:lang w:val="tr-TR"/>
        </w:rPr>
        <w:t>ukuk davalarında verilen tazminat</w:t>
      </w:r>
      <w:r w:rsidR="00657F71" w:rsidRPr="008F1795">
        <w:rPr>
          <w:lang w:val="tr-TR"/>
        </w:rPr>
        <w:t>ların</w:t>
      </w:r>
      <w:r w:rsidR="007445CF" w:rsidRPr="008F1795">
        <w:rPr>
          <w:rStyle w:val="DipnotBavurusu"/>
          <w:lang w:val="tr-TR"/>
        </w:rPr>
        <w:footnoteReference w:id="90"/>
      </w:r>
      <w:r w:rsidR="00657F71" w:rsidRPr="008F1795">
        <w:rPr>
          <w:lang w:val="tr-TR"/>
        </w:rPr>
        <w:t xml:space="preserve"> ya da hakaret suçuna ilişkin genel hükme dayalı verilen cezai yaptırımların orantılı</w:t>
      </w:r>
      <w:r w:rsidR="00CC2028">
        <w:rPr>
          <w:lang w:val="tr-TR"/>
        </w:rPr>
        <w:t xml:space="preserve"> olması</w:t>
      </w:r>
      <w:r w:rsidR="00766F78" w:rsidRPr="008F1795">
        <w:rPr>
          <w:lang w:val="tr-TR"/>
        </w:rPr>
        <w:t xml:space="preserve">, AİHS 10(2). </w:t>
      </w:r>
      <w:r w:rsidR="00241305" w:rsidRPr="008F1795">
        <w:rPr>
          <w:lang w:val="tr-TR"/>
        </w:rPr>
        <w:t>Madde</w:t>
      </w:r>
      <w:r w:rsidR="00766F78" w:rsidRPr="008F1795">
        <w:rPr>
          <w:lang w:val="tr-TR"/>
        </w:rPr>
        <w:t>sinde belirtilen kısıtlamalara uygunluk bakımında</w:t>
      </w:r>
      <w:r w:rsidR="007445CF" w:rsidRPr="008F1795">
        <w:rPr>
          <w:lang w:val="tr-TR"/>
        </w:rPr>
        <w:t>n</w:t>
      </w:r>
      <w:r w:rsidR="00766F78" w:rsidRPr="008F1795">
        <w:rPr>
          <w:lang w:val="tr-TR"/>
        </w:rPr>
        <w:t xml:space="preserve"> son derece önemlidir. </w:t>
      </w:r>
      <w:r w:rsidR="001D46F7">
        <w:rPr>
          <w:lang w:val="tr-TR"/>
        </w:rPr>
        <w:t xml:space="preserve"> </w:t>
      </w:r>
    </w:p>
    <w:p w14:paraId="771DDB7B" w14:textId="77777777" w:rsidR="00F56E59" w:rsidRPr="008F1795" w:rsidRDefault="00F56E59" w:rsidP="00F56E59">
      <w:pPr>
        <w:pStyle w:val="ListeParagraf"/>
        <w:tabs>
          <w:tab w:val="left" w:pos="701"/>
        </w:tabs>
        <w:ind w:right="214"/>
        <w:rPr>
          <w:lang w:val="tr-TR"/>
        </w:rPr>
      </w:pPr>
    </w:p>
    <w:p w14:paraId="665E3DEA" w14:textId="7FD77CC9" w:rsidR="00626BB8" w:rsidRPr="008F1795" w:rsidRDefault="007445CF" w:rsidP="00626BB8">
      <w:pPr>
        <w:pStyle w:val="ListeParagraf"/>
        <w:numPr>
          <w:ilvl w:val="0"/>
          <w:numId w:val="3"/>
        </w:numPr>
        <w:tabs>
          <w:tab w:val="left" w:pos="801"/>
        </w:tabs>
        <w:spacing w:before="93"/>
        <w:ind w:firstLine="0"/>
        <w:rPr>
          <w:lang w:val="tr-TR"/>
        </w:rPr>
      </w:pPr>
      <w:r w:rsidRPr="008F1795">
        <w:rPr>
          <w:b/>
          <w:bCs/>
          <w:lang w:val="tr-TR"/>
        </w:rPr>
        <w:t>Üçüncü olarak</w:t>
      </w:r>
      <w:r w:rsidRPr="008F1795">
        <w:rPr>
          <w:lang w:val="tr-TR"/>
        </w:rPr>
        <w:t xml:space="preserve">, </w:t>
      </w:r>
      <w:r w:rsidR="004F3662" w:rsidRPr="008F1795">
        <w:rPr>
          <w:lang w:val="tr-TR"/>
        </w:rPr>
        <w:t>yetkililere göre medyanın Cumhurbaşkanı ve ailesi hakkında bilerek yanlış haber</w:t>
      </w:r>
      <w:r w:rsidR="008258AC" w:rsidRPr="008F1795">
        <w:rPr>
          <w:lang w:val="tr-TR"/>
        </w:rPr>
        <w:t xml:space="preserve"> vermesi </w:t>
      </w:r>
      <w:r w:rsidR="00FD3439" w:rsidRPr="008F1795">
        <w:rPr>
          <w:lang w:val="tr-TR"/>
        </w:rPr>
        <w:t>hususunda</w:t>
      </w:r>
      <w:r w:rsidR="008258AC" w:rsidRPr="008F1795">
        <w:rPr>
          <w:lang w:val="tr-TR"/>
        </w:rPr>
        <w:t xml:space="preserve">, </w:t>
      </w:r>
      <w:r w:rsidR="00854B84" w:rsidRPr="008F1795">
        <w:rPr>
          <w:lang w:val="tr-TR"/>
        </w:rPr>
        <w:t xml:space="preserve">gazeteciler, </w:t>
      </w:r>
      <w:r w:rsidR="004E4BAC" w:rsidRPr="008F1795">
        <w:rPr>
          <w:lang w:val="tr-TR"/>
        </w:rPr>
        <w:t xml:space="preserve">iyi niyetle ve </w:t>
      </w:r>
      <w:r w:rsidR="00E646C7" w:rsidRPr="008F1795">
        <w:rPr>
          <w:lang w:val="tr-TR"/>
        </w:rPr>
        <w:t xml:space="preserve">kesin </w:t>
      </w:r>
      <w:r w:rsidR="004E4BAC" w:rsidRPr="008F1795">
        <w:rPr>
          <w:lang w:val="tr-TR"/>
        </w:rPr>
        <w:t xml:space="preserve">gerçekler temelinde hareket ettikleri </w:t>
      </w:r>
      <w:r w:rsidR="007F65DA" w:rsidRPr="008F1795">
        <w:rPr>
          <w:lang w:val="tr-TR"/>
        </w:rPr>
        <w:t xml:space="preserve">ve gazetecilik ahlakına uygun olarak “güvenilir ve kesin” bilgi verdikleri sürece, </w:t>
      </w:r>
      <w:r w:rsidR="00EF6986" w:rsidRPr="008F1795">
        <w:rPr>
          <w:lang w:val="tr-TR"/>
        </w:rPr>
        <w:t>genel kamu yararını ilgilendiren konularda bilgi ifşa etme hakkı</w:t>
      </w:r>
      <w:r w:rsidR="00FD3439" w:rsidRPr="008F1795">
        <w:rPr>
          <w:lang w:val="tr-TR"/>
        </w:rPr>
        <w:t>nın</w:t>
      </w:r>
      <w:r w:rsidR="00EF6986" w:rsidRPr="008F1795">
        <w:rPr>
          <w:lang w:val="tr-TR"/>
        </w:rPr>
        <w:t xml:space="preserve"> </w:t>
      </w:r>
      <w:r w:rsidR="00FD3439" w:rsidRPr="008F1795">
        <w:rPr>
          <w:lang w:val="tr-TR"/>
        </w:rPr>
        <w:t xml:space="preserve">AİHS 10 </w:t>
      </w:r>
      <w:r w:rsidR="00241305" w:rsidRPr="008F1795">
        <w:rPr>
          <w:lang w:val="tr-TR"/>
        </w:rPr>
        <w:t>Madde</w:t>
      </w:r>
      <w:r w:rsidR="00FD3439" w:rsidRPr="008F1795">
        <w:rPr>
          <w:lang w:val="tr-TR"/>
        </w:rPr>
        <w:t xml:space="preserve">si uyarınca </w:t>
      </w:r>
      <w:r w:rsidR="00EF6986" w:rsidRPr="008F1795">
        <w:rPr>
          <w:lang w:val="tr-TR"/>
        </w:rPr>
        <w:t>korunduğunu vurgulamak gerekir.</w:t>
      </w:r>
      <w:r w:rsidR="00B228B9" w:rsidRPr="008F1795">
        <w:rPr>
          <w:rStyle w:val="DipnotBavurusu"/>
          <w:lang w:val="tr-TR"/>
        </w:rPr>
        <w:footnoteReference w:id="91"/>
      </w:r>
      <w:r w:rsidR="00EF6986" w:rsidRPr="008F1795">
        <w:rPr>
          <w:lang w:val="tr-TR"/>
        </w:rPr>
        <w:t xml:space="preserve"> </w:t>
      </w:r>
      <w:r w:rsidR="00F75FDC" w:rsidRPr="008F1795">
        <w:rPr>
          <w:lang w:val="tr-TR"/>
        </w:rPr>
        <w:t>Bununla birlikte, AİHM</w:t>
      </w:r>
      <w:r w:rsidR="000D1552" w:rsidRPr="008F1795">
        <w:rPr>
          <w:lang w:val="tr-TR"/>
        </w:rPr>
        <w:t>’nin</w:t>
      </w:r>
      <w:r w:rsidR="00F75FDC" w:rsidRPr="008F1795">
        <w:rPr>
          <w:lang w:val="tr-TR"/>
        </w:rPr>
        <w:t xml:space="preserve"> hakaret davalarına ilişkin içtihat</w:t>
      </w:r>
      <w:r w:rsidR="00D72BCD" w:rsidRPr="008F1795">
        <w:rPr>
          <w:lang w:val="tr-TR"/>
        </w:rPr>
        <w:t xml:space="preserve"> hukukunda “değer yargıları” ile “</w:t>
      </w:r>
      <w:r w:rsidR="006D1AD3" w:rsidRPr="008F1795">
        <w:rPr>
          <w:lang w:val="tr-TR"/>
        </w:rPr>
        <w:t xml:space="preserve">olayların </w:t>
      </w:r>
      <w:r w:rsidR="00B53C2A">
        <w:rPr>
          <w:lang w:val="tr-TR"/>
        </w:rPr>
        <w:t>anlatımı</w:t>
      </w:r>
      <w:r w:rsidR="00D72BCD" w:rsidRPr="008F1795">
        <w:rPr>
          <w:lang w:val="tr-TR"/>
        </w:rPr>
        <w:t>” arasında</w:t>
      </w:r>
      <w:r w:rsidR="000D1552" w:rsidRPr="008F1795">
        <w:rPr>
          <w:lang w:val="tr-TR"/>
        </w:rPr>
        <w:t xml:space="preserve"> yaptığı</w:t>
      </w:r>
      <w:r w:rsidR="00D72BCD" w:rsidRPr="008F1795">
        <w:rPr>
          <w:lang w:val="tr-TR"/>
        </w:rPr>
        <w:t xml:space="preserve"> </w:t>
      </w:r>
      <w:r w:rsidR="000D1552" w:rsidRPr="008F1795">
        <w:rPr>
          <w:lang w:val="tr-TR"/>
        </w:rPr>
        <w:t>ayrım</w:t>
      </w:r>
      <w:r w:rsidR="009D5C14" w:rsidRPr="008F1795">
        <w:rPr>
          <w:rStyle w:val="DipnotBavurusu"/>
          <w:lang w:val="tr-TR"/>
        </w:rPr>
        <w:footnoteReference w:id="92"/>
      </w:r>
      <w:r w:rsidR="000D1552" w:rsidRPr="008F1795">
        <w:rPr>
          <w:lang w:val="tr-TR"/>
        </w:rPr>
        <w:t xml:space="preserve"> dikkate alınmalıdır.</w:t>
      </w:r>
      <w:r w:rsidR="009E63D3" w:rsidRPr="008F1795">
        <w:rPr>
          <w:lang w:val="tr-TR"/>
        </w:rPr>
        <w:t xml:space="preserve"> Eğer bir ifade, “olayların </w:t>
      </w:r>
      <w:r w:rsidR="00B53C2A">
        <w:rPr>
          <w:lang w:val="tr-TR"/>
        </w:rPr>
        <w:t>anlatımından</w:t>
      </w:r>
      <w:r w:rsidR="006504D4" w:rsidRPr="008F1795">
        <w:rPr>
          <w:lang w:val="tr-TR"/>
        </w:rPr>
        <w:t xml:space="preserve">” ziyade </w:t>
      </w:r>
      <w:r w:rsidR="000C2829" w:rsidRPr="008F1795">
        <w:rPr>
          <w:lang w:val="tr-TR"/>
        </w:rPr>
        <w:t xml:space="preserve">bir </w:t>
      </w:r>
      <w:r w:rsidR="006504D4" w:rsidRPr="008F1795">
        <w:rPr>
          <w:lang w:val="tr-TR"/>
        </w:rPr>
        <w:t xml:space="preserve">“değer yargısı” </w:t>
      </w:r>
      <w:r w:rsidR="000C2829" w:rsidRPr="008F1795">
        <w:rPr>
          <w:lang w:val="tr-TR"/>
        </w:rPr>
        <w:t>niteliğindeyse</w:t>
      </w:r>
      <w:r w:rsidR="006504D4" w:rsidRPr="008F1795">
        <w:rPr>
          <w:lang w:val="tr-TR"/>
        </w:rPr>
        <w:t xml:space="preserve">, hakaret suçuna ilişkin yargılama sürecinde </w:t>
      </w:r>
      <w:r w:rsidR="00810519" w:rsidRPr="008F1795">
        <w:rPr>
          <w:lang w:val="tr-TR"/>
        </w:rPr>
        <w:t>davalının değer yargısının doğrulu</w:t>
      </w:r>
      <w:r w:rsidR="004A4640" w:rsidRPr="008F1795">
        <w:rPr>
          <w:lang w:val="tr-TR"/>
        </w:rPr>
        <w:t>ğ</w:t>
      </w:r>
      <w:r w:rsidR="00810519" w:rsidRPr="008F1795">
        <w:rPr>
          <w:lang w:val="tr-TR"/>
        </w:rPr>
        <w:t>unu kanıtlaması</w:t>
      </w:r>
      <w:r w:rsidR="004A4640" w:rsidRPr="008F1795">
        <w:rPr>
          <w:lang w:val="tr-TR"/>
        </w:rPr>
        <w:t xml:space="preserve"> şartı</w:t>
      </w:r>
      <w:r w:rsidR="00C06FEE">
        <w:rPr>
          <w:lang w:val="tr-TR"/>
        </w:rPr>
        <w:t>nın</w:t>
      </w:r>
      <w:r w:rsidR="004A4640" w:rsidRPr="008F1795">
        <w:rPr>
          <w:lang w:val="tr-TR"/>
        </w:rPr>
        <w:t xml:space="preserve"> konulması, </w:t>
      </w:r>
      <w:r w:rsidR="00810519" w:rsidRPr="008F1795">
        <w:rPr>
          <w:lang w:val="tr-TR"/>
        </w:rPr>
        <w:t>davalının ifade özgürlüğünün ihlal</w:t>
      </w:r>
      <w:r w:rsidR="004A4640" w:rsidRPr="008F1795">
        <w:rPr>
          <w:lang w:val="tr-TR"/>
        </w:rPr>
        <w:t xml:space="preserve"> edilmesi demektir.</w:t>
      </w:r>
      <w:r w:rsidR="009E1462" w:rsidRPr="008F1795">
        <w:rPr>
          <w:rStyle w:val="DipnotBavurusu"/>
          <w:lang w:val="tr-TR"/>
        </w:rPr>
        <w:footnoteReference w:id="93"/>
      </w:r>
      <w:r w:rsidR="004A4640" w:rsidRPr="008F1795">
        <w:rPr>
          <w:lang w:val="tr-TR"/>
        </w:rPr>
        <w:t xml:space="preserve"> </w:t>
      </w:r>
      <w:r w:rsidR="00671A0C" w:rsidRPr="008F1795">
        <w:rPr>
          <w:lang w:val="tr-TR"/>
        </w:rPr>
        <w:t>Değer yargıları</w:t>
      </w:r>
      <w:r w:rsidR="00EC6D06" w:rsidRPr="008F1795">
        <w:rPr>
          <w:lang w:val="tr-TR"/>
        </w:rPr>
        <w:t>nın</w:t>
      </w:r>
      <w:r w:rsidR="00B131FC" w:rsidRPr="008F1795">
        <w:rPr>
          <w:lang w:val="tr-TR"/>
        </w:rPr>
        <w:t xml:space="preserve">, </w:t>
      </w:r>
      <w:r w:rsidR="00D068C2" w:rsidRPr="008F1795">
        <w:rPr>
          <w:lang w:val="tr-TR"/>
        </w:rPr>
        <w:t xml:space="preserve">“bir kişiye bir </w:t>
      </w:r>
      <w:r w:rsidR="00D0155C" w:rsidRPr="008F1795">
        <w:rPr>
          <w:lang w:val="tr-TR"/>
        </w:rPr>
        <w:t>fiil</w:t>
      </w:r>
      <w:r w:rsidR="00D068C2" w:rsidRPr="008F1795">
        <w:rPr>
          <w:lang w:val="tr-TR"/>
        </w:rPr>
        <w:t xml:space="preserve"> ya da </w:t>
      </w:r>
      <w:r w:rsidR="00D0155C" w:rsidRPr="008F1795">
        <w:rPr>
          <w:lang w:val="tr-TR"/>
        </w:rPr>
        <w:t xml:space="preserve">olgu isnat </w:t>
      </w:r>
      <w:r w:rsidR="00EC6D06" w:rsidRPr="008F1795">
        <w:rPr>
          <w:lang w:val="tr-TR"/>
        </w:rPr>
        <w:t>ettiği</w:t>
      </w:r>
      <w:r w:rsidR="00D068C2" w:rsidRPr="008F1795">
        <w:rPr>
          <w:lang w:val="tr-TR"/>
        </w:rPr>
        <w:t>”</w:t>
      </w:r>
      <w:r w:rsidR="00ED39CA" w:rsidRPr="008F1795">
        <w:rPr>
          <w:rStyle w:val="DipnotBavurusu"/>
          <w:lang w:val="tr-TR"/>
        </w:rPr>
        <w:footnoteReference w:id="94"/>
      </w:r>
      <w:r w:rsidR="00D068C2" w:rsidRPr="008F1795">
        <w:rPr>
          <w:lang w:val="tr-TR"/>
        </w:rPr>
        <w:t xml:space="preserve"> </w:t>
      </w:r>
      <w:r w:rsidR="008C25B1" w:rsidRPr="008F1795">
        <w:rPr>
          <w:lang w:val="tr-TR"/>
        </w:rPr>
        <w:t xml:space="preserve">yönünde bir </w:t>
      </w:r>
      <w:r w:rsidR="00D068C2" w:rsidRPr="008F1795">
        <w:rPr>
          <w:lang w:val="tr-TR"/>
        </w:rPr>
        <w:t>değerlendir</w:t>
      </w:r>
      <w:r w:rsidR="00EC6D06" w:rsidRPr="008F1795">
        <w:rPr>
          <w:lang w:val="tr-TR"/>
        </w:rPr>
        <w:t>me yapılamaz</w:t>
      </w:r>
      <w:r w:rsidR="00EA4CCD" w:rsidRPr="008F1795">
        <w:rPr>
          <w:lang w:val="tr-TR"/>
        </w:rPr>
        <w:t xml:space="preserve">; değer yargıları </w:t>
      </w:r>
      <w:r w:rsidR="00D068C2" w:rsidRPr="008F1795">
        <w:rPr>
          <w:lang w:val="tr-TR"/>
        </w:rPr>
        <w:lastRenderedPageBreak/>
        <w:t xml:space="preserve">ancak bir </w:t>
      </w:r>
      <w:r w:rsidR="00667B48" w:rsidRPr="008F1795">
        <w:rPr>
          <w:lang w:val="tr-TR"/>
        </w:rPr>
        <w:t>görüş meselesi</w:t>
      </w:r>
      <w:r w:rsidR="008977B1" w:rsidRPr="008F1795">
        <w:rPr>
          <w:lang w:val="tr-TR"/>
        </w:rPr>
        <w:t>, kişinin öznel değerlendirmesi,</w:t>
      </w:r>
      <w:r w:rsidR="002B43FC" w:rsidRPr="008F1795">
        <w:rPr>
          <w:lang w:val="tr-TR"/>
        </w:rPr>
        <w:t xml:space="preserve"> davranış ya da bir politika</w:t>
      </w:r>
      <w:r w:rsidR="008977B1" w:rsidRPr="008F1795">
        <w:rPr>
          <w:lang w:val="tr-TR"/>
        </w:rPr>
        <w:t xml:space="preserve"> </w:t>
      </w:r>
      <w:r w:rsidR="002B43FC" w:rsidRPr="008F1795">
        <w:rPr>
          <w:lang w:val="tr-TR"/>
        </w:rPr>
        <w:t xml:space="preserve">vs. </w:t>
      </w:r>
      <w:r w:rsidR="008977B1" w:rsidRPr="008F1795">
        <w:rPr>
          <w:lang w:val="tr-TR"/>
        </w:rPr>
        <w:t>olarak analiz edilebilir</w:t>
      </w:r>
      <w:r w:rsidR="00667B48" w:rsidRPr="008F1795">
        <w:rPr>
          <w:lang w:val="tr-TR"/>
        </w:rPr>
        <w:t xml:space="preserve">. </w:t>
      </w:r>
      <w:r w:rsidR="0064206A" w:rsidRPr="008F1795">
        <w:rPr>
          <w:lang w:val="tr-TR"/>
        </w:rPr>
        <w:t xml:space="preserve">Bir ifadenin bir değer yargısı mı yoksa olayların bir </w:t>
      </w:r>
      <w:r w:rsidR="0091314E">
        <w:rPr>
          <w:lang w:val="tr-TR"/>
        </w:rPr>
        <w:t>anlatımı</w:t>
      </w:r>
      <w:r w:rsidR="0064206A" w:rsidRPr="008F1795">
        <w:rPr>
          <w:lang w:val="tr-TR"/>
        </w:rPr>
        <w:t xml:space="preserve"> mı olduğuna karar vermek her zaman kolay değildir. </w:t>
      </w:r>
      <w:r w:rsidR="00607CF2" w:rsidRPr="008F1795">
        <w:rPr>
          <w:iCs/>
          <w:lang w:val="tr-TR"/>
        </w:rPr>
        <w:t>AİHM</w:t>
      </w:r>
      <w:r w:rsidR="00607CF2" w:rsidRPr="008F1795">
        <w:rPr>
          <w:i/>
          <w:lang w:val="tr-TR"/>
        </w:rPr>
        <w:t xml:space="preserve"> </w:t>
      </w:r>
      <w:proofErr w:type="spellStart"/>
      <w:r w:rsidR="006817BD" w:rsidRPr="008F1795">
        <w:rPr>
          <w:i/>
          <w:lang w:val="tr-TR"/>
        </w:rPr>
        <w:t>Feldek</w:t>
      </w:r>
      <w:proofErr w:type="spellEnd"/>
      <w:r w:rsidR="006817BD" w:rsidRPr="008F1795">
        <w:rPr>
          <w:i/>
          <w:lang w:val="tr-TR"/>
        </w:rPr>
        <w:t xml:space="preserve"> – Slovakya davasında </w:t>
      </w:r>
      <w:r w:rsidR="005E62DD" w:rsidRPr="008F1795">
        <w:rPr>
          <w:iCs/>
          <w:lang w:val="tr-TR"/>
        </w:rPr>
        <w:t xml:space="preserve">bir siyasetçinin “faşist geçmişine” </w:t>
      </w:r>
      <w:r w:rsidR="000560C9">
        <w:rPr>
          <w:iCs/>
          <w:lang w:val="tr-TR"/>
        </w:rPr>
        <w:t xml:space="preserve">yapılan </w:t>
      </w:r>
      <w:proofErr w:type="spellStart"/>
      <w:r w:rsidR="005E62DD" w:rsidRPr="008F1795">
        <w:rPr>
          <w:iCs/>
          <w:lang w:val="tr-TR"/>
        </w:rPr>
        <w:t>atıf</w:t>
      </w:r>
      <w:r w:rsidR="000560C9">
        <w:rPr>
          <w:iCs/>
          <w:lang w:val="tr-TR"/>
        </w:rPr>
        <w:t>ı</w:t>
      </w:r>
      <w:proofErr w:type="spellEnd"/>
      <w:r w:rsidR="005E62DD" w:rsidRPr="008F1795">
        <w:rPr>
          <w:iCs/>
          <w:lang w:val="tr-TR"/>
        </w:rPr>
        <w:t xml:space="preserve"> bir “değer yargısı” olarak değerlendirmiştir. Benzer şekilde Venedik Komisyonu, </w:t>
      </w:r>
      <w:r w:rsidR="00E35CCB" w:rsidRPr="008F1795">
        <w:rPr>
          <w:iCs/>
          <w:lang w:val="tr-TR"/>
        </w:rPr>
        <w:t xml:space="preserve">muhalefet partisi liderinin </w:t>
      </w:r>
      <w:r w:rsidR="00F83B47" w:rsidRPr="008F1795">
        <w:rPr>
          <w:iCs/>
          <w:lang w:val="tr-TR"/>
        </w:rPr>
        <w:t xml:space="preserve">Cumhurbaşkanlığı </w:t>
      </w:r>
      <w:r w:rsidR="00E50380">
        <w:rPr>
          <w:iCs/>
          <w:lang w:val="tr-TR"/>
        </w:rPr>
        <w:t>Külliyesinde</w:t>
      </w:r>
      <w:r w:rsidR="00E35CCB" w:rsidRPr="008F1795">
        <w:rPr>
          <w:iCs/>
          <w:lang w:val="tr-TR"/>
        </w:rPr>
        <w:t xml:space="preserve"> “altın kaplama tuvaletler” olduğu </w:t>
      </w:r>
      <w:r w:rsidR="00C7059B" w:rsidRPr="008F1795">
        <w:rPr>
          <w:iCs/>
          <w:lang w:val="tr-TR"/>
        </w:rPr>
        <w:t xml:space="preserve">yönünde yanlış olan </w:t>
      </w:r>
      <w:r w:rsidR="00E35CCB" w:rsidRPr="008F1795">
        <w:rPr>
          <w:iCs/>
          <w:lang w:val="tr-TR"/>
        </w:rPr>
        <w:t>iddiası</w:t>
      </w:r>
      <w:r w:rsidR="00626BB8" w:rsidRPr="008F1795">
        <w:rPr>
          <w:iCs/>
          <w:lang w:val="tr-TR"/>
        </w:rPr>
        <w:t xml:space="preserve"> üzerine Cumhurbaşkanının açtığı hukuk davasın</w:t>
      </w:r>
      <w:r w:rsidR="00EC4A67" w:rsidRPr="008F1795">
        <w:rPr>
          <w:iCs/>
          <w:lang w:val="tr-TR"/>
        </w:rPr>
        <w:t>da</w:t>
      </w:r>
      <w:r w:rsidR="0017156C">
        <w:rPr>
          <w:iCs/>
          <w:lang w:val="tr-TR"/>
        </w:rPr>
        <w:t>,</w:t>
      </w:r>
      <w:r w:rsidR="00C7059B" w:rsidRPr="008F1795">
        <w:rPr>
          <w:iCs/>
          <w:lang w:val="tr-TR"/>
        </w:rPr>
        <w:t xml:space="preserve"> </w:t>
      </w:r>
      <w:r w:rsidR="00E350E5" w:rsidRPr="008F1795">
        <w:rPr>
          <w:iCs/>
          <w:lang w:val="tr-TR"/>
        </w:rPr>
        <w:t xml:space="preserve">ilk </w:t>
      </w:r>
      <w:r w:rsidR="00D444AC" w:rsidRPr="008F1795">
        <w:rPr>
          <w:lang w:val="tr-TR"/>
        </w:rPr>
        <w:t>derece hukuk mahkemesi</w:t>
      </w:r>
      <w:r w:rsidR="00E350E5" w:rsidRPr="008F1795">
        <w:rPr>
          <w:lang w:val="tr-TR"/>
        </w:rPr>
        <w:t>nin</w:t>
      </w:r>
      <w:r w:rsidR="00D444AC" w:rsidRPr="008F1795">
        <w:rPr>
          <w:lang w:val="tr-TR"/>
        </w:rPr>
        <w:t xml:space="preserve"> </w:t>
      </w:r>
      <w:r w:rsidR="00EC4A67" w:rsidRPr="008F1795">
        <w:rPr>
          <w:iCs/>
          <w:lang w:val="tr-TR"/>
        </w:rPr>
        <w:t>iddia</w:t>
      </w:r>
      <w:r w:rsidR="00E350E5" w:rsidRPr="008F1795">
        <w:rPr>
          <w:iCs/>
          <w:lang w:val="tr-TR"/>
        </w:rPr>
        <w:t>yı</w:t>
      </w:r>
      <w:r w:rsidR="00EC4A67" w:rsidRPr="008F1795">
        <w:rPr>
          <w:iCs/>
          <w:lang w:val="tr-TR"/>
        </w:rPr>
        <w:t xml:space="preserve"> </w:t>
      </w:r>
      <w:r w:rsidR="00191E22">
        <w:rPr>
          <w:iCs/>
          <w:lang w:val="tr-TR"/>
        </w:rPr>
        <w:t>Külliyenin</w:t>
      </w:r>
      <w:r w:rsidR="00740E0D" w:rsidRPr="008F1795">
        <w:rPr>
          <w:iCs/>
          <w:lang w:val="tr-TR"/>
        </w:rPr>
        <w:t xml:space="preserve"> inşası</w:t>
      </w:r>
      <w:r w:rsidR="00EC4A67" w:rsidRPr="008F1795">
        <w:rPr>
          <w:iCs/>
          <w:lang w:val="tr-TR"/>
        </w:rPr>
        <w:t xml:space="preserve"> için yapılan kamu harcamalarına yönelik siyasi bir eleştiri olarak </w:t>
      </w:r>
      <w:r w:rsidR="009459F4" w:rsidRPr="008F1795">
        <w:rPr>
          <w:iCs/>
          <w:lang w:val="tr-TR"/>
        </w:rPr>
        <w:t>değerlendir</w:t>
      </w:r>
      <w:r w:rsidR="00E350E5" w:rsidRPr="008F1795">
        <w:rPr>
          <w:iCs/>
          <w:lang w:val="tr-TR"/>
        </w:rPr>
        <w:t xml:space="preserve">erek, </w:t>
      </w:r>
      <w:r w:rsidR="009459F4" w:rsidRPr="008F1795">
        <w:rPr>
          <w:lang w:val="tr-TR"/>
        </w:rPr>
        <w:t>davayı</w:t>
      </w:r>
      <w:r w:rsidR="00626BB8" w:rsidRPr="008F1795">
        <w:rPr>
          <w:lang w:val="tr-TR"/>
        </w:rPr>
        <w:t xml:space="preserve"> </w:t>
      </w:r>
      <w:r w:rsidR="00D444AC" w:rsidRPr="008F1795">
        <w:rPr>
          <w:lang w:val="tr-TR"/>
        </w:rPr>
        <w:t>reddettiğini</w:t>
      </w:r>
      <w:r w:rsidR="00C7059B" w:rsidRPr="008F1795">
        <w:rPr>
          <w:lang w:val="tr-TR"/>
        </w:rPr>
        <w:t xml:space="preserve"> gözlemlemektedir.</w:t>
      </w:r>
      <w:r w:rsidR="009459F4" w:rsidRPr="008F1795">
        <w:rPr>
          <w:rStyle w:val="DipnotBavurusu"/>
          <w:lang w:val="tr-TR"/>
        </w:rPr>
        <w:footnoteReference w:id="95"/>
      </w:r>
      <w:r w:rsidR="00C7059B" w:rsidRPr="008F1795">
        <w:rPr>
          <w:lang w:val="tr-TR"/>
        </w:rPr>
        <w:t xml:space="preserve"> </w:t>
      </w:r>
    </w:p>
    <w:p w14:paraId="374B0013" w14:textId="77777777" w:rsidR="007445CF" w:rsidRPr="008F1795" w:rsidRDefault="007445CF" w:rsidP="007445CF">
      <w:pPr>
        <w:pStyle w:val="ListeParagraf"/>
        <w:tabs>
          <w:tab w:val="left" w:pos="801"/>
        </w:tabs>
        <w:spacing w:before="93"/>
        <w:rPr>
          <w:b/>
          <w:lang w:val="tr-TR"/>
        </w:rPr>
      </w:pPr>
    </w:p>
    <w:p w14:paraId="55D5984E" w14:textId="47BA7A68" w:rsidR="003D7840" w:rsidRPr="008F1795" w:rsidRDefault="0039617A">
      <w:pPr>
        <w:pStyle w:val="ListeParagraf"/>
        <w:numPr>
          <w:ilvl w:val="0"/>
          <w:numId w:val="3"/>
        </w:numPr>
        <w:tabs>
          <w:tab w:val="left" w:pos="669"/>
        </w:tabs>
        <w:ind w:right="216" w:firstLine="0"/>
        <w:rPr>
          <w:lang w:val="tr-TR"/>
        </w:rPr>
      </w:pPr>
      <w:r w:rsidRPr="008F1795">
        <w:rPr>
          <w:lang w:val="tr-TR"/>
        </w:rPr>
        <w:t>Öte yandan, o</w:t>
      </w:r>
      <w:r w:rsidR="003D7840" w:rsidRPr="008F1795">
        <w:rPr>
          <w:lang w:val="tr-TR"/>
        </w:rPr>
        <w:t xml:space="preserve">layların </w:t>
      </w:r>
      <w:r w:rsidR="0091314E">
        <w:rPr>
          <w:lang w:val="tr-TR"/>
        </w:rPr>
        <w:t>anlatı</w:t>
      </w:r>
      <w:r w:rsidR="00865141">
        <w:rPr>
          <w:lang w:val="tr-TR"/>
        </w:rPr>
        <w:t>mı kanıta açıktır</w:t>
      </w:r>
      <w:r w:rsidR="002D05F8" w:rsidRPr="008F1795">
        <w:rPr>
          <w:lang w:val="tr-TR"/>
        </w:rPr>
        <w:t>; h</w:t>
      </w:r>
      <w:r w:rsidR="008470BE" w:rsidRPr="008F1795">
        <w:rPr>
          <w:lang w:val="tr-TR"/>
        </w:rPr>
        <w:t xml:space="preserve">akaret davalarında </w:t>
      </w:r>
      <w:r w:rsidR="001110A9" w:rsidRPr="008F1795">
        <w:rPr>
          <w:lang w:val="tr-TR"/>
        </w:rPr>
        <w:t xml:space="preserve">başkalarının hak ve itibarını korumak amacıyla </w:t>
      </w:r>
      <w:r w:rsidR="004963AA" w:rsidRPr="008F1795">
        <w:rPr>
          <w:lang w:val="tr-TR"/>
        </w:rPr>
        <w:t>davalıların</w:t>
      </w:r>
      <w:r w:rsidR="001110A9" w:rsidRPr="008F1795">
        <w:rPr>
          <w:lang w:val="tr-TR"/>
        </w:rPr>
        <w:t xml:space="preserve"> </w:t>
      </w:r>
      <w:r w:rsidR="002D05F8" w:rsidRPr="008F1795">
        <w:rPr>
          <w:lang w:val="tr-TR"/>
        </w:rPr>
        <w:t xml:space="preserve">olayların </w:t>
      </w:r>
      <w:r w:rsidR="0091314E">
        <w:rPr>
          <w:lang w:val="tr-TR"/>
        </w:rPr>
        <w:t>anlatımını içeren</w:t>
      </w:r>
      <w:r w:rsidR="002D05F8" w:rsidRPr="008F1795">
        <w:rPr>
          <w:lang w:val="tr-TR"/>
        </w:rPr>
        <w:t xml:space="preserve"> beyanlarını</w:t>
      </w:r>
      <w:r w:rsidR="001110A9" w:rsidRPr="008F1795">
        <w:rPr>
          <w:lang w:val="tr-TR"/>
        </w:rPr>
        <w:t xml:space="preserve"> kanıtlamasını istemek makuldür.</w:t>
      </w:r>
      <w:r w:rsidR="00583A95" w:rsidRPr="008F1795">
        <w:rPr>
          <w:rStyle w:val="DipnotBavurusu"/>
          <w:lang w:val="tr-TR"/>
        </w:rPr>
        <w:footnoteReference w:id="96"/>
      </w:r>
      <w:r w:rsidR="001110A9" w:rsidRPr="008F1795">
        <w:rPr>
          <w:lang w:val="tr-TR"/>
        </w:rPr>
        <w:t xml:space="preserve"> </w:t>
      </w:r>
      <w:r w:rsidR="005131CF" w:rsidRPr="008F1795">
        <w:rPr>
          <w:lang w:val="tr-TR"/>
        </w:rPr>
        <w:t xml:space="preserve">Bununla birlikte, </w:t>
      </w:r>
      <w:r w:rsidR="0098732D" w:rsidRPr="008F1795">
        <w:rPr>
          <w:lang w:val="tr-TR"/>
        </w:rPr>
        <w:t xml:space="preserve">hakaret davalarında </w:t>
      </w:r>
      <w:r w:rsidR="005A0B32" w:rsidRPr="008F1795">
        <w:rPr>
          <w:lang w:val="tr-TR"/>
        </w:rPr>
        <w:t xml:space="preserve">öncelikle </w:t>
      </w:r>
      <w:r w:rsidR="004963AA" w:rsidRPr="008F1795">
        <w:rPr>
          <w:lang w:val="tr-TR"/>
        </w:rPr>
        <w:t>davalı</w:t>
      </w:r>
      <w:r w:rsidR="005A0B32" w:rsidRPr="008F1795">
        <w:rPr>
          <w:lang w:val="tr-TR"/>
        </w:rPr>
        <w:t xml:space="preserve">ya </w:t>
      </w:r>
      <w:r w:rsidR="0021467D" w:rsidRPr="008F1795">
        <w:rPr>
          <w:lang w:val="tr-TR"/>
        </w:rPr>
        <w:t xml:space="preserve">olayların </w:t>
      </w:r>
      <w:r w:rsidR="0091314E">
        <w:rPr>
          <w:lang w:val="tr-TR"/>
        </w:rPr>
        <w:t>anlatımının</w:t>
      </w:r>
      <w:r w:rsidR="00354330" w:rsidRPr="008F1795">
        <w:rPr>
          <w:lang w:val="tr-TR"/>
        </w:rPr>
        <w:t xml:space="preserve"> doğru olduğunu</w:t>
      </w:r>
      <w:r w:rsidR="0098732D" w:rsidRPr="008F1795">
        <w:rPr>
          <w:lang w:val="tr-TR"/>
        </w:rPr>
        <w:t xml:space="preserve"> kanıtlama fırsatı tanınmalıdır.</w:t>
      </w:r>
      <w:r w:rsidR="00E563D9" w:rsidRPr="008F1795">
        <w:rPr>
          <w:rStyle w:val="DipnotBavurusu"/>
          <w:lang w:val="tr-TR"/>
        </w:rPr>
        <w:footnoteReference w:id="97"/>
      </w:r>
      <w:r w:rsidR="0098732D" w:rsidRPr="008F1795">
        <w:rPr>
          <w:lang w:val="tr-TR"/>
        </w:rPr>
        <w:t xml:space="preserve"> BM İnsan Hakları Komitesi 34 sayılı Genel Yorumunda belirttiği gibi, </w:t>
      </w:r>
      <w:r w:rsidR="00E563D9" w:rsidRPr="008F1795">
        <w:rPr>
          <w:lang w:val="tr-TR"/>
        </w:rPr>
        <w:t>“</w:t>
      </w:r>
      <w:r w:rsidR="00F27C35" w:rsidRPr="008F1795">
        <w:rPr>
          <w:lang w:val="tr-TR"/>
        </w:rPr>
        <w:t>[Hakarete ilişkin] t</w:t>
      </w:r>
      <w:r w:rsidR="00865C13" w:rsidRPr="008F1795">
        <w:rPr>
          <w:lang w:val="tr-TR"/>
        </w:rPr>
        <w:t>üm kanunlar</w:t>
      </w:r>
      <w:r w:rsidR="00371545" w:rsidRPr="008F1795">
        <w:rPr>
          <w:lang w:val="tr-TR"/>
        </w:rPr>
        <w:t>da</w:t>
      </w:r>
      <w:r w:rsidR="00865C13" w:rsidRPr="008F1795">
        <w:rPr>
          <w:lang w:val="tr-TR"/>
        </w:rPr>
        <w:t>, özellikle hakarete ilişkin ceza kanunları</w:t>
      </w:r>
      <w:r w:rsidR="00371545" w:rsidRPr="008F1795">
        <w:rPr>
          <w:lang w:val="tr-TR"/>
        </w:rPr>
        <w:t>nda gerçeğin savunması gibi savunmalara yer verilme</w:t>
      </w:r>
      <w:r w:rsidR="00B11AD7" w:rsidRPr="008F1795">
        <w:rPr>
          <w:lang w:val="tr-TR"/>
        </w:rPr>
        <w:t>li</w:t>
      </w:r>
      <w:r w:rsidR="00371545" w:rsidRPr="008F1795">
        <w:rPr>
          <w:lang w:val="tr-TR"/>
        </w:rPr>
        <w:t>dir”.</w:t>
      </w:r>
      <w:r w:rsidR="00B11AD7" w:rsidRPr="008F1795">
        <w:rPr>
          <w:rStyle w:val="DipnotBavurusu"/>
          <w:lang w:val="tr-TR"/>
        </w:rPr>
        <w:footnoteReference w:id="98"/>
      </w:r>
      <w:r w:rsidR="00371545" w:rsidRPr="008F1795">
        <w:rPr>
          <w:lang w:val="tr-TR"/>
        </w:rPr>
        <w:t xml:space="preserve"> İkinci olarak, </w:t>
      </w:r>
      <w:r w:rsidR="00925A32" w:rsidRPr="008F1795">
        <w:rPr>
          <w:lang w:val="tr-TR"/>
        </w:rPr>
        <w:t xml:space="preserve">hakaret davasında </w:t>
      </w:r>
      <w:r w:rsidR="00CD4F5E" w:rsidRPr="008F1795">
        <w:rPr>
          <w:lang w:val="tr-TR"/>
        </w:rPr>
        <w:t xml:space="preserve">ispat yükünü </w:t>
      </w:r>
      <w:r w:rsidR="004B4A7B" w:rsidRPr="008F1795">
        <w:rPr>
          <w:lang w:val="tr-TR"/>
        </w:rPr>
        <w:t xml:space="preserve">yerine getirirken, </w:t>
      </w:r>
      <w:r w:rsidR="00556157" w:rsidRPr="008F1795">
        <w:rPr>
          <w:lang w:val="tr-TR"/>
        </w:rPr>
        <w:t xml:space="preserve">davalının </w:t>
      </w:r>
      <w:r w:rsidR="004B4A7B" w:rsidRPr="008F1795">
        <w:rPr>
          <w:lang w:val="tr-TR"/>
        </w:rPr>
        <w:t>bir beyanın doğrulu</w:t>
      </w:r>
      <w:r w:rsidR="00F706E3" w:rsidRPr="008F1795">
        <w:rPr>
          <w:lang w:val="tr-TR"/>
        </w:rPr>
        <w:t>ğ</w:t>
      </w:r>
      <w:r w:rsidR="004B4A7B" w:rsidRPr="008F1795">
        <w:rPr>
          <w:lang w:val="tr-TR"/>
        </w:rPr>
        <w:t>unu kanıtlamak için bir savcı gibi hareket etmesi beklenmemelidir.</w:t>
      </w:r>
      <w:r w:rsidR="003A71E5" w:rsidRPr="008F1795">
        <w:rPr>
          <w:rStyle w:val="DipnotBavurusu"/>
          <w:lang w:val="tr-TR"/>
        </w:rPr>
        <w:footnoteReference w:id="99"/>
      </w:r>
      <w:r w:rsidR="00DC1843" w:rsidRPr="008F1795">
        <w:rPr>
          <w:lang w:val="tr-TR"/>
        </w:rPr>
        <w:t xml:space="preserve"> </w:t>
      </w:r>
      <w:proofErr w:type="spellStart"/>
      <w:r w:rsidR="003A71E5" w:rsidRPr="008F1795">
        <w:rPr>
          <w:i/>
          <w:iCs/>
          <w:lang w:val="tr-TR"/>
        </w:rPr>
        <w:t>Flux</w:t>
      </w:r>
      <w:proofErr w:type="spellEnd"/>
      <w:r w:rsidR="003A71E5" w:rsidRPr="008F1795">
        <w:rPr>
          <w:i/>
          <w:iCs/>
          <w:lang w:val="tr-TR"/>
        </w:rPr>
        <w:t xml:space="preserve"> – Moldova davasında</w:t>
      </w:r>
      <w:r w:rsidR="0085581A" w:rsidRPr="008F1795">
        <w:rPr>
          <w:i/>
          <w:iCs/>
          <w:lang w:val="tr-TR"/>
        </w:rPr>
        <w:t xml:space="preserve"> </w:t>
      </w:r>
      <w:r w:rsidR="00426715" w:rsidRPr="008F1795">
        <w:rPr>
          <w:lang w:val="tr-TR"/>
        </w:rPr>
        <w:t>(no.6)</w:t>
      </w:r>
      <w:r w:rsidR="00FD7361" w:rsidRPr="008F1795">
        <w:rPr>
          <w:rStyle w:val="DipnotBavurusu"/>
          <w:lang w:val="tr-TR"/>
        </w:rPr>
        <w:footnoteReference w:id="100"/>
      </w:r>
      <w:r w:rsidR="00426715" w:rsidRPr="008F1795">
        <w:rPr>
          <w:lang w:val="tr-TR"/>
        </w:rPr>
        <w:t xml:space="preserve"> </w:t>
      </w:r>
      <w:r w:rsidR="00DC1843" w:rsidRPr="008F1795">
        <w:rPr>
          <w:lang w:val="tr-TR"/>
        </w:rPr>
        <w:t xml:space="preserve">AİHM, </w:t>
      </w:r>
      <w:r w:rsidR="00EE41AB" w:rsidRPr="008F1795">
        <w:rPr>
          <w:lang w:val="tr-TR"/>
        </w:rPr>
        <w:t>yetkililer</w:t>
      </w:r>
      <w:r w:rsidR="002B4F9B" w:rsidRPr="008F1795">
        <w:rPr>
          <w:lang w:val="tr-TR"/>
        </w:rPr>
        <w:t>in</w:t>
      </w:r>
      <w:r w:rsidR="00894BBF" w:rsidRPr="008F1795">
        <w:rPr>
          <w:lang w:val="tr-TR"/>
        </w:rPr>
        <w:t xml:space="preserve"> görevde suiistimal yaptı</w:t>
      </w:r>
      <w:r w:rsidR="00654CBB" w:rsidRPr="008F1795">
        <w:rPr>
          <w:lang w:val="tr-TR"/>
        </w:rPr>
        <w:t xml:space="preserve">ğına </w:t>
      </w:r>
      <w:r w:rsidR="00894BBF" w:rsidRPr="008F1795">
        <w:rPr>
          <w:lang w:val="tr-TR"/>
        </w:rPr>
        <w:t>dair ciddi iddialar</w:t>
      </w:r>
      <w:r w:rsidR="00654CBB" w:rsidRPr="008F1795">
        <w:rPr>
          <w:lang w:val="tr-TR"/>
        </w:rPr>
        <w:t>ı</w:t>
      </w:r>
      <w:r w:rsidR="002D094F" w:rsidRPr="008F1795">
        <w:rPr>
          <w:lang w:val="tr-TR"/>
        </w:rPr>
        <w:t>, ceza davasında kanıtlanmadan önce</w:t>
      </w:r>
      <w:r w:rsidR="004E1A5D" w:rsidRPr="008F1795">
        <w:rPr>
          <w:lang w:val="tr-TR"/>
        </w:rPr>
        <w:t xml:space="preserve"> </w:t>
      </w:r>
      <w:r w:rsidR="000F6D8D" w:rsidRPr="008F1795">
        <w:rPr>
          <w:lang w:val="tr-TR"/>
        </w:rPr>
        <w:t xml:space="preserve">gazetelerin </w:t>
      </w:r>
      <w:r w:rsidR="005F2B46" w:rsidRPr="008F1795">
        <w:rPr>
          <w:lang w:val="tr-TR"/>
        </w:rPr>
        <w:t xml:space="preserve">haber yapmasını sınırlamanın AİHS 10. </w:t>
      </w:r>
      <w:r w:rsidR="00241305" w:rsidRPr="008F1795">
        <w:rPr>
          <w:lang w:val="tr-TR"/>
        </w:rPr>
        <w:t>Madde</w:t>
      </w:r>
      <w:r w:rsidR="005F2B46" w:rsidRPr="008F1795">
        <w:rPr>
          <w:lang w:val="tr-TR"/>
        </w:rPr>
        <w:t>sine aykırı olacağını vurgulamıştır.</w:t>
      </w:r>
      <w:r w:rsidR="00F22739" w:rsidRPr="008F1795">
        <w:rPr>
          <w:rStyle w:val="DipnotBavurusu"/>
          <w:lang w:val="tr-TR"/>
        </w:rPr>
        <w:footnoteReference w:id="101"/>
      </w:r>
      <w:r w:rsidR="005F2B46" w:rsidRPr="008F1795">
        <w:rPr>
          <w:lang w:val="tr-TR"/>
        </w:rPr>
        <w:t xml:space="preserve"> </w:t>
      </w:r>
      <w:r w:rsidR="00925A32" w:rsidRPr="008F1795">
        <w:rPr>
          <w:lang w:val="tr-TR"/>
        </w:rPr>
        <w:t xml:space="preserve"> </w:t>
      </w:r>
    </w:p>
    <w:p w14:paraId="18F820E6" w14:textId="77777777" w:rsidR="003D7840" w:rsidRPr="008F1795" w:rsidRDefault="003D7840" w:rsidP="003D7840">
      <w:pPr>
        <w:pStyle w:val="ListeParagraf"/>
        <w:tabs>
          <w:tab w:val="left" w:pos="669"/>
        </w:tabs>
        <w:ind w:right="216"/>
        <w:rPr>
          <w:lang w:val="tr-TR"/>
        </w:rPr>
      </w:pPr>
    </w:p>
    <w:p w14:paraId="50300E55" w14:textId="58CA4DCA" w:rsidR="00BD4A2F" w:rsidRPr="008F1795" w:rsidRDefault="008436CE">
      <w:pPr>
        <w:pStyle w:val="ListeParagraf"/>
        <w:numPr>
          <w:ilvl w:val="0"/>
          <w:numId w:val="3"/>
        </w:numPr>
        <w:tabs>
          <w:tab w:val="left" w:pos="655"/>
        </w:tabs>
        <w:ind w:right="212" w:firstLine="0"/>
        <w:rPr>
          <w:lang w:val="tr-TR"/>
        </w:rPr>
      </w:pPr>
      <w:r w:rsidRPr="008F1795">
        <w:rPr>
          <w:lang w:val="tr-TR"/>
        </w:rPr>
        <w:t>“İsnadın ispatı” başlık</w:t>
      </w:r>
      <w:r w:rsidR="003C227A" w:rsidRPr="008F1795">
        <w:rPr>
          <w:lang w:val="tr-TR"/>
        </w:rPr>
        <w:t xml:space="preserve">lı </w:t>
      </w:r>
      <w:r w:rsidRPr="008F1795">
        <w:rPr>
          <w:lang w:val="tr-TR"/>
        </w:rPr>
        <w:t xml:space="preserve">Ceza Kanununun 127. </w:t>
      </w:r>
      <w:r w:rsidR="00241305" w:rsidRPr="008F1795">
        <w:rPr>
          <w:lang w:val="tr-TR"/>
        </w:rPr>
        <w:t>Madde</w:t>
      </w:r>
      <w:r w:rsidRPr="008F1795">
        <w:rPr>
          <w:lang w:val="tr-TR"/>
        </w:rPr>
        <w:t xml:space="preserve">sinde </w:t>
      </w:r>
      <w:r w:rsidR="007752C6" w:rsidRPr="008F1795">
        <w:rPr>
          <w:lang w:val="tr-TR"/>
        </w:rPr>
        <w:t>“</w:t>
      </w:r>
      <w:r w:rsidR="007752C6" w:rsidRPr="008F1795">
        <w:rPr>
          <w:i/>
          <w:iCs/>
          <w:lang w:val="tr-TR"/>
        </w:rPr>
        <w:t>İsnat edilen ve suç oluşturan fiilin ispat edilmiş olması halinde kişiye ceza verilmez</w:t>
      </w:r>
      <w:r w:rsidR="00446524" w:rsidRPr="008F1795">
        <w:rPr>
          <w:lang w:val="tr-TR"/>
        </w:rPr>
        <w:t xml:space="preserve">” denmektedir (ilk cümle). </w:t>
      </w:r>
      <w:r w:rsidR="000F6D8D" w:rsidRPr="008F1795">
        <w:rPr>
          <w:lang w:val="tr-TR"/>
        </w:rPr>
        <w:t>Hakaret edilen kişi hakkında kesinleşmiş bir mahkûmiyet kararı verilmesi halinde,</w:t>
      </w:r>
      <w:r w:rsidR="00673FBA" w:rsidRPr="008F1795">
        <w:rPr>
          <w:lang w:val="tr-TR"/>
        </w:rPr>
        <w:t xml:space="preserve"> suç </w:t>
      </w:r>
      <w:r w:rsidR="00200D26" w:rsidRPr="008F1795">
        <w:rPr>
          <w:lang w:val="tr-TR"/>
        </w:rPr>
        <w:t>isnadı</w:t>
      </w:r>
      <w:r w:rsidR="00673FBA" w:rsidRPr="008F1795">
        <w:rPr>
          <w:lang w:val="tr-TR"/>
        </w:rPr>
        <w:t xml:space="preserve"> ispatlanmış sayılmaktadır (ikinci cümle). </w:t>
      </w:r>
      <w:r w:rsidR="008D5548" w:rsidRPr="008F1795">
        <w:rPr>
          <w:lang w:val="tr-TR"/>
        </w:rPr>
        <w:t>“</w:t>
      </w:r>
      <w:r w:rsidR="008D5548" w:rsidRPr="008F1795">
        <w:rPr>
          <w:i/>
          <w:iCs/>
          <w:lang w:val="tr-TR"/>
        </w:rPr>
        <w:t>Bunun dışındaki hallerde isnadın ispat isteminin kabulü, ancak isnat olunan fiilin doğru olup olmadığının anlaşılmasında kamu yararı bulunmasına veya şikayetçinin ispata razı olmasına bağlıdır</w:t>
      </w:r>
      <w:r w:rsidR="008D5548" w:rsidRPr="008F1795">
        <w:rPr>
          <w:lang w:val="tr-TR"/>
        </w:rPr>
        <w:t xml:space="preserve">.” (üçüncü cümle). </w:t>
      </w:r>
    </w:p>
    <w:p w14:paraId="2463C284" w14:textId="791A74B4" w:rsidR="00BD4A2F" w:rsidRPr="008F1795" w:rsidRDefault="00BD4A2F" w:rsidP="00BD4A2F">
      <w:pPr>
        <w:pStyle w:val="ListeParagraf"/>
        <w:tabs>
          <w:tab w:val="left" w:pos="655"/>
        </w:tabs>
        <w:ind w:right="212"/>
        <w:rPr>
          <w:lang w:val="tr-TR"/>
        </w:rPr>
      </w:pPr>
    </w:p>
    <w:p w14:paraId="14DE9CD5" w14:textId="3B5310F8" w:rsidR="000250D5" w:rsidRPr="008F1795" w:rsidRDefault="00881C3F">
      <w:pPr>
        <w:pStyle w:val="ListeParagraf"/>
        <w:numPr>
          <w:ilvl w:val="0"/>
          <w:numId w:val="3"/>
        </w:numPr>
        <w:tabs>
          <w:tab w:val="left" w:pos="633"/>
        </w:tabs>
        <w:ind w:right="215" w:firstLine="0"/>
        <w:rPr>
          <w:lang w:val="tr-TR"/>
        </w:rPr>
      </w:pPr>
      <w:r w:rsidRPr="008F1795">
        <w:rPr>
          <w:lang w:val="tr-TR"/>
        </w:rPr>
        <w:t xml:space="preserve">Türk Ceza Kanununun 127. </w:t>
      </w:r>
      <w:r w:rsidR="00241305" w:rsidRPr="008F1795">
        <w:rPr>
          <w:lang w:val="tr-TR"/>
        </w:rPr>
        <w:t>Madde</w:t>
      </w:r>
      <w:r w:rsidRPr="008F1795">
        <w:rPr>
          <w:lang w:val="tr-TR"/>
        </w:rPr>
        <w:t>sinin (</w:t>
      </w:r>
      <w:r w:rsidR="007628F7" w:rsidRPr="008F1795">
        <w:rPr>
          <w:lang w:val="tr-TR"/>
        </w:rPr>
        <w:t>II. Kısım</w:t>
      </w:r>
      <w:r w:rsidR="00602CE5" w:rsidRPr="008F1795">
        <w:rPr>
          <w:lang w:val="tr-TR"/>
        </w:rPr>
        <w:t xml:space="preserve"> </w:t>
      </w:r>
      <w:r w:rsidR="007628F7" w:rsidRPr="008F1795">
        <w:rPr>
          <w:lang w:val="tr-TR"/>
        </w:rPr>
        <w:t>-</w:t>
      </w:r>
      <w:r w:rsidR="00602CE5" w:rsidRPr="008F1795">
        <w:rPr>
          <w:lang w:val="tr-TR"/>
        </w:rPr>
        <w:t xml:space="preserve"> </w:t>
      </w:r>
      <w:r w:rsidR="007628F7" w:rsidRPr="008F1795">
        <w:rPr>
          <w:lang w:val="tr-TR"/>
        </w:rPr>
        <w:t>Kişiler Karşı Suçlar</w:t>
      </w:r>
      <w:r w:rsidR="00B84468" w:rsidRPr="008F1795">
        <w:rPr>
          <w:lang w:val="tr-TR"/>
        </w:rPr>
        <w:t xml:space="preserve"> başlığı altında düzenlenmiştir) 299. </w:t>
      </w:r>
      <w:r w:rsidR="00241305" w:rsidRPr="008F1795">
        <w:rPr>
          <w:lang w:val="tr-TR"/>
        </w:rPr>
        <w:t>Madde</w:t>
      </w:r>
      <w:r w:rsidR="00B84468" w:rsidRPr="008F1795">
        <w:rPr>
          <w:lang w:val="tr-TR"/>
        </w:rPr>
        <w:t xml:space="preserve"> </w:t>
      </w:r>
      <w:r w:rsidR="00916FB8" w:rsidRPr="008F1795">
        <w:rPr>
          <w:lang w:val="tr-TR"/>
        </w:rPr>
        <w:t>(IV. Kısım</w:t>
      </w:r>
      <w:r w:rsidR="00602CE5" w:rsidRPr="008F1795">
        <w:rPr>
          <w:lang w:val="tr-TR"/>
        </w:rPr>
        <w:t xml:space="preserve"> </w:t>
      </w:r>
      <w:r w:rsidR="00916FB8" w:rsidRPr="008F1795">
        <w:rPr>
          <w:lang w:val="tr-TR"/>
        </w:rPr>
        <w:t>-</w:t>
      </w:r>
      <w:r w:rsidR="00602CE5" w:rsidRPr="008F1795">
        <w:rPr>
          <w:lang w:val="tr-TR"/>
        </w:rPr>
        <w:t xml:space="preserve"> </w:t>
      </w:r>
      <w:r w:rsidR="00916FB8" w:rsidRPr="008F1795">
        <w:rPr>
          <w:lang w:val="tr-TR"/>
        </w:rPr>
        <w:t xml:space="preserve">Millete ve Devlete Karşı Suçlar başlığı altında düzenlenmiştir) </w:t>
      </w:r>
      <w:r w:rsidR="00B84468" w:rsidRPr="008F1795">
        <w:rPr>
          <w:lang w:val="tr-TR"/>
        </w:rPr>
        <w:t xml:space="preserve">bağlamında da uygulanabilir olup olmadığı </w:t>
      </w:r>
      <w:r w:rsidR="00916FB8" w:rsidRPr="008F1795">
        <w:rPr>
          <w:lang w:val="tr-TR"/>
        </w:rPr>
        <w:t xml:space="preserve">net değildir. </w:t>
      </w:r>
      <w:r w:rsidR="00373FC7" w:rsidRPr="008F1795">
        <w:rPr>
          <w:lang w:val="tr-TR"/>
        </w:rPr>
        <w:t xml:space="preserve">Ancak, Anayasanın 39. </w:t>
      </w:r>
      <w:r w:rsidR="00241305" w:rsidRPr="008F1795">
        <w:rPr>
          <w:lang w:val="tr-TR"/>
        </w:rPr>
        <w:t>Madde</w:t>
      </w:r>
      <w:r w:rsidR="00373FC7" w:rsidRPr="008F1795">
        <w:rPr>
          <w:lang w:val="tr-TR"/>
        </w:rPr>
        <w:t>si</w:t>
      </w:r>
      <w:r w:rsidR="00CC72C0" w:rsidRPr="008F1795">
        <w:rPr>
          <w:rStyle w:val="DipnotBavurusu"/>
          <w:lang w:val="tr-TR"/>
        </w:rPr>
        <w:footnoteReference w:id="102"/>
      </w:r>
      <w:r w:rsidR="00373FC7" w:rsidRPr="008F1795">
        <w:rPr>
          <w:lang w:val="tr-TR"/>
        </w:rPr>
        <w:t xml:space="preserve"> </w:t>
      </w:r>
      <w:r w:rsidR="005A1A60" w:rsidRPr="008F1795">
        <w:rPr>
          <w:lang w:val="tr-TR"/>
        </w:rPr>
        <w:t xml:space="preserve">göz önüne </w:t>
      </w:r>
      <w:r w:rsidR="009C480E" w:rsidRPr="008F1795">
        <w:rPr>
          <w:lang w:val="tr-TR"/>
        </w:rPr>
        <w:t>aldığında</w:t>
      </w:r>
      <w:r w:rsidR="00DD022A" w:rsidRPr="008F1795">
        <w:rPr>
          <w:lang w:val="tr-TR"/>
        </w:rPr>
        <w:t xml:space="preserve"> (ispat hakkı)</w:t>
      </w:r>
      <w:r w:rsidR="005A1A60" w:rsidRPr="008F1795">
        <w:rPr>
          <w:lang w:val="tr-TR"/>
        </w:rPr>
        <w:t xml:space="preserve"> Komisyon, </w:t>
      </w:r>
      <w:r w:rsidR="00935CAC" w:rsidRPr="008F1795">
        <w:rPr>
          <w:lang w:val="tr-TR"/>
        </w:rPr>
        <w:t xml:space="preserve">127. </w:t>
      </w:r>
      <w:r w:rsidR="00241305" w:rsidRPr="008F1795">
        <w:rPr>
          <w:lang w:val="tr-TR"/>
        </w:rPr>
        <w:t>madde</w:t>
      </w:r>
      <w:r w:rsidR="00935CAC" w:rsidRPr="008F1795">
        <w:rPr>
          <w:lang w:val="tr-TR"/>
        </w:rPr>
        <w:t>deki ispat</w:t>
      </w:r>
      <w:r w:rsidR="00795A44" w:rsidRPr="008F1795">
        <w:rPr>
          <w:lang w:val="tr-TR"/>
        </w:rPr>
        <w:t xml:space="preserve"> hakkının, 299. </w:t>
      </w:r>
      <w:r w:rsidR="00241305" w:rsidRPr="008F1795">
        <w:rPr>
          <w:lang w:val="tr-TR"/>
        </w:rPr>
        <w:t>Madde</w:t>
      </w:r>
      <w:r w:rsidR="00795A44" w:rsidRPr="008F1795">
        <w:rPr>
          <w:lang w:val="tr-TR"/>
        </w:rPr>
        <w:t xml:space="preserve"> için de uygulandığını varsaymaktadır. Buna ek olarak, 127. </w:t>
      </w:r>
      <w:r w:rsidR="00241305" w:rsidRPr="008F1795">
        <w:rPr>
          <w:lang w:val="tr-TR"/>
        </w:rPr>
        <w:t>Madde</w:t>
      </w:r>
      <w:r w:rsidR="000250D5" w:rsidRPr="008F1795">
        <w:rPr>
          <w:lang w:val="tr-TR"/>
        </w:rPr>
        <w:t>ye göre</w:t>
      </w:r>
      <w:r w:rsidR="00721AD3" w:rsidRPr="008F1795">
        <w:rPr>
          <w:lang w:val="tr-TR"/>
        </w:rPr>
        <w:t xml:space="preserve"> isnadın ispat isteminin kabul edilmesi için, ancak isnat olunan fiilin doğru olup olmadığının anlaşılmasında kamu yararı bulunması</w:t>
      </w:r>
      <w:r w:rsidR="0056244C" w:rsidRPr="008F1795">
        <w:rPr>
          <w:lang w:val="tr-TR"/>
        </w:rPr>
        <w:t xml:space="preserve"> </w:t>
      </w:r>
      <w:r w:rsidR="00721AD3" w:rsidRPr="008F1795">
        <w:rPr>
          <w:lang w:val="tr-TR"/>
        </w:rPr>
        <w:t>veya şikayetçinin ispata razı olması</w:t>
      </w:r>
      <w:r w:rsidR="0056244C" w:rsidRPr="008F1795">
        <w:rPr>
          <w:lang w:val="tr-TR"/>
        </w:rPr>
        <w:t xml:space="preserve"> koşulu</w:t>
      </w:r>
      <w:r w:rsidR="00D369C5" w:rsidRPr="008F1795">
        <w:rPr>
          <w:lang w:val="tr-TR"/>
        </w:rPr>
        <w:t xml:space="preserve">, </w:t>
      </w:r>
      <w:r w:rsidR="00D329A3" w:rsidRPr="008F1795">
        <w:rPr>
          <w:lang w:val="tr-TR"/>
        </w:rPr>
        <w:t xml:space="preserve">Cumhurbaşkanı dahil </w:t>
      </w:r>
      <w:r w:rsidR="00D369C5" w:rsidRPr="008F1795">
        <w:rPr>
          <w:lang w:val="tr-TR"/>
        </w:rPr>
        <w:t>kamu yetkililerine görevleri ile ilgili olar</w:t>
      </w:r>
      <w:r w:rsidR="00CC3364" w:rsidRPr="008F1795">
        <w:rPr>
          <w:lang w:val="tr-TR"/>
        </w:rPr>
        <w:t>ak</w:t>
      </w:r>
      <w:r w:rsidR="00D369C5" w:rsidRPr="008F1795">
        <w:rPr>
          <w:lang w:val="tr-TR"/>
        </w:rPr>
        <w:t xml:space="preserve"> yöneltilen hakaret davaları bağlamında uygulanabilir değildir</w:t>
      </w:r>
      <w:r w:rsidR="00CC3364" w:rsidRPr="008F1795">
        <w:rPr>
          <w:lang w:val="tr-TR"/>
        </w:rPr>
        <w:t xml:space="preserve"> (Anayasanın 39. </w:t>
      </w:r>
      <w:r w:rsidR="00241305" w:rsidRPr="008F1795">
        <w:rPr>
          <w:lang w:val="tr-TR"/>
        </w:rPr>
        <w:t>Madde</w:t>
      </w:r>
      <w:r w:rsidR="00CC3364" w:rsidRPr="008F1795">
        <w:rPr>
          <w:lang w:val="tr-TR"/>
        </w:rPr>
        <w:t xml:space="preserve">si). </w:t>
      </w:r>
      <w:r w:rsidR="008D34B2" w:rsidRPr="008F1795">
        <w:rPr>
          <w:lang w:val="tr-TR"/>
        </w:rPr>
        <w:t xml:space="preserve">Eğer bu yorumlayış doğru ise, bu anayasa hükmü, yukarıda bahsedilen </w:t>
      </w:r>
      <w:r w:rsidR="00D038B6" w:rsidRPr="008F1795">
        <w:rPr>
          <w:lang w:val="tr-TR"/>
        </w:rPr>
        <w:t xml:space="preserve">AİHM </w:t>
      </w:r>
      <w:r w:rsidR="008D34B2" w:rsidRPr="008F1795">
        <w:rPr>
          <w:lang w:val="tr-TR"/>
        </w:rPr>
        <w:t>içtihat</w:t>
      </w:r>
      <w:r w:rsidR="00D038B6" w:rsidRPr="008F1795">
        <w:rPr>
          <w:lang w:val="tr-TR"/>
        </w:rPr>
        <w:t xml:space="preserve">ı </w:t>
      </w:r>
      <w:r w:rsidR="008D34B2" w:rsidRPr="008F1795">
        <w:rPr>
          <w:lang w:val="tr-TR"/>
        </w:rPr>
        <w:t xml:space="preserve">ile uyumludur. </w:t>
      </w:r>
    </w:p>
    <w:p w14:paraId="3CDF21CC" w14:textId="77777777" w:rsidR="000250D5" w:rsidRPr="008F1795" w:rsidRDefault="000250D5" w:rsidP="000250D5">
      <w:pPr>
        <w:pStyle w:val="ListeParagraf"/>
        <w:tabs>
          <w:tab w:val="left" w:pos="633"/>
        </w:tabs>
        <w:ind w:right="215"/>
        <w:rPr>
          <w:lang w:val="tr-TR"/>
        </w:rPr>
      </w:pPr>
    </w:p>
    <w:p w14:paraId="54FB542A" w14:textId="05D38511" w:rsidR="00DB7AA1" w:rsidRPr="008F1795" w:rsidRDefault="00B21AD2" w:rsidP="006706FF">
      <w:pPr>
        <w:pStyle w:val="ListeParagraf"/>
        <w:numPr>
          <w:ilvl w:val="0"/>
          <w:numId w:val="3"/>
        </w:numPr>
        <w:tabs>
          <w:tab w:val="left" w:pos="708"/>
        </w:tabs>
        <w:ind w:firstLine="0"/>
        <w:rPr>
          <w:lang w:val="tr-TR"/>
        </w:rPr>
      </w:pPr>
      <w:r w:rsidRPr="008F1795">
        <w:rPr>
          <w:b/>
          <w:bCs/>
          <w:lang w:val="tr-TR"/>
        </w:rPr>
        <w:t>Sonuç olarak</w:t>
      </w:r>
      <w:r w:rsidRPr="008F1795">
        <w:rPr>
          <w:lang w:val="tr-TR"/>
        </w:rPr>
        <w:t xml:space="preserve"> Komisyon, </w:t>
      </w:r>
      <w:r w:rsidR="006706FF" w:rsidRPr="008F1795">
        <w:rPr>
          <w:lang w:val="tr-TR"/>
        </w:rPr>
        <w:t xml:space="preserve">Avrupa’da </w:t>
      </w:r>
      <w:r w:rsidR="00A07E5D" w:rsidRPr="008F1795">
        <w:rPr>
          <w:lang w:val="tr-TR"/>
        </w:rPr>
        <w:t xml:space="preserve">bu konuda </w:t>
      </w:r>
      <w:r w:rsidR="006706FF" w:rsidRPr="008F1795">
        <w:rPr>
          <w:lang w:val="tr-TR"/>
        </w:rPr>
        <w:t>ortaya çıkan f</w:t>
      </w:r>
      <w:r w:rsidR="00A07E5D" w:rsidRPr="008F1795">
        <w:rPr>
          <w:lang w:val="tr-TR"/>
        </w:rPr>
        <w:t xml:space="preserve">ikir birliği ve uluslararası standartlara göre, </w:t>
      </w:r>
      <w:r w:rsidR="006706FF" w:rsidRPr="008F1795">
        <w:rPr>
          <w:lang w:val="tr-TR"/>
        </w:rPr>
        <w:t>Taraf Devletler</w:t>
      </w:r>
      <w:r w:rsidR="00A07E5D" w:rsidRPr="008F1795">
        <w:rPr>
          <w:lang w:val="tr-TR"/>
        </w:rPr>
        <w:t>in</w:t>
      </w:r>
      <w:r w:rsidR="006706FF" w:rsidRPr="008F1795">
        <w:rPr>
          <w:lang w:val="tr-TR"/>
        </w:rPr>
        <w:t xml:space="preserve">, </w:t>
      </w:r>
      <w:r w:rsidR="009D67F8" w:rsidRPr="008F1795">
        <w:rPr>
          <w:lang w:val="tr-TR"/>
        </w:rPr>
        <w:t>Devlet Başkanına</w:t>
      </w:r>
      <w:r w:rsidR="00DB7AA1" w:rsidRPr="008F1795">
        <w:rPr>
          <w:lang w:val="tr-TR"/>
        </w:rPr>
        <w:t xml:space="preserve"> </w:t>
      </w:r>
      <w:r w:rsidR="006706FF" w:rsidRPr="008F1795">
        <w:rPr>
          <w:lang w:val="tr-TR"/>
        </w:rPr>
        <w:t xml:space="preserve">hakareti </w:t>
      </w:r>
      <w:r w:rsidR="009D67F8" w:rsidRPr="008F1795">
        <w:rPr>
          <w:lang w:val="tr-TR"/>
        </w:rPr>
        <w:t xml:space="preserve">ya </w:t>
      </w:r>
      <w:r w:rsidR="006706FF" w:rsidRPr="008F1795">
        <w:rPr>
          <w:lang w:val="tr-TR"/>
        </w:rPr>
        <w:t>suç olmaktan çıkar</w:t>
      </w:r>
      <w:r w:rsidR="00DB7AA1" w:rsidRPr="008F1795">
        <w:rPr>
          <w:lang w:val="tr-TR"/>
        </w:rPr>
        <w:t>tması ya da</w:t>
      </w:r>
      <w:r w:rsidR="00594D09" w:rsidRPr="008F1795">
        <w:rPr>
          <w:lang w:val="tr-TR"/>
        </w:rPr>
        <w:t xml:space="preserve"> en azından sadece en ciddi sözel saldırıları suç saymasını ve aynı zamanda </w:t>
      </w:r>
      <w:r w:rsidR="00CC4E32" w:rsidRPr="008F1795">
        <w:rPr>
          <w:lang w:val="tr-TR"/>
        </w:rPr>
        <w:t>hapis cezası içermeyen yaptırımlar ile sınırlı tutması gerektiğini yinelemektedir. Komisyon</w:t>
      </w:r>
      <w:r w:rsidR="004239CC" w:rsidRPr="008F1795">
        <w:rPr>
          <w:lang w:val="tr-TR"/>
        </w:rPr>
        <w:t xml:space="preserve">, Türkiye’deki uygulamanın bunun aksi yönde olduğunu ve </w:t>
      </w:r>
      <w:r w:rsidR="00497CD5" w:rsidRPr="008F1795">
        <w:rPr>
          <w:lang w:val="tr-TR"/>
        </w:rPr>
        <w:t xml:space="preserve">AİHS 10. </w:t>
      </w:r>
      <w:r w:rsidR="00241305" w:rsidRPr="008F1795">
        <w:rPr>
          <w:lang w:val="tr-TR"/>
        </w:rPr>
        <w:t>Madde</w:t>
      </w:r>
      <w:r w:rsidR="00497CD5" w:rsidRPr="008F1795">
        <w:rPr>
          <w:lang w:val="tr-TR"/>
        </w:rPr>
        <w:t>since korunan ifadeler</w:t>
      </w:r>
      <w:r w:rsidR="00450370" w:rsidRPr="008F1795">
        <w:rPr>
          <w:lang w:val="tr-TR"/>
        </w:rPr>
        <w:t xml:space="preserve"> de dahil olmak üzere söz konusu hükmün daha fazla kullanıldığını</w:t>
      </w:r>
      <w:r w:rsidR="007D0F35" w:rsidRPr="008F1795">
        <w:rPr>
          <w:lang w:val="tr-TR"/>
        </w:rPr>
        <w:t xml:space="preserve"> kaydetmektedir. </w:t>
      </w:r>
      <w:r w:rsidR="00C534E4" w:rsidRPr="008F1795">
        <w:rPr>
          <w:lang w:val="tr-TR"/>
        </w:rPr>
        <w:t>Hapis cezası dahil uygulanan yaptırımlar</w:t>
      </w:r>
      <w:r w:rsidR="007A2E75" w:rsidRPr="008F1795">
        <w:rPr>
          <w:lang w:val="tr-TR"/>
        </w:rPr>
        <w:t xml:space="preserve">ın aşırı olduğu </w:t>
      </w:r>
      <w:r w:rsidR="005D392B" w:rsidRPr="008F1795">
        <w:rPr>
          <w:lang w:val="tr-TR"/>
        </w:rPr>
        <w:t>açıkça görülmektedir</w:t>
      </w:r>
      <w:r w:rsidR="007A2E75" w:rsidRPr="008F1795">
        <w:rPr>
          <w:lang w:val="tr-TR"/>
        </w:rPr>
        <w:t xml:space="preserve">. </w:t>
      </w:r>
      <w:r w:rsidR="00B53B72" w:rsidRPr="008F1795">
        <w:rPr>
          <w:lang w:val="tr-TR"/>
        </w:rPr>
        <w:t xml:space="preserve">Yargıtay ve </w:t>
      </w:r>
      <w:r w:rsidR="00DD2FA4">
        <w:rPr>
          <w:lang w:val="tr-TR"/>
        </w:rPr>
        <w:t xml:space="preserve">Yargıtay </w:t>
      </w:r>
      <w:r w:rsidR="00B53B72" w:rsidRPr="008F1795">
        <w:rPr>
          <w:lang w:val="tr-TR"/>
        </w:rPr>
        <w:t>Başsavcı</w:t>
      </w:r>
      <w:r w:rsidR="00DD2FA4">
        <w:rPr>
          <w:lang w:val="tr-TR"/>
        </w:rPr>
        <w:t>sı</w:t>
      </w:r>
      <w:r w:rsidR="00B53B72" w:rsidRPr="008F1795">
        <w:rPr>
          <w:lang w:val="tr-TR"/>
        </w:rPr>
        <w:t xml:space="preserve"> bu hükmün aşırı derecede kullanılmasına sınırlama getirmek amacıyla bazı </w:t>
      </w:r>
      <w:r w:rsidR="00CD2BF5" w:rsidRPr="008F1795">
        <w:rPr>
          <w:lang w:val="tr-TR"/>
        </w:rPr>
        <w:t xml:space="preserve">girişimlerde bulunmuş olsa </w:t>
      </w:r>
      <w:r w:rsidR="001308E6" w:rsidRPr="008F1795">
        <w:rPr>
          <w:lang w:val="tr-TR"/>
        </w:rPr>
        <w:t>bile</w:t>
      </w:r>
      <w:r w:rsidR="00CD2BF5" w:rsidRPr="008F1795">
        <w:rPr>
          <w:lang w:val="tr-TR"/>
        </w:rPr>
        <w:t xml:space="preserve">, bu çabalar yetersizdir. </w:t>
      </w:r>
      <w:r w:rsidR="007F377C" w:rsidRPr="008F1795">
        <w:rPr>
          <w:lang w:val="tr-TR"/>
        </w:rPr>
        <w:t>Bu koşullar altında Komisyon, Aİ</w:t>
      </w:r>
      <w:r w:rsidR="00245C53">
        <w:rPr>
          <w:lang w:val="tr-TR"/>
        </w:rPr>
        <w:t>H</w:t>
      </w:r>
      <w:r w:rsidR="007F377C" w:rsidRPr="008F1795">
        <w:rPr>
          <w:lang w:val="tr-TR"/>
        </w:rPr>
        <w:t xml:space="preserve">S 10. </w:t>
      </w:r>
      <w:r w:rsidR="00241305" w:rsidRPr="008F1795">
        <w:rPr>
          <w:lang w:val="tr-TR"/>
        </w:rPr>
        <w:t>Madde</w:t>
      </w:r>
      <w:r w:rsidR="007F377C" w:rsidRPr="008F1795">
        <w:rPr>
          <w:lang w:val="tr-TR"/>
        </w:rPr>
        <w:t xml:space="preserve">sinin </w:t>
      </w:r>
      <w:r w:rsidR="007F377C" w:rsidRPr="008F1795">
        <w:rPr>
          <w:lang w:val="tr-TR"/>
        </w:rPr>
        <w:lastRenderedPageBreak/>
        <w:t xml:space="preserve">daha fazla ihlal edilmesini önlemek için tek çözümün bu </w:t>
      </w:r>
      <w:r w:rsidR="00241305" w:rsidRPr="008F1795">
        <w:rPr>
          <w:lang w:val="tr-TR"/>
        </w:rPr>
        <w:t>Madde</w:t>
      </w:r>
      <w:r w:rsidR="007F377C" w:rsidRPr="008F1795">
        <w:rPr>
          <w:lang w:val="tr-TR"/>
        </w:rPr>
        <w:t xml:space="preserve">nin tamamen yürürlükten kaldırılması olduğu kanaatindedir. </w:t>
      </w:r>
      <w:r w:rsidR="0036380D" w:rsidRPr="008F1795">
        <w:rPr>
          <w:lang w:val="tr-TR"/>
        </w:rPr>
        <w:t xml:space="preserve">Kamuya mal olmuş kişiler ve siyasi konular </w:t>
      </w:r>
      <w:r w:rsidR="00897C18" w:rsidRPr="008F1795">
        <w:rPr>
          <w:lang w:val="tr-TR"/>
        </w:rPr>
        <w:t>hakkında</w:t>
      </w:r>
      <w:r w:rsidR="0036380D" w:rsidRPr="008F1795">
        <w:rPr>
          <w:lang w:val="tr-TR"/>
        </w:rPr>
        <w:t xml:space="preserve"> </w:t>
      </w:r>
      <w:r w:rsidR="00FD09C9" w:rsidRPr="008F1795">
        <w:rPr>
          <w:lang w:val="tr-TR"/>
        </w:rPr>
        <w:t>ifade özgürlüğüne ilişkin</w:t>
      </w:r>
      <w:r w:rsidR="00563A55" w:rsidRPr="008F1795">
        <w:rPr>
          <w:lang w:val="tr-TR"/>
        </w:rPr>
        <w:t xml:space="preserve"> özellikle </w:t>
      </w:r>
      <w:r w:rsidR="002F7362" w:rsidRPr="008F1795">
        <w:rPr>
          <w:lang w:val="tr-TR"/>
        </w:rPr>
        <w:t xml:space="preserve">belirlenmiş </w:t>
      </w:r>
      <w:r w:rsidR="00563A55" w:rsidRPr="008F1795">
        <w:rPr>
          <w:lang w:val="tr-TR"/>
        </w:rPr>
        <w:t>ilkeler</w:t>
      </w:r>
      <w:r w:rsidR="002F7362" w:rsidRPr="008F1795">
        <w:rPr>
          <w:lang w:val="tr-TR"/>
        </w:rPr>
        <w:t xml:space="preserve"> dikkate al</w:t>
      </w:r>
      <w:r w:rsidR="00FD09C9" w:rsidRPr="008F1795">
        <w:rPr>
          <w:lang w:val="tr-TR"/>
        </w:rPr>
        <w:t>ın</w:t>
      </w:r>
      <w:r w:rsidR="002F7362" w:rsidRPr="008F1795">
        <w:rPr>
          <w:lang w:val="tr-TR"/>
        </w:rPr>
        <w:t>arak, tüm vatandaşları korumak için uygulanan medeni ve ceza hukuku usullerini</w:t>
      </w:r>
      <w:r w:rsidR="00897C18" w:rsidRPr="008F1795">
        <w:rPr>
          <w:lang w:val="tr-TR"/>
        </w:rPr>
        <w:t>n</w:t>
      </w:r>
      <w:r w:rsidR="002F7362" w:rsidRPr="008F1795">
        <w:rPr>
          <w:lang w:val="tr-TR"/>
        </w:rPr>
        <w:t xml:space="preserve"> </w:t>
      </w:r>
      <w:r w:rsidR="00897C18" w:rsidRPr="008F1795">
        <w:rPr>
          <w:lang w:val="tr-TR"/>
        </w:rPr>
        <w:t>kullanılmasıyla</w:t>
      </w:r>
      <w:r w:rsidR="002F7362" w:rsidRPr="008F1795">
        <w:rPr>
          <w:lang w:val="tr-TR"/>
        </w:rPr>
        <w:t xml:space="preserve">, </w:t>
      </w:r>
      <w:r w:rsidR="00543E66" w:rsidRPr="008F1795">
        <w:rPr>
          <w:lang w:val="tr-TR"/>
        </w:rPr>
        <w:t>Devlet Başkanın aşırı hakaret biçimlerine karşı koru</w:t>
      </w:r>
      <w:r w:rsidR="00705BDE" w:rsidRPr="008F1795">
        <w:rPr>
          <w:lang w:val="tr-TR"/>
        </w:rPr>
        <w:t xml:space="preserve">nması hala mümkün olacaktır. </w:t>
      </w:r>
      <w:r w:rsidR="007238A6" w:rsidRPr="008F1795">
        <w:rPr>
          <w:lang w:val="tr-TR"/>
        </w:rPr>
        <w:t>Orantılılık ilkesi</w:t>
      </w:r>
      <w:r w:rsidR="00DE492D" w:rsidRPr="008F1795">
        <w:rPr>
          <w:lang w:val="tr-TR"/>
        </w:rPr>
        <w:t>ne uyulması</w:t>
      </w:r>
      <w:r w:rsidR="007238A6" w:rsidRPr="008F1795">
        <w:rPr>
          <w:lang w:val="tr-TR"/>
        </w:rPr>
        <w:t xml:space="preserve"> ve </w:t>
      </w:r>
      <w:r w:rsidR="00DE492D" w:rsidRPr="008F1795">
        <w:rPr>
          <w:lang w:val="tr-TR"/>
        </w:rPr>
        <w:t xml:space="preserve">yaptırımların hapis cezası içermeyecek şekilde kısıtlanması ihtiyacı bu durumda da geçerlidir. </w:t>
      </w:r>
    </w:p>
    <w:p w14:paraId="3AFB9455" w14:textId="77777777" w:rsidR="00DB7AA1" w:rsidRPr="008F1795" w:rsidRDefault="00DB7AA1" w:rsidP="00DB7AA1">
      <w:pPr>
        <w:pStyle w:val="ListeParagraf"/>
        <w:tabs>
          <w:tab w:val="left" w:pos="708"/>
        </w:tabs>
        <w:rPr>
          <w:b/>
          <w:bCs/>
          <w:lang w:val="tr-TR"/>
        </w:rPr>
      </w:pPr>
    </w:p>
    <w:p w14:paraId="18B2989C" w14:textId="77777777" w:rsidR="00B74CEA" w:rsidRPr="008F1795" w:rsidRDefault="00B74CEA">
      <w:pPr>
        <w:pStyle w:val="GvdeMetni"/>
        <w:spacing w:before="1"/>
        <w:rPr>
          <w:lang w:val="tr-TR"/>
        </w:rPr>
      </w:pPr>
    </w:p>
    <w:p w14:paraId="16955FA2" w14:textId="39047F00" w:rsidR="00B74CEA" w:rsidRPr="008F1795" w:rsidRDefault="00BE381E">
      <w:pPr>
        <w:pStyle w:val="Balk1"/>
        <w:numPr>
          <w:ilvl w:val="1"/>
          <w:numId w:val="5"/>
        </w:numPr>
        <w:tabs>
          <w:tab w:val="left" w:pos="1331"/>
          <w:tab w:val="left" w:pos="1332"/>
        </w:tabs>
        <w:ind w:right="968"/>
        <w:rPr>
          <w:lang w:val="tr-TR"/>
        </w:rPr>
      </w:pPr>
      <w:bookmarkStart w:id="9" w:name="_bookmark9"/>
      <w:bookmarkEnd w:id="9"/>
      <w:r w:rsidRPr="008F1795">
        <w:rPr>
          <w:lang w:val="tr-TR"/>
        </w:rPr>
        <w:t>301</w:t>
      </w:r>
      <w:r w:rsidR="00A402FE" w:rsidRPr="008F1795">
        <w:rPr>
          <w:lang w:val="tr-TR"/>
        </w:rPr>
        <w:t xml:space="preserve">. </w:t>
      </w:r>
      <w:r w:rsidR="00241305" w:rsidRPr="008F1795">
        <w:rPr>
          <w:lang w:val="tr-TR"/>
        </w:rPr>
        <w:t>Madde</w:t>
      </w:r>
      <w:r w:rsidRPr="008F1795">
        <w:rPr>
          <w:lang w:val="tr-TR"/>
        </w:rPr>
        <w:t xml:space="preserve"> (</w:t>
      </w:r>
      <w:r w:rsidR="009C79BE" w:rsidRPr="008F1795">
        <w:rPr>
          <w:lang w:val="tr-TR"/>
        </w:rPr>
        <w:t>Türk Milletini, Türkiye Cumhuriyeti Devletini, Devletin Kurum ve Organlarını aşağılama</w:t>
      </w:r>
      <w:r w:rsidRPr="008F1795">
        <w:rPr>
          <w:lang w:val="tr-TR"/>
        </w:rPr>
        <w:t>)</w:t>
      </w:r>
    </w:p>
    <w:p w14:paraId="7B827DD9" w14:textId="77777777" w:rsidR="00B74CEA" w:rsidRPr="008F1795" w:rsidRDefault="00B74CEA">
      <w:pPr>
        <w:pStyle w:val="GvdeMetni"/>
        <w:spacing w:before="2"/>
        <w:rPr>
          <w:b/>
          <w:lang w:val="tr-TR"/>
        </w:rPr>
      </w:pPr>
    </w:p>
    <w:p w14:paraId="0EE70C13" w14:textId="182F4A10" w:rsidR="000C20F6" w:rsidRPr="008F1795" w:rsidRDefault="00EC21D1">
      <w:pPr>
        <w:pStyle w:val="ListeParagraf"/>
        <w:numPr>
          <w:ilvl w:val="0"/>
          <w:numId w:val="3"/>
        </w:numPr>
        <w:tabs>
          <w:tab w:val="left" w:pos="650"/>
        </w:tabs>
        <w:ind w:right="214" w:firstLine="0"/>
        <w:rPr>
          <w:lang w:val="tr-TR"/>
        </w:rPr>
      </w:pPr>
      <w:r w:rsidRPr="008F1795">
        <w:rPr>
          <w:lang w:val="tr-TR"/>
        </w:rPr>
        <w:t xml:space="preserve">Ceza Kanununun 301. </w:t>
      </w:r>
      <w:r w:rsidR="00241305" w:rsidRPr="008F1795">
        <w:rPr>
          <w:lang w:val="tr-TR"/>
        </w:rPr>
        <w:t>Madde</w:t>
      </w:r>
      <w:r w:rsidRPr="008F1795">
        <w:rPr>
          <w:lang w:val="tr-TR"/>
        </w:rPr>
        <w:t xml:space="preserve">si ile Türk Milletini, Türkiye Cumhuriyeti Devletini, Devletin Kurum ve Organlarını aşağılamak suç sayılmaktadır. </w:t>
      </w:r>
      <w:r w:rsidR="003B5E29" w:rsidRPr="008F1795">
        <w:rPr>
          <w:lang w:val="tr-TR"/>
        </w:rPr>
        <w:t xml:space="preserve">301. </w:t>
      </w:r>
      <w:r w:rsidR="00241305" w:rsidRPr="008F1795">
        <w:rPr>
          <w:lang w:val="tr-TR"/>
        </w:rPr>
        <w:t>Madde</w:t>
      </w:r>
      <w:r w:rsidR="003B5E29" w:rsidRPr="008F1795">
        <w:rPr>
          <w:lang w:val="tr-TR"/>
        </w:rPr>
        <w:t xml:space="preserve">, mülga Ceza Kanununun 159. </w:t>
      </w:r>
      <w:r w:rsidR="00241305" w:rsidRPr="008F1795">
        <w:rPr>
          <w:lang w:val="tr-TR"/>
        </w:rPr>
        <w:t>Madde</w:t>
      </w:r>
      <w:r w:rsidR="003B5E29" w:rsidRPr="008F1795">
        <w:rPr>
          <w:lang w:val="tr-TR"/>
        </w:rPr>
        <w:t xml:space="preserve">si yerine getirilmiştir. </w:t>
      </w:r>
      <w:r w:rsidR="00247C1D" w:rsidRPr="008F1795">
        <w:rPr>
          <w:lang w:val="tr-TR"/>
        </w:rPr>
        <w:t xml:space="preserve">159. </w:t>
      </w:r>
      <w:r w:rsidR="00241305" w:rsidRPr="008F1795">
        <w:rPr>
          <w:lang w:val="tr-TR"/>
        </w:rPr>
        <w:t>Madde</w:t>
      </w:r>
      <w:r w:rsidR="00247C1D" w:rsidRPr="008F1795">
        <w:rPr>
          <w:lang w:val="tr-TR"/>
        </w:rPr>
        <w:t xml:space="preserve">de ve </w:t>
      </w:r>
      <w:r w:rsidR="00916174" w:rsidRPr="008F1795">
        <w:rPr>
          <w:lang w:val="tr-TR"/>
        </w:rPr>
        <w:t>N</w:t>
      </w:r>
      <w:r w:rsidR="003672FF" w:rsidRPr="008F1795">
        <w:rPr>
          <w:lang w:val="tr-TR"/>
        </w:rPr>
        <w:t>isan 2018’de Ceza Kanun</w:t>
      </w:r>
      <w:r w:rsidR="004A5C1D">
        <w:rPr>
          <w:lang w:val="tr-TR"/>
        </w:rPr>
        <w:t>un</w:t>
      </w:r>
      <w:r w:rsidR="003672FF" w:rsidRPr="008F1795">
        <w:rPr>
          <w:lang w:val="tr-TR"/>
        </w:rPr>
        <w:t>da değişiklikler yapılmadan önce</w:t>
      </w:r>
      <w:r w:rsidR="004F69F5" w:rsidRPr="008F1795">
        <w:rPr>
          <w:lang w:val="tr-TR"/>
        </w:rPr>
        <w:t xml:space="preserve"> </w:t>
      </w:r>
      <w:r w:rsidR="00247C1D" w:rsidRPr="008F1795">
        <w:rPr>
          <w:lang w:val="tr-TR"/>
        </w:rPr>
        <w:t xml:space="preserve">301. </w:t>
      </w:r>
      <w:r w:rsidR="00241305" w:rsidRPr="008F1795">
        <w:rPr>
          <w:lang w:val="tr-TR"/>
        </w:rPr>
        <w:t>Madde</w:t>
      </w:r>
      <w:r w:rsidR="004F69F5" w:rsidRPr="008F1795">
        <w:rPr>
          <w:lang w:val="tr-TR"/>
        </w:rPr>
        <w:t xml:space="preserve">nin ilk </w:t>
      </w:r>
      <w:r w:rsidR="00F914A7">
        <w:rPr>
          <w:lang w:val="tr-TR"/>
        </w:rPr>
        <w:t>halinde</w:t>
      </w:r>
      <w:r w:rsidR="004F69F5" w:rsidRPr="008F1795">
        <w:rPr>
          <w:lang w:val="tr-TR"/>
        </w:rPr>
        <w:t xml:space="preserve"> geçen</w:t>
      </w:r>
      <w:r w:rsidR="00247C1D" w:rsidRPr="008F1795">
        <w:rPr>
          <w:lang w:val="tr-TR"/>
        </w:rPr>
        <w:t xml:space="preserve"> </w:t>
      </w:r>
      <w:r w:rsidR="00EE5E62" w:rsidRPr="008F1795">
        <w:rPr>
          <w:lang w:val="tr-TR"/>
        </w:rPr>
        <w:t>“Türklük”</w:t>
      </w:r>
      <w:r w:rsidR="00916174" w:rsidRPr="008F1795">
        <w:rPr>
          <w:lang w:val="tr-TR"/>
        </w:rPr>
        <w:t xml:space="preserve"> terimi kullanılmıştır. Nisan 2008 tarihli değişiklikler ile birlikte </w:t>
      </w:r>
      <w:r w:rsidR="00181DAA" w:rsidRPr="008F1795">
        <w:rPr>
          <w:lang w:val="tr-TR"/>
        </w:rPr>
        <w:t>“Türklük” ibaresi yerine “Türk Milleti” kulla</w:t>
      </w:r>
      <w:r w:rsidR="00D047AE" w:rsidRPr="008F1795">
        <w:rPr>
          <w:lang w:val="tr-TR"/>
        </w:rPr>
        <w:t>nılmıştır.</w:t>
      </w:r>
    </w:p>
    <w:p w14:paraId="7A65FC0D" w14:textId="77777777" w:rsidR="000C20F6" w:rsidRPr="008F1795" w:rsidRDefault="000C20F6" w:rsidP="000C20F6">
      <w:pPr>
        <w:pStyle w:val="ListeParagraf"/>
        <w:tabs>
          <w:tab w:val="left" w:pos="650"/>
        </w:tabs>
        <w:ind w:right="214"/>
        <w:rPr>
          <w:lang w:val="tr-TR"/>
        </w:rPr>
      </w:pPr>
    </w:p>
    <w:p w14:paraId="2315A394" w14:textId="5520993F" w:rsidR="00D047AE" w:rsidRPr="008F1795" w:rsidRDefault="00D047AE">
      <w:pPr>
        <w:pStyle w:val="ListeParagraf"/>
        <w:numPr>
          <w:ilvl w:val="0"/>
          <w:numId w:val="3"/>
        </w:numPr>
        <w:tabs>
          <w:tab w:val="left" w:pos="648"/>
        </w:tabs>
        <w:ind w:firstLine="0"/>
        <w:rPr>
          <w:lang w:val="tr-TR"/>
        </w:rPr>
      </w:pPr>
      <w:r w:rsidRPr="008F1795">
        <w:rPr>
          <w:lang w:val="tr-TR"/>
        </w:rPr>
        <w:t xml:space="preserve">Ayrıca, 2008 tarihli değişiklikler ile </w:t>
      </w:r>
      <w:r w:rsidR="0059364B" w:rsidRPr="008F1795">
        <w:rPr>
          <w:lang w:val="tr-TR"/>
        </w:rPr>
        <w:t xml:space="preserve">301. </w:t>
      </w:r>
      <w:r w:rsidR="00241305" w:rsidRPr="008F1795">
        <w:rPr>
          <w:lang w:val="tr-TR"/>
        </w:rPr>
        <w:t>Madde</w:t>
      </w:r>
      <w:r w:rsidR="0059364B" w:rsidRPr="008F1795">
        <w:rPr>
          <w:lang w:val="tr-TR"/>
        </w:rPr>
        <w:t xml:space="preserve">nin ilk </w:t>
      </w:r>
      <w:r w:rsidR="00EC6225" w:rsidRPr="008F1795">
        <w:rPr>
          <w:lang w:val="tr-TR"/>
        </w:rPr>
        <w:t>fıkra</w:t>
      </w:r>
      <w:r w:rsidR="0059364B" w:rsidRPr="008F1795">
        <w:rPr>
          <w:lang w:val="tr-TR"/>
        </w:rPr>
        <w:t>sında azami üç yıl ola</w:t>
      </w:r>
      <w:r w:rsidR="007077E9" w:rsidRPr="008F1795">
        <w:rPr>
          <w:lang w:val="tr-TR"/>
        </w:rPr>
        <w:t>rak belirtilen</w:t>
      </w:r>
      <w:r w:rsidR="0059364B" w:rsidRPr="008F1795">
        <w:rPr>
          <w:lang w:val="tr-TR"/>
        </w:rPr>
        <w:t xml:space="preserve"> hapis cezası iki yıla indirilmiştir. </w:t>
      </w:r>
      <w:r w:rsidR="00E07E6F" w:rsidRPr="008F1795">
        <w:rPr>
          <w:lang w:val="tr-TR"/>
        </w:rPr>
        <w:t xml:space="preserve">301. </w:t>
      </w:r>
      <w:r w:rsidR="00241305" w:rsidRPr="008F1795">
        <w:rPr>
          <w:lang w:val="tr-TR"/>
        </w:rPr>
        <w:t>Madde</w:t>
      </w:r>
      <w:r w:rsidR="00E07E6F" w:rsidRPr="008F1795">
        <w:rPr>
          <w:lang w:val="tr-TR"/>
        </w:rPr>
        <w:t xml:space="preserve">nin eski </w:t>
      </w:r>
      <w:r w:rsidR="00F914A7">
        <w:rPr>
          <w:lang w:val="tr-TR"/>
        </w:rPr>
        <w:t>halinde</w:t>
      </w:r>
      <w:r w:rsidR="00E07E6F" w:rsidRPr="008F1795">
        <w:rPr>
          <w:lang w:val="tr-TR"/>
        </w:rPr>
        <w:t xml:space="preserve"> </w:t>
      </w:r>
      <w:r w:rsidR="00991579" w:rsidRPr="008F1795">
        <w:rPr>
          <w:lang w:val="tr-TR"/>
        </w:rPr>
        <w:t>“</w:t>
      </w:r>
      <w:r w:rsidR="00985F44" w:rsidRPr="008F1795">
        <w:rPr>
          <w:i/>
          <w:iCs/>
          <w:lang w:val="tr-TR"/>
        </w:rPr>
        <w:t>Türklüğe hakaret suçu başka bir ülkede yaşayan bir Türk vatandaşı tarafından işlenmiş ise</w:t>
      </w:r>
      <w:r w:rsidR="00973525" w:rsidRPr="008F1795">
        <w:rPr>
          <w:i/>
          <w:iCs/>
          <w:lang w:val="tr-TR"/>
        </w:rPr>
        <w:t>, ceza üçte bir oranında artırılır</w:t>
      </w:r>
      <w:r w:rsidR="00973525" w:rsidRPr="008F1795">
        <w:rPr>
          <w:lang w:val="tr-TR"/>
        </w:rPr>
        <w:t xml:space="preserve">” </w:t>
      </w:r>
      <w:r w:rsidR="00B21819" w:rsidRPr="008F1795">
        <w:rPr>
          <w:lang w:val="tr-TR"/>
        </w:rPr>
        <w:t>hükmünü içeren</w:t>
      </w:r>
      <w:r w:rsidR="00E07E6F" w:rsidRPr="008F1795">
        <w:rPr>
          <w:lang w:val="tr-TR"/>
        </w:rPr>
        <w:t xml:space="preserve"> </w:t>
      </w:r>
      <w:r w:rsidR="00991579" w:rsidRPr="008F1795">
        <w:rPr>
          <w:lang w:val="tr-TR"/>
        </w:rPr>
        <w:t xml:space="preserve">3. </w:t>
      </w:r>
      <w:r w:rsidR="004549FC">
        <w:rPr>
          <w:lang w:val="tr-TR"/>
        </w:rPr>
        <w:t>f</w:t>
      </w:r>
      <w:r w:rsidR="00EC6225" w:rsidRPr="008F1795">
        <w:rPr>
          <w:lang w:val="tr-TR"/>
        </w:rPr>
        <w:t>ıkra</w:t>
      </w:r>
      <w:r w:rsidR="00B21819" w:rsidRPr="008F1795">
        <w:rPr>
          <w:lang w:val="tr-TR"/>
        </w:rPr>
        <w:t xml:space="preserve"> da</w:t>
      </w:r>
      <w:r w:rsidR="00991579" w:rsidRPr="008F1795">
        <w:rPr>
          <w:lang w:val="tr-TR"/>
        </w:rPr>
        <w:t xml:space="preserve"> kaldırılmıştır. </w:t>
      </w:r>
      <w:r w:rsidR="004F69F5" w:rsidRPr="008F1795">
        <w:rPr>
          <w:lang w:val="tr-TR"/>
        </w:rPr>
        <w:t xml:space="preserve">301. </w:t>
      </w:r>
      <w:r w:rsidR="00241305" w:rsidRPr="008F1795">
        <w:rPr>
          <w:lang w:val="tr-TR"/>
        </w:rPr>
        <w:t>Madde</w:t>
      </w:r>
      <w:r w:rsidR="004F69F5" w:rsidRPr="008F1795">
        <w:rPr>
          <w:lang w:val="tr-TR"/>
        </w:rPr>
        <w:t>nin eski halinde</w:t>
      </w:r>
      <w:r w:rsidR="00D27239" w:rsidRPr="008F1795">
        <w:rPr>
          <w:lang w:val="tr-TR"/>
        </w:rPr>
        <w:t xml:space="preserve"> “</w:t>
      </w:r>
      <w:r w:rsidR="0013751D" w:rsidRPr="008F1795">
        <w:rPr>
          <w:i/>
          <w:iCs/>
          <w:lang w:val="tr-TR"/>
        </w:rPr>
        <w:t>Eleştiri amacıyla yapılan düşünce açıklamaları suç oluşturmaz</w:t>
      </w:r>
      <w:r w:rsidR="0013751D" w:rsidRPr="008F1795">
        <w:rPr>
          <w:lang w:val="tr-TR"/>
        </w:rPr>
        <w:t>” hükmünü içeren</w:t>
      </w:r>
      <w:r w:rsidR="00D27239" w:rsidRPr="008F1795">
        <w:rPr>
          <w:lang w:val="tr-TR"/>
        </w:rPr>
        <w:t xml:space="preserve"> 4. </w:t>
      </w:r>
      <w:r w:rsidR="004549FC">
        <w:rPr>
          <w:lang w:val="tr-TR"/>
        </w:rPr>
        <w:t>f</w:t>
      </w:r>
      <w:r w:rsidR="00EC6225" w:rsidRPr="008F1795">
        <w:rPr>
          <w:lang w:val="tr-TR"/>
        </w:rPr>
        <w:t>ıkra</w:t>
      </w:r>
      <w:r w:rsidR="0013751D" w:rsidRPr="008F1795">
        <w:rPr>
          <w:lang w:val="tr-TR"/>
        </w:rPr>
        <w:t xml:space="preserve"> ise</w:t>
      </w:r>
      <w:r w:rsidR="00E122C7" w:rsidRPr="008F1795">
        <w:rPr>
          <w:lang w:val="tr-TR"/>
        </w:rPr>
        <w:t xml:space="preserve"> güncel 301. </w:t>
      </w:r>
      <w:r w:rsidR="00241305" w:rsidRPr="008F1795">
        <w:rPr>
          <w:lang w:val="tr-TR"/>
        </w:rPr>
        <w:t>Madde</w:t>
      </w:r>
      <w:r w:rsidR="00E122C7" w:rsidRPr="008F1795">
        <w:rPr>
          <w:lang w:val="tr-TR"/>
        </w:rPr>
        <w:t xml:space="preserve">nin 3. </w:t>
      </w:r>
      <w:r w:rsidR="004549FC">
        <w:rPr>
          <w:lang w:val="tr-TR"/>
        </w:rPr>
        <w:t>f</w:t>
      </w:r>
      <w:r w:rsidR="00EC6225" w:rsidRPr="008F1795">
        <w:rPr>
          <w:lang w:val="tr-TR"/>
        </w:rPr>
        <w:t>ıkra</w:t>
      </w:r>
      <w:r w:rsidR="00E122C7" w:rsidRPr="008F1795">
        <w:rPr>
          <w:lang w:val="tr-TR"/>
        </w:rPr>
        <w:t xml:space="preserve">sı olarak muhafaza edilmiştir. </w:t>
      </w:r>
    </w:p>
    <w:p w14:paraId="48A69B3C" w14:textId="77777777" w:rsidR="00D047AE" w:rsidRPr="008F1795" w:rsidRDefault="00D047AE" w:rsidP="00D047AE">
      <w:pPr>
        <w:pStyle w:val="ListeParagraf"/>
        <w:tabs>
          <w:tab w:val="left" w:pos="648"/>
        </w:tabs>
        <w:rPr>
          <w:lang w:val="tr-TR"/>
        </w:rPr>
      </w:pPr>
    </w:p>
    <w:p w14:paraId="7CA56B8D" w14:textId="54761A27" w:rsidR="00E122C7" w:rsidRPr="008F1795" w:rsidRDefault="00E122C7">
      <w:pPr>
        <w:pStyle w:val="ListeParagraf"/>
        <w:numPr>
          <w:ilvl w:val="0"/>
          <w:numId w:val="3"/>
        </w:numPr>
        <w:tabs>
          <w:tab w:val="left" w:pos="679"/>
        </w:tabs>
        <w:ind w:right="216" w:firstLine="0"/>
        <w:rPr>
          <w:lang w:val="tr-TR"/>
        </w:rPr>
      </w:pPr>
      <w:r w:rsidRPr="008F1795">
        <w:rPr>
          <w:lang w:val="tr-TR"/>
        </w:rPr>
        <w:t>Türk Hükümetinin AİHM’ne 2008 yılında ilettiği verilere göre</w:t>
      </w:r>
      <w:r w:rsidR="00FA7161" w:rsidRPr="008F1795">
        <w:rPr>
          <w:rStyle w:val="DipnotBavurusu"/>
          <w:lang w:val="tr-TR"/>
        </w:rPr>
        <w:footnoteReference w:id="103"/>
      </w:r>
      <w:r w:rsidRPr="008F1795">
        <w:rPr>
          <w:lang w:val="tr-TR"/>
        </w:rPr>
        <w:t xml:space="preserve">, </w:t>
      </w:r>
      <w:r w:rsidR="00036ED4" w:rsidRPr="008F1795">
        <w:rPr>
          <w:lang w:val="tr-TR"/>
        </w:rPr>
        <w:t xml:space="preserve">2003 ve 2007 yılları arasında 301. </w:t>
      </w:r>
      <w:r w:rsidR="00241305" w:rsidRPr="008F1795">
        <w:rPr>
          <w:lang w:val="tr-TR"/>
        </w:rPr>
        <w:t>Madde</w:t>
      </w:r>
      <w:r w:rsidR="00036ED4" w:rsidRPr="008F1795">
        <w:rPr>
          <w:lang w:val="tr-TR"/>
        </w:rPr>
        <w:t xml:space="preserve"> </w:t>
      </w:r>
      <w:r w:rsidR="00D05482" w:rsidRPr="008F1795">
        <w:rPr>
          <w:lang w:val="tr-TR"/>
        </w:rPr>
        <w:t xml:space="preserve">(ya da 159(1). </w:t>
      </w:r>
      <w:r w:rsidR="00241305" w:rsidRPr="008F1795">
        <w:rPr>
          <w:lang w:val="tr-TR"/>
        </w:rPr>
        <w:t>Madde</w:t>
      </w:r>
      <w:r w:rsidR="00D05482" w:rsidRPr="008F1795">
        <w:rPr>
          <w:lang w:val="tr-TR"/>
        </w:rPr>
        <w:t xml:space="preserve">) </w:t>
      </w:r>
      <w:r w:rsidR="00036ED4" w:rsidRPr="008F1795">
        <w:rPr>
          <w:lang w:val="tr-TR"/>
        </w:rPr>
        <w:t xml:space="preserve">uyarınca yürütülen ceza davalarının sayısı 1,894’tür. </w:t>
      </w:r>
      <w:r w:rsidR="00D05482" w:rsidRPr="008F1795">
        <w:rPr>
          <w:lang w:val="tr-TR"/>
        </w:rPr>
        <w:t>Bu davalardan 744’ü hüküm</w:t>
      </w:r>
      <w:r w:rsidR="00B53CC7" w:rsidRPr="008F1795">
        <w:rPr>
          <w:lang w:val="tr-TR"/>
        </w:rPr>
        <w:t>le, 1,142’si beraat ile sonuçlanmıştır; 193 dava ise, ilk derece mahkemelerinin kararlarını boz</w:t>
      </w:r>
      <w:r w:rsidR="00485061" w:rsidRPr="008F1795">
        <w:rPr>
          <w:lang w:val="tr-TR"/>
        </w:rPr>
        <w:t xml:space="preserve">an Yargıtay kararları sonrasında derdest durumdadır. Hükümet ayrıca, 2008’de yapılan değişiklikler sonrasında </w:t>
      </w:r>
      <w:r w:rsidR="0035007D" w:rsidRPr="008F1795">
        <w:rPr>
          <w:lang w:val="tr-TR"/>
        </w:rPr>
        <w:t xml:space="preserve">301. </w:t>
      </w:r>
      <w:r w:rsidR="00241305" w:rsidRPr="008F1795">
        <w:rPr>
          <w:lang w:val="tr-TR"/>
        </w:rPr>
        <w:t>Madde</w:t>
      </w:r>
      <w:r w:rsidR="0035007D" w:rsidRPr="008F1795">
        <w:rPr>
          <w:lang w:val="tr-TR"/>
        </w:rPr>
        <w:t xml:space="preserve"> uyarınca yapılan kovuşturmalarda kayda değer bir azalma olduğunu bildirmiştir. </w:t>
      </w:r>
    </w:p>
    <w:p w14:paraId="5774C7EF" w14:textId="77777777" w:rsidR="00E122C7" w:rsidRPr="008F1795" w:rsidRDefault="00E122C7" w:rsidP="00E122C7">
      <w:pPr>
        <w:pStyle w:val="ListeParagraf"/>
        <w:tabs>
          <w:tab w:val="left" w:pos="679"/>
        </w:tabs>
        <w:ind w:right="216"/>
        <w:rPr>
          <w:lang w:val="tr-TR"/>
        </w:rPr>
      </w:pPr>
    </w:p>
    <w:p w14:paraId="5471039B" w14:textId="177A4520" w:rsidR="00027D14" w:rsidRPr="008F1795" w:rsidRDefault="00A751E4">
      <w:pPr>
        <w:pStyle w:val="ListeParagraf"/>
        <w:numPr>
          <w:ilvl w:val="0"/>
          <w:numId w:val="3"/>
        </w:numPr>
        <w:tabs>
          <w:tab w:val="left" w:pos="703"/>
        </w:tabs>
        <w:spacing w:before="94"/>
        <w:ind w:right="212" w:firstLine="0"/>
        <w:rPr>
          <w:lang w:val="tr-TR"/>
        </w:rPr>
      </w:pPr>
      <w:r w:rsidRPr="008F1795">
        <w:rPr>
          <w:lang w:val="tr-TR"/>
        </w:rPr>
        <w:t xml:space="preserve">AİHM’ne </w:t>
      </w:r>
      <w:r w:rsidR="00100893" w:rsidRPr="008F1795">
        <w:rPr>
          <w:lang w:val="tr-TR"/>
        </w:rPr>
        <w:t>30 Ekim 2009’da iletilen tamamlayıcı gözlemler</w:t>
      </w:r>
      <w:r w:rsidR="00572053" w:rsidRPr="008F1795">
        <w:rPr>
          <w:lang w:val="tr-TR"/>
        </w:rPr>
        <w:t>de Hükümet, 8 Mayıs 2008 ile 30 Eylü</w:t>
      </w:r>
      <w:r w:rsidR="00757D87" w:rsidRPr="008F1795">
        <w:rPr>
          <w:lang w:val="tr-TR"/>
        </w:rPr>
        <w:t>l</w:t>
      </w:r>
      <w:r w:rsidR="00572053" w:rsidRPr="008F1795">
        <w:rPr>
          <w:lang w:val="tr-TR"/>
        </w:rPr>
        <w:t xml:space="preserve"> 2009 arasında Adalet Bakanlığına </w:t>
      </w:r>
      <w:r w:rsidR="008A740E" w:rsidRPr="008F1795">
        <w:rPr>
          <w:lang w:val="tr-TR"/>
        </w:rPr>
        <w:t xml:space="preserve">301. </w:t>
      </w:r>
      <w:r w:rsidR="00241305" w:rsidRPr="008F1795">
        <w:rPr>
          <w:lang w:val="tr-TR"/>
        </w:rPr>
        <w:t>Madde</w:t>
      </w:r>
      <w:r w:rsidR="008A740E" w:rsidRPr="008F1795">
        <w:rPr>
          <w:lang w:val="tr-TR"/>
        </w:rPr>
        <w:t xml:space="preserve"> uyarınca ceza</w:t>
      </w:r>
      <w:r w:rsidR="00757D87" w:rsidRPr="008F1795">
        <w:rPr>
          <w:lang w:val="tr-TR"/>
        </w:rPr>
        <w:t xml:space="preserve"> kovuşturması </w:t>
      </w:r>
      <w:r w:rsidR="008A740E" w:rsidRPr="008F1795">
        <w:rPr>
          <w:lang w:val="tr-TR"/>
        </w:rPr>
        <w:t>yapma</w:t>
      </w:r>
      <w:r w:rsidR="00757D87" w:rsidRPr="008F1795">
        <w:rPr>
          <w:lang w:val="tr-TR"/>
        </w:rPr>
        <w:t xml:space="preserve">k için </w:t>
      </w:r>
      <w:r w:rsidR="00355862" w:rsidRPr="008F1795">
        <w:rPr>
          <w:lang w:val="tr-TR"/>
        </w:rPr>
        <w:t xml:space="preserve">955 </w:t>
      </w:r>
      <w:r w:rsidR="00757D87" w:rsidRPr="008F1795">
        <w:rPr>
          <w:lang w:val="tr-TR"/>
        </w:rPr>
        <w:t>izin</w:t>
      </w:r>
      <w:r w:rsidR="008A740E" w:rsidRPr="008F1795">
        <w:rPr>
          <w:lang w:val="tr-TR"/>
        </w:rPr>
        <w:t xml:space="preserve"> </w:t>
      </w:r>
      <w:r w:rsidR="00757D87" w:rsidRPr="008F1795">
        <w:rPr>
          <w:lang w:val="tr-TR"/>
        </w:rPr>
        <w:t>talebi</w:t>
      </w:r>
      <w:r w:rsidR="00355862" w:rsidRPr="008F1795">
        <w:rPr>
          <w:lang w:val="tr-TR"/>
        </w:rPr>
        <w:t xml:space="preserve"> gönderildiğini belirtmiştir. Bakanlık bu taleplerin 878’ini reddetmiş, ama 77’sine izin vermiştir. Hükümet ayrıca, </w:t>
      </w:r>
      <w:r w:rsidR="00D15FAB" w:rsidRPr="008F1795">
        <w:rPr>
          <w:lang w:val="tr-TR"/>
        </w:rPr>
        <w:t xml:space="preserve">Bakanlığın kovuşturma izni vermediği </w:t>
      </w:r>
      <w:r w:rsidR="00B04363" w:rsidRPr="008F1795">
        <w:rPr>
          <w:lang w:val="tr-TR"/>
        </w:rPr>
        <w:t>244 tale</w:t>
      </w:r>
      <w:r w:rsidR="000B2A48" w:rsidRPr="008F1795">
        <w:rPr>
          <w:lang w:val="tr-TR"/>
        </w:rPr>
        <w:t>pte yapılan</w:t>
      </w:r>
      <w:r w:rsidR="00B04363" w:rsidRPr="008F1795">
        <w:rPr>
          <w:lang w:val="tr-TR"/>
        </w:rPr>
        <w:t xml:space="preserve"> </w:t>
      </w:r>
      <w:r w:rsidR="000B2A48" w:rsidRPr="008F1795">
        <w:rPr>
          <w:lang w:val="tr-TR"/>
        </w:rPr>
        <w:t>suç duyurularının</w:t>
      </w:r>
      <w:r w:rsidR="00D15FAB" w:rsidRPr="008F1795">
        <w:rPr>
          <w:lang w:val="tr-TR"/>
        </w:rPr>
        <w:t xml:space="preserve"> genellikle basın yayınları ile ilgili olduğunu bildirmiştir. </w:t>
      </w:r>
      <w:r w:rsidR="00A33514" w:rsidRPr="008F1795">
        <w:rPr>
          <w:lang w:val="tr-TR"/>
        </w:rPr>
        <w:t xml:space="preserve">2009 sonrası dönem için benzer veriler bulunmamaktadır. 301. </w:t>
      </w:r>
      <w:r w:rsidR="00241305" w:rsidRPr="008F1795">
        <w:rPr>
          <w:lang w:val="tr-TR"/>
        </w:rPr>
        <w:t>Madde</w:t>
      </w:r>
      <w:r w:rsidR="00A33514" w:rsidRPr="008F1795">
        <w:rPr>
          <w:lang w:val="tr-TR"/>
        </w:rPr>
        <w:t xml:space="preserve">nin </w:t>
      </w:r>
      <w:r w:rsidR="00BD26C1" w:rsidRPr="008F1795">
        <w:rPr>
          <w:lang w:val="tr-TR"/>
        </w:rPr>
        <w:t>(</w:t>
      </w:r>
      <w:r w:rsidR="00B15DF3" w:rsidRPr="008F1795">
        <w:rPr>
          <w:lang w:val="tr-TR"/>
        </w:rPr>
        <w:t xml:space="preserve">yerini </w:t>
      </w:r>
      <w:r w:rsidR="00BD26C1" w:rsidRPr="008F1795">
        <w:rPr>
          <w:lang w:val="tr-TR"/>
        </w:rPr>
        <w:t xml:space="preserve">216(3) ve 299. </w:t>
      </w:r>
      <w:r w:rsidR="00241305" w:rsidRPr="008F1795">
        <w:rPr>
          <w:lang w:val="tr-TR"/>
        </w:rPr>
        <w:t>Madde</w:t>
      </w:r>
      <w:r w:rsidR="00BD26C1" w:rsidRPr="008F1795">
        <w:rPr>
          <w:lang w:val="tr-TR"/>
        </w:rPr>
        <w:t>ler</w:t>
      </w:r>
      <w:r w:rsidR="00465850" w:rsidRPr="008F1795">
        <w:rPr>
          <w:lang w:val="tr-TR"/>
        </w:rPr>
        <w:t xml:space="preserve"> </w:t>
      </w:r>
      <w:r w:rsidR="00B15DF3" w:rsidRPr="008F1795">
        <w:rPr>
          <w:lang w:val="tr-TR"/>
        </w:rPr>
        <w:t>almıştır</w:t>
      </w:r>
      <w:r w:rsidR="00BD26C1" w:rsidRPr="008F1795">
        <w:rPr>
          <w:lang w:val="tr-TR"/>
        </w:rPr>
        <w:t xml:space="preserve">) </w:t>
      </w:r>
      <w:r w:rsidR="00A33514" w:rsidRPr="008F1795">
        <w:rPr>
          <w:lang w:val="tr-TR"/>
        </w:rPr>
        <w:t xml:space="preserve">kullanımında belirgin bir </w:t>
      </w:r>
      <w:r w:rsidR="001324D3" w:rsidRPr="008F1795">
        <w:rPr>
          <w:lang w:val="tr-TR"/>
        </w:rPr>
        <w:t xml:space="preserve">azalma olduğu bildirilmektedir, ancak bu hüküm hala </w:t>
      </w:r>
      <w:r w:rsidR="00BD26C1" w:rsidRPr="008F1795">
        <w:rPr>
          <w:lang w:val="tr-TR"/>
        </w:rPr>
        <w:t xml:space="preserve">bazen kullanılmaktadır. </w:t>
      </w:r>
    </w:p>
    <w:p w14:paraId="5FF75731" w14:textId="77777777" w:rsidR="00B15DF3" w:rsidRPr="008F1795" w:rsidRDefault="00B15DF3" w:rsidP="00027D14">
      <w:pPr>
        <w:pStyle w:val="ListeParagraf"/>
        <w:tabs>
          <w:tab w:val="left" w:pos="703"/>
        </w:tabs>
        <w:spacing w:before="94"/>
        <w:ind w:right="212"/>
        <w:rPr>
          <w:lang w:val="tr-TR"/>
        </w:rPr>
      </w:pPr>
    </w:p>
    <w:p w14:paraId="510F6024" w14:textId="39F9A695" w:rsidR="00B15DF3" w:rsidRPr="008F1795" w:rsidRDefault="00B15DF3">
      <w:pPr>
        <w:pStyle w:val="ListeParagraf"/>
        <w:numPr>
          <w:ilvl w:val="0"/>
          <w:numId w:val="2"/>
        </w:numPr>
        <w:tabs>
          <w:tab w:val="left" w:pos="655"/>
        </w:tabs>
        <w:ind w:right="215" w:firstLine="0"/>
        <w:rPr>
          <w:lang w:val="tr-TR"/>
        </w:rPr>
      </w:pPr>
      <w:r w:rsidRPr="008F1795">
        <w:rPr>
          <w:lang w:val="tr-TR"/>
        </w:rPr>
        <w:t xml:space="preserve">2005 yılında </w:t>
      </w:r>
      <w:r w:rsidR="00E222DD" w:rsidRPr="008F1795">
        <w:rPr>
          <w:lang w:val="tr-TR"/>
        </w:rPr>
        <w:t xml:space="preserve">Nobel Ödülünü alan (2006) ilk Türk ve ünlü yazar </w:t>
      </w:r>
      <w:r w:rsidRPr="008F1795">
        <w:rPr>
          <w:lang w:val="tr-TR"/>
        </w:rPr>
        <w:t xml:space="preserve">Orhan Pamuk, </w:t>
      </w:r>
      <w:proofErr w:type="spellStart"/>
      <w:r w:rsidR="00E222DD" w:rsidRPr="008F1795">
        <w:rPr>
          <w:i/>
          <w:lang w:val="tr-TR"/>
        </w:rPr>
        <w:t>Tages</w:t>
      </w:r>
      <w:proofErr w:type="spellEnd"/>
      <w:r w:rsidR="00E222DD" w:rsidRPr="008F1795">
        <w:rPr>
          <w:i/>
          <w:lang w:val="tr-TR"/>
        </w:rPr>
        <w:t xml:space="preserve"> </w:t>
      </w:r>
      <w:proofErr w:type="spellStart"/>
      <w:r w:rsidR="00E222DD" w:rsidRPr="008F1795">
        <w:rPr>
          <w:i/>
          <w:lang w:val="tr-TR"/>
        </w:rPr>
        <w:t>Anzeiger</w:t>
      </w:r>
      <w:proofErr w:type="spellEnd"/>
      <w:r w:rsidR="00E222DD" w:rsidRPr="008F1795">
        <w:rPr>
          <w:lang w:val="tr-TR"/>
        </w:rPr>
        <w:t xml:space="preserve"> adlı İsviçre gazetesine verdiği </w:t>
      </w:r>
      <w:r w:rsidR="00E97C71" w:rsidRPr="008F1795">
        <w:rPr>
          <w:lang w:val="tr-TR"/>
        </w:rPr>
        <w:t xml:space="preserve">röportajda </w:t>
      </w:r>
      <w:r w:rsidR="002B7155" w:rsidRPr="008F1795">
        <w:rPr>
          <w:lang w:val="tr-TR"/>
        </w:rPr>
        <w:t>“</w:t>
      </w:r>
      <w:r w:rsidR="002B7155" w:rsidRPr="008F1795">
        <w:rPr>
          <w:i/>
          <w:iCs/>
          <w:lang w:val="tr-TR"/>
        </w:rPr>
        <w:t>Bu topraklarda otuz</w:t>
      </w:r>
      <w:r w:rsidR="00143C8E">
        <w:rPr>
          <w:i/>
          <w:iCs/>
          <w:lang w:val="tr-TR"/>
        </w:rPr>
        <w:t xml:space="preserve"> </w:t>
      </w:r>
      <w:r w:rsidR="002B7155" w:rsidRPr="008F1795">
        <w:rPr>
          <w:i/>
          <w:iCs/>
          <w:lang w:val="tr-TR"/>
        </w:rPr>
        <w:t>bin Kürt ve bir milyon Ermeni öldürüldü ve benden başka hiç kimse cesaret edip konuşamıyor</w:t>
      </w:r>
      <w:r w:rsidR="002B7155" w:rsidRPr="008F1795">
        <w:rPr>
          <w:lang w:val="tr-TR"/>
        </w:rPr>
        <w:t xml:space="preserve">” dedikten </w:t>
      </w:r>
      <w:r w:rsidR="00E97C71" w:rsidRPr="008F1795">
        <w:rPr>
          <w:lang w:val="tr-TR"/>
        </w:rPr>
        <w:t xml:space="preserve">sonra </w:t>
      </w:r>
      <w:r w:rsidR="002B7155" w:rsidRPr="008F1795">
        <w:rPr>
          <w:lang w:val="tr-TR"/>
        </w:rPr>
        <w:t xml:space="preserve">hakkında </w:t>
      </w:r>
      <w:r w:rsidR="00E97C71" w:rsidRPr="008F1795">
        <w:rPr>
          <w:lang w:val="tr-TR"/>
        </w:rPr>
        <w:t xml:space="preserve">301. </w:t>
      </w:r>
      <w:r w:rsidR="00241305" w:rsidRPr="008F1795">
        <w:rPr>
          <w:lang w:val="tr-TR"/>
        </w:rPr>
        <w:t>Madde</w:t>
      </w:r>
      <w:r w:rsidR="00E97C71" w:rsidRPr="008F1795">
        <w:rPr>
          <w:lang w:val="tr-TR"/>
        </w:rPr>
        <w:t xml:space="preserve"> temelinde </w:t>
      </w:r>
      <w:r w:rsidR="009B584E" w:rsidRPr="008F1795">
        <w:rPr>
          <w:lang w:val="tr-TR"/>
        </w:rPr>
        <w:t xml:space="preserve">suç duyurusu yapılmıştır. </w:t>
      </w:r>
      <w:r w:rsidR="003F0EF4" w:rsidRPr="008F1795">
        <w:rPr>
          <w:lang w:val="tr-TR"/>
        </w:rPr>
        <w:t xml:space="preserve">Bu dava Uluslararası Af Örgütü ve PEN Amerika Merkezi gibi </w:t>
      </w:r>
      <w:r w:rsidR="00B9636D" w:rsidRPr="008F1795">
        <w:rPr>
          <w:lang w:val="tr-TR"/>
        </w:rPr>
        <w:t xml:space="preserve">uluslararası </w:t>
      </w:r>
      <w:r w:rsidR="003F0EF4" w:rsidRPr="008F1795">
        <w:rPr>
          <w:lang w:val="tr-TR"/>
        </w:rPr>
        <w:t>ST</w:t>
      </w:r>
      <w:r w:rsidR="007E7C7B">
        <w:rPr>
          <w:lang w:val="tr-TR"/>
        </w:rPr>
        <w:t>Ö</w:t>
      </w:r>
      <w:r w:rsidR="003F0EF4" w:rsidRPr="008F1795">
        <w:rPr>
          <w:lang w:val="tr-TR"/>
        </w:rPr>
        <w:t>’l</w:t>
      </w:r>
      <w:r w:rsidR="007E7C7B">
        <w:rPr>
          <w:lang w:val="tr-TR"/>
        </w:rPr>
        <w:t>erin</w:t>
      </w:r>
      <w:r w:rsidR="00B70B49" w:rsidRPr="008F1795">
        <w:rPr>
          <w:lang w:val="tr-TR"/>
        </w:rPr>
        <w:t xml:space="preserve"> tepkisini çekmiştir. Ocak 2006’da</w:t>
      </w:r>
      <w:r w:rsidR="00F14BC0" w:rsidRPr="008F1795">
        <w:rPr>
          <w:lang w:val="tr-TR"/>
        </w:rPr>
        <w:t xml:space="preserve"> Adalet Bakanlığından dava açma</w:t>
      </w:r>
      <w:r w:rsidR="000433F5" w:rsidRPr="008F1795">
        <w:rPr>
          <w:lang w:val="tr-TR"/>
        </w:rPr>
        <w:t xml:space="preserve">k için gerekli </w:t>
      </w:r>
      <w:r w:rsidR="004517B1" w:rsidRPr="008F1795">
        <w:rPr>
          <w:lang w:val="tr-TR"/>
        </w:rPr>
        <w:t>izin</w:t>
      </w:r>
      <w:r w:rsidR="00F14BC0" w:rsidRPr="008F1795">
        <w:rPr>
          <w:lang w:val="tr-TR"/>
        </w:rPr>
        <w:t xml:space="preserve"> </w:t>
      </w:r>
      <w:r w:rsidR="004517B1" w:rsidRPr="008F1795">
        <w:rPr>
          <w:lang w:val="tr-TR"/>
        </w:rPr>
        <w:t>alınmadığı gerekçesiyle</w:t>
      </w:r>
      <w:r w:rsidR="00CB2241" w:rsidRPr="008F1795">
        <w:rPr>
          <w:lang w:val="tr-TR"/>
        </w:rPr>
        <w:t xml:space="preserve"> </w:t>
      </w:r>
      <w:r w:rsidR="00BB4031" w:rsidRPr="008F1795">
        <w:rPr>
          <w:lang w:val="tr-TR"/>
        </w:rPr>
        <w:t>Pamuk’a yönelik suçlama</w:t>
      </w:r>
      <w:r w:rsidR="004517B1" w:rsidRPr="008F1795">
        <w:rPr>
          <w:lang w:val="tr-TR"/>
        </w:rPr>
        <w:t>lar</w:t>
      </w:r>
      <w:r w:rsidR="00CB2241" w:rsidRPr="008F1795">
        <w:rPr>
          <w:lang w:val="tr-TR"/>
        </w:rPr>
        <w:t xml:space="preserve"> </w:t>
      </w:r>
      <w:r w:rsidR="004517B1" w:rsidRPr="008F1795">
        <w:rPr>
          <w:lang w:val="tr-TR"/>
        </w:rPr>
        <w:t>düşürü</w:t>
      </w:r>
      <w:r w:rsidR="00662C4E" w:rsidRPr="008F1795">
        <w:rPr>
          <w:lang w:val="tr-TR"/>
        </w:rPr>
        <w:t>l</w:t>
      </w:r>
      <w:r w:rsidR="004517B1" w:rsidRPr="008F1795">
        <w:rPr>
          <w:lang w:val="tr-TR"/>
        </w:rPr>
        <w:t>müştür</w:t>
      </w:r>
      <w:r w:rsidR="00CB2241" w:rsidRPr="008F1795">
        <w:rPr>
          <w:lang w:val="tr-TR"/>
        </w:rPr>
        <w:t>.</w:t>
      </w:r>
      <w:r w:rsidR="00CB2241" w:rsidRPr="008F1795">
        <w:rPr>
          <w:rStyle w:val="DipnotBavurusu"/>
          <w:lang w:val="tr-TR"/>
        </w:rPr>
        <w:footnoteReference w:id="104"/>
      </w:r>
      <w:r w:rsidR="00CB2241" w:rsidRPr="008F1795">
        <w:rPr>
          <w:lang w:val="tr-TR"/>
        </w:rPr>
        <w:t xml:space="preserve"> </w:t>
      </w:r>
    </w:p>
    <w:p w14:paraId="47C58EB6" w14:textId="77777777" w:rsidR="00B15DF3" w:rsidRPr="008F1795" w:rsidRDefault="00B15DF3" w:rsidP="00B15DF3">
      <w:pPr>
        <w:pStyle w:val="ListeParagraf"/>
        <w:tabs>
          <w:tab w:val="left" w:pos="655"/>
        </w:tabs>
        <w:ind w:right="215"/>
        <w:rPr>
          <w:lang w:val="tr-TR"/>
        </w:rPr>
      </w:pPr>
    </w:p>
    <w:p w14:paraId="6813D767" w14:textId="230B3A20" w:rsidR="003C7B02" w:rsidRPr="008F1795" w:rsidRDefault="00177556">
      <w:pPr>
        <w:pStyle w:val="ListeParagraf"/>
        <w:numPr>
          <w:ilvl w:val="0"/>
          <w:numId w:val="2"/>
        </w:numPr>
        <w:tabs>
          <w:tab w:val="left" w:pos="631"/>
        </w:tabs>
        <w:ind w:firstLine="0"/>
        <w:rPr>
          <w:lang w:val="tr-TR"/>
        </w:rPr>
      </w:pPr>
      <w:r w:rsidRPr="008F1795">
        <w:rPr>
          <w:lang w:val="tr-TR"/>
        </w:rPr>
        <w:t xml:space="preserve">Bir diğer iyi bilinen yargılama </w:t>
      </w:r>
      <w:r w:rsidR="004670B9" w:rsidRPr="008F1795">
        <w:rPr>
          <w:lang w:val="tr-TR"/>
        </w:rPr>
        <w:t>süreci de Ermeni Türk gazeteci Fırat (</w:t>
      </w:r>
      <w:proofErr w:type="spellStart"/>
      <w:r w:rsidR="004670B9" w:rsidRPr="008F1795">
        <w:rPr>
          <w:lang w:val="tr-TR"/>
        </w:rPr>
        <w:t>Hrant</w:t>
      </w:r>
      <w:proofErr w:type="spellEnd"/>
      <w:r w:rsidR="004670B9" w:rsidRPr="008F1795">
        <w:rPr>
          <w:lang w:val="tr-TR"/>
        </w:rPr>
        <w:t>) Dink</w:t>
      </w:r>
      <w:r w:rsidR="008D5C21" w:rsidRPr="008F1795">
        <w:rPr>
          <w:lang w:val="tr-TR"/>
        </w:rPr>
        <w:t xml:space="preserve"> hakkındaki kovuşturmadır. </w:t>
      </w:r>
      <w:r w:rsidR="004C3337" w:rsidRPr="008F1795">
        <w:rPr>
          <w:lang w:val="tr-TR"/>
        </w:rPr>
        <w:t xml:space="preserve">2003 ve 2004 yıllarında </w:t>
      </w:r>
      <w:r w:rsidR="00504793" w:rsidRPr="008F1795">
        <w:rPr>
          <w:lang w:val="tr-TR"/>
        </w:rPr>
        <w:t xml:space="preserve">yayınlanan </w:t>
      </w:r>
      <w:r w:rsidR="0052637A" w:rsidRPr="008F1795">
        <w:rPr>
          <w:lang w:val="tr-TR"/>
        </w:rPr>
        <w:t xml:space="preserve">makale dizisinde Dink, </w:t>
      </w:r>
      <w:r w:rsidR="009F754C" w:rsidRPr="008F1795">
        <w:rPr>
          <w:lang w:val="tr-TR"/>
        </w:rPr>
        <w:t xml:space="preserve">diğer konuların yanı sıra, </w:t>
      </w:r>
      <w:r w:rsidR="0052637A" w:rsidRPr="008F1795">
        <w:rPr>
          <w:lang w:val="tr-TR"/>
        </w:rPr>
        <w:t xml:space="preserve">Ermeni </w:t>
      </w:r>
      <w:r w:rsidR="00E34EA5" w:rsidRPr="008F1795">
        <w:rPr>
          <w:lang w:val="tr-TR"/>
        </w:rPr>
        <w:t xml:space="preserve">asıllı Türk vatandaşlarının kimliği ile ilgili </w:t>
      </w:r>
      <w:r w:rsidR="009F754C" w:rsidRPr="008F1795">
        <w:rPr>
          <w:lang w:val="tr-TR"/>
        </w:rPr>
        <w:t xml:space="preserve">görüşlerini ifade etmiştir. </w:t>
      </w:r>
      <w:r w:rsidR="00427714" w:rsidRPr="008F1795">
        <w:rPr>
          <w:lang w:val="tr-TR"/>
        </w:rPr>
        <w:t xml:space="preserve">2006’da </w:t>
      </w:r>
      <w:r w:rsidR="00D76F14" w:rsidRPr="008F1795">
        <w:rPr>
          <w:lang w:val="tr-TR"/>
        </w:rPr>
        <w:t xml:space="preserve">Dink hakkında </w:t>
      </w:r>
      <w:r w:rsidR="00427714" w:rsidRPr="008F1795">
        <w:rPr>
          <w:lang w:val="tr-TR"/>
        </w:rPr>
        <w:t xml:space="preserve">Ceza Kanununun 301. </w:t>
      </w:r>
      <w:r w:rsidR="00241305" w:rsidRPr="008F1795">
        <w:rPr>
          <w:lang w:val="tr-TR"/>
        </w:rPr>
        <w:t>Madde</w:t>
      </w:r>
      <w:r w:rsidR="00427714" w:rsidRPr="008F1795">
        <w:rPr>
          <w:lang w:val="tr-TR"/>
        </w:rPr>
        <w:t xml:space="preserve">sinin ihlali ile </w:t>
      </w:r>
      <w:r w:rsidR="00B0023F" w:rsidRPr="008F1795">
        <w:rPr>
          <w:lang w:val="tr-TR"/>
        </w:rPr>
        <w:t xml:space="preserve">suç </w:t>
      </w:r>
      <w:r w:rsidR="00D76F14" w:rsidRPr="008F1795">
        <w:rPr>
          <w:lang w:val="tr-TR"/>
        </w:rPr>
        <w:t>isnat edilmiş</w:t>
      </w:r>
      <w:r w:rsidR="00784607" w:rsidRPr="008F1795">
        <w:rPr>
          <w:lang w:val="tr-TR"/>
        </w:rPr>
        <w:t xml:space="preserve"> ve altı ay </w:t>
      </w:r>
      <w:r w:rsidR="00054E81">
        <w:rPr>
          <w:lang w:val="tr-TR"/>
        </w:rPr>
        <w:t>ertelenmiş</w:t>
      </w:r>
      <w:r w:rsidR="00784607" w:rsidRPr="008F1795">
        <w:rPr>
          <w:lang w:val="tr-TR"/>
        </w:rPr>
        <w:t xml:space="preserve"> hapis cezası almıştır. </w:t>
      </w:r>
      <w:r w:rsidR="00125958">
        <w:rPr>
          <w:lang w:val="tr-TR"/>
        </w:rPr>
        <w:t xml:space="preserve">Dink, </w:t>
      </w:r>
      <w:r w:rsidR="001E2182" w:rsidRPr="008F1795">
        <w:rPr>
          <w:lang w:val="tr-TR"/>
        </w:rPr>
        <w:t xml:space="preserve">Haziran 2007’de </w:t>
      </w:r>
      <w:r w:rsidR="00D718BC" w:rsidRPr="008F1795">
        <w:rPr>
          <w:lang w:val="tr-TR"/>
        </w:rPr>
        <w:t xml:space="preserve">genç bir milliyetçi tarafından öldürülmüştür. </w:t>
      </w:r>
    </w:p>
    <w:p w14:paraId="73056A26" w14:textId="77777777" w:rsidR="003C7B02" w:rsidRPr="008F1795" w:rsidRDefault="003C7B02" w:rsidP="003C7B02">
      <w:pPr>
        <w:pStyle w:val="ListeParagraf"/>
        <w:tabs>
          <w:tab w:val="left" w:pos="631"/>
        </w:tabs>
        <w:rPr>
          <w:highlight w:val="yellow"/>
          <w:lang w:val="tr-TR"/>
        </w:rPr>
      </w:pPr>
    </w:p>
    <w:p w14:paraId="4C310170" w14:textId="258B7FAF" w:rsidR="008C0333" w:rsidRPr="008F1795" w:rsidRDefault="002361D9">
      <w:pPr>
        <w:pStyle w:val="ListeParagraf"/>
        <w:numPr>
          <w:ilvl w:val="0"/>
          <w:numId w:val="2"/>
        </w:numPr>
        <w:tabs>
          <w:tab w:val="left" w:pos="688"/>
        </w:tabs>
        <w:ind w:right="214" w:firstLine="0"/>
        <w:rPr>
          <w:lang w:val="tr-TR"/>
        </w:rPr>
      </w:pPr>
      <w:r w:rsidRPr="008F1795">
        <w:rPr>
          <w:lang w:val="tr-TR"/>
        </w:rPr>
        <w:t xml:space="preserve">301. </w:t>
      </w:r>
      <w:r w:rsidR="00241305" w:rsidRPr="008F1795">
        <w:rPr>
          <w:lang w:val="tr-TR"/>
        </w:rPr>
        <w:t>Madde</w:t>
      </w:r>
      <w:r w:rsidRPr="008F1795">
        <w:rPr>
          <w:lang w:val="tr-TR"/>
        </w:rPr>
        <w:t xml:space="preserve"> u</w:t>
      </w:r>
      <w:r w:rsidR="00940ED3" w:rsidRPr="008F1795">
        <w:rPr>
          <w:lang w:val="tr-TR"/>
        </w:rPr>
        <w:t>lusal ve u</w:t>
      </w:r>
      <w:r w:rsidRPr="008F1795">
        <w:rPr>
          <w:lang w:val="tr-TR"/>
        </w:rPr>
        <w:t xml:space="preserve">luslararası düzeyde </w:t>
      </w:r>
      <w:r w:rsidR="00940ED3" w:rsidRPr="008F1795">
        <w:rPr>
          <w:lang w:val="tr-TR"/>
        </w:rPr>
        <w:t xml:space="preserve">defalarca eleştirilmiştir. </w:t>
      </w:r>
      <w:r w:rsidR="00CD4C60" w:rsidRPr="008F1795">
        <w:rPr>
          <w:lang w:val="tr-TR"/>
        </w:rPr>
        <w:t xml:space="preserve">Türkiye’nin 2010 tarihli Evrensel Periyodik İncelemesi sırasında, beş Devlet </w:t>
      </w:r>
      <w:r w:rsidR="00770296" w:rsidRPr="008F1795">
        <w:rPr>
          <w:lang w:val="tr-TR"/>
        </w:rPr>
        <w:t>(Ermenistan, Kıbrıs, Fransa, İspanya ve Amerika Birleşik Devletleri)</w:t>
      </w:r>
      <w:r w:rsidR="001965B7" w:rsidRPr="008F1795">
        <w:rPr>
          <w:lang w:val="tr-TR"/>
        </w:rPr>
        <w:t xml:space="preserve">, Türkiye’nin 301. </w:t>
      </w:r>
      <w:r w:rsidR="00241305" w:rsidRPr="008F1795">
        <w:rPr>
          <w:lang w:val="tr-TR"/>
        </w:rPr>
        <w:t>Madde</w:t>
      </w:r>
      <w:r w:rsidR="001F557A" w:rsidRPr="008F1795">
        <w:rPr>
          <w:lang w:val="tr-TR"/>
        </w:rPr>
        <w:t xml:space="preserve">sinin kaldırılmasını ya da </w:t>
      </w:r>
      <w:r w:rsidR="00A51BC6" w:rsidRPr="008F1795">
        <w:rPr>
          <w:lang w:val="tr-TR"/>
        </w:rPr>
        <w:lastRenderedPageBreak/>
        <w:t>gözden geçirilmesini açıkça tavsiye etmiştir.</w:t>
      </w:r>
      <w:r w:rsidR="00CB7B96" w:rsidRPr="008F1795">
        <w:rPr>
          <w:rStyle w:val="DipnotBavurusu"/>
          <w:lang w:val="tr-TR"/>
        </w:rPr>
        <w:footnoteReference w:id="105"/>
      </w:r>
      <w:r w:rsidR="00A51BC6" w:rsidRPr="008F1795">
        <w:rPr>
          <w:lang w:val="tr-TR"/>
        </w:rPr>
        <w:t xml:space="preserve"> AGİT Medya Öz</w:t>
      </w:r>
      <w:r w:rsidR="00CB7B96" w:rsidRPr="008F1795">
        <w:rPr>
          <w:lang w:val="tr-TR"/>
        </w:rPr>
        <w:t>g</w:t>
      </w:r>
      <w:r w:rsidR="00A51BC6" w:rsidRPr="008F1795">
        <w:rPr>
          <w:lang w:val="tr-TR"/>
        </w:rPr>
        <w:t>ürlüğü Temsilcisi</w:t>
      </w:r>
      <w:r w:rsidR="00CB7B96" w:rsidRPr="008F1795">
        <w:rPr>
          <w:lang w:val="tr-TR"/>
        </w:rPr>
        <w:t xml:space="preserve">, 301. </w:t>
      </w:r>
      <w:r w:rsidR="00241305" w:rsidRPr="008F1795">
        <w:rPr>
          <w:lang w:val="tr-TR"/>
        </w:rPr>
        <w:t>Madde</w:t>
      </w:r>
      <w:r w:rsidR="00CB7B96" w:rsidRPr="008F1795">
        <w:rPr>
          <w:lang w:val="tr-TR"/>
        </w:rPr>
        <w:t>nin (orijinal</w:t>
      </w:r>
      <w:r w:rsidR="00CB0AE0" w:rsidRPr="008F1795">
        <w:rPr>
          <w:lang w:val="tr-TR"/>
        </w:rPr>
        <w:t xml:space="preserve"> metninin) </w:t>
      </w:r>
      <w:r w:rsidR="006864BC" w:rsidRPr="008F1795">
        <w:rPr>
          <w:lang w:val="tr-TR"/>
        </w:rPr>
        <w:t>farklı yorumlamalara açık olduğunu ve kamu tartışmalarını</w:t>
      </w:r>
      <w:r w:rsidR="004E1C58">
        <w:rPr>
          <w:lang w:val="tr-TR"/>
        </w:rPr>
        <w:t xml:space="preserve">n yapılmasını </w:t>
      </w:r>
      <w:r w:rsidR="00C37B88" w:rsidRPr="008F1795">
        <w:rPr>
          <w:lang w:val="tr-TR"/>
        </w:rPr>
        <w:t xml:space="preserve">caydırmak için kullanılabileceğini </w:t>
      </w:r>
      <w:r w:rsidR="00557FC5" w:rsidRPr="008F1795">
        <w:rPr>
          <w:lang w:val="tr-TR"/>
        </w:rPr>
        <w:t>kaydetmiştir.</w:t>
      </w:r>
      <w:r w:rsidR="00A0179A" w:rsidRPr="008F1795">
        <w:rPr>
          <w:rStyle w:val="DipnotBavurusu"/>
          <w:lang w:val="tr-TR"/>
        </w:rPr>
        <w:footnoteReference w:id="106"/>
      </w:r>
      <w:r w:rsidR="00557FC5" w:rsidRPr="008F1795">
        <w:rPr>
          <w:lang w:val="tr-TR"/>
        </w:rPr>
        <w:t xml:space="preserve"> Uluslararası Af Örgütü</w:t>
      </w:r>
      <w:r w:rsidR="007A44CB" w:rsidRPr="008F1795">
        <w:rPr>
          <w:lang w:val="tr-TR"/>
        </w:rPr>
        <w:t xml:space="preserve"> yakın tarihli raporunda, 2008 tarihli kanun değişikliğinden sonra bile </w:t>
      </w:r>
      <w:r w:rsidR="00AD26F5" w:rsidRPr="008F1795">
        <w:rPr>
          <w:lang w:val="tr-TR"/>
        </w:rPr>
        <w:t>“</w:t>
      </w:r>
      <w:r w:rsidR="00AD26F5" w:rsidRPr="008F1795">
        <w:rPr>
          <w:i/>
          <w:iCs/>
          <w:lang w:val="tr-TR"/>
        </w:rPr>
        <w:t xml:space="preserve">301. </w:t>
      </w:r>
      <w:r w:rsidR="00241305" w:rsidRPr="008F1795">
        <w:rPr>
          <w:i/>
          <w:iCs/>
          <w:lang w:val="tr-TR"/>
        </w:rPr>
        <w:t>Madde</w:t>
      </w:r>
      <w:r w:rsidR="00D04E03">
        <w:rPr>
          <w:i/>
          <w:iCs/>
          <w:lang w:val="tr-TR"/>
        </w:rPr>
        <w:t>de</w:t>
      </w:r>
      <w:r w:rsidR="00AD26F5" w:rsidRPr="008F1795">
        <w:rPr>
          <w:i/>
          <w:iCs/>
          <w:lang w:val="tr-TR"/>
        </w:rPr>
        <w:t xml:space="preserve"> </w:t>
      </w:r>
      <w:r w:rsidR="00DF4E9E" w:rsidRPr="008F1795">
        <w:rPr>
          <w:i/>
          <w:iCs/>
          <w:lang w:val="tr-TR"/>
        </w:rPr>
        <w:t>biraz kozmetik reform yapılmasına rağmen</w:t>
      </w:r>
      <w:r w:rsidR="00D04E03">
        <w:rPr>
          <w:i/>
          <w:iCs/>
          <w:lang w:val="tr-TR"/>
        </w:rPr>
        <w:t>, maddenin</w:t>
      </w:r>
      <w:r w:rsidR="00DF4E9E" w:rsidRPr="008F1795">
        <w:rPr>
          <w:i/>
          <w:iCs/>
          <w:lang w:val="tr-TR"/>
        </w:rPr>
        <w:t xml:space="preserve"> ifade özgürlüğü hakkına doğrudan ve </w:t>
      </w:r>
      <w:r w:rsidR="00540040" w:rsidRPr="008F1795">
        <w:rPr>
          <w:i/>
          <w:iCs/>
          <w:lang w:val="tr-TR"/>
        </w:rPr>
        <w:t xml:space="preserve">müsaade edilemez bir sınırlama getirmeye devam ettiğini ve </w:t>
      </w:r>
      <w:r w:rsidR="00973659" w:rsidRPr="008F1795">
        <w:rPr>
          <w:i/>
          <w:iCs/>
          <w:lang w:val="tr-TR"/>
        </w:rPr>
        <w:t>(….) Türkiye’nin uluslararas</w:t>
      </w:r>
      <w:r w:rsidR="00A35E05" w:rsidRPr="008F1795">
        <w:rPr>
          <w:i/>
          <w:iCs/>
          <w:lang w:val="tr-TR"/>
        </w:rPr>
        <w:t>ı</w:t>
      </w:r>
      <w:r w:rsidR="00973659" w:rsidRPr="008F1795">
        <w:rPr>
          <w:i/>
          <w:iCs/>
          <w:lang w:val="tr-TR"/>
        </w:rPr>
        <w:t xml:space="preserve"> yükümlülükleri ile uyumlu olan tek</w:t>
      </w:r>
      <w:r w:rsidR="00A35E05" w:rsidRPr="008F1795">
        <w:rPr>
          <w:i/>
          <w:iCs/>
          <w:lang w:val="tr-TR"/>
        </w:rPr>
        <w:t xml:space="preserve"> </w:t>
      </w:r>
      <w:r w:rsidR="007D5D8F" w:rsidRPr="008F1795">
        <w:rPr>
          <w:i/>
          <w:iCs/>
          <w:lang w:val="tr-TR"/>
        </w:rPr>
        <w:t>çözümün</w:t>
      </w:r>
      <w:r w:rsidR="00A35E05" w:rsidRPr="008F1795">
        <w:rPr>
          <w:i/>
          <w:iCs/>
          <w:lang w:val="tr-TR"/>
        </w:rPr>
        <w:t xml:space="preserve"> (…) </w:t>
      </w:r>
      <w:r w:rsidR="00241305" w:rsidRPr="008F1795">
        <w:rPr>
          <w:i/>
          <w:iCs/>
          <w:lang w:val="tr-TR"/>
        </w:rPr>
        <w:t>madde</w:t>
      </w:r>
      <w:r w:rsidR="00A35E05" w:rsidRPr="008F1795">
        <w:rPr>
          <w:i/>
          <w:iCs/>
          <w:lang w:val="tr-TR"/>
        </w:rPr>
        <w:t>nin iptal e</w:t>
      </w:r>
      <w:r w:rsidR="000604B6" w:rsidRPr="008F1795">
        <w:rPr>
          <w:i/>
          <w:iCs/>
          <w:lang w:val="tr-TR"/>
        </w:rPr>
        <w:t>dilmesi</w:t>
      </w:r>
      <w:r w:rsidR="000604B6" w:rsidRPr="008F1795">
        <w:rPr>
          <w:lang w:val="tr-TR"/>
        </w:rPr>
        <w:t>”</w:t>
      </w:r>
      <w:r w:rsidR="00A0179A" w:rsidRPr="008F1795">
        <w:rPr>
          <w:lang w:val="tr-TR"/>
        </w:rPr>
        <w:t xml:space="preserve"> </w:t>
      </w:r>
      <w:r w:rsidR="00A87A6D" w:rsidRPr="008F1795">
        <w:rPr>
          <w:rStyle w:val="DipnotBavurusu"/>
          <w:lang w:val="tr-TR"/>
        </w:rPr>
        <w:footnoteReference w:id="107"/>
      </w:r>
      <w:r w:rsidR="000604B6" w:rsidRPr="008F1795">
        <w:rPr>
          <w:lang w:val="tr-TR"/>
        </w:rPr>
        <w:t xml:space="preserve"> olduğunu belirtmiştir. </w:t>
      </w:r>
      <w:proofErr w:type="spellStart"/>
      <w:r w:rsidR="000604B6" w:rsidRPr="008F1795">
        <w:rPr>
          <w:lang w:val="tr-TR"/>
        </w:rPr>
        <w:t>Freedom</w:t>
      </w:r>
      <w:proofErr w:type="spellEnd"/>
      <w:r w:rsidR="000604B6" w:rsidRPr="008F1795">
        <w:rPr>
          <w:lang w:val="tr-TR"/>
        </w:rPr>
        <w:t xml:space="preserve"> House, Türkiye’de </w:t>
      </w:r>
      <w:r w:rsidR="009B6EFB" w:rsidRPr="008F1795">
        <w:rPr>
          <w:lang w:val="tr-TR"/>
        </w:rPr>
        <w:t>B</w:t>
      </w:r>
      <w:r w:rsidR="000604B6" w:rsidRPr="008F1795">
        <w:rPr>
          <w:lang w:val="tr-TR"/>
        </w:rPr>
        <w:t>ası</w:t>
      </w:r>
      <w:r w:rsidR="009B6EFB" w:rsidRPr="008F1795">
        <w:rPr>
          <w:lang w:val="tr-TR"/>
        </w:rPr>
        <w:t>n</w:t>
      </w:r>
      <w:r w:rsidR="000604B6" w:rsidRPr="008F1795">
        <w:rPr>
          <w:lang w:val="tr-TR"/>
        </w:rPr>
        <w:t xml:space="preserve"> </w:t>
      </w:r>
      <w:r w:rsidR="009B6EFB" w:rsidRPr="008F1795">
        <w:rPr>
          <w:lang w:val="tr-TR"/>
        </w:rPr>
        <w:t>Ö</w:t>
      </w:r>
      <w:r w:rsidR="000604B6" w:rsidRPr="008F1795">
        <w:rPr>
          <w:lang w:val="tr-TR"/>
        </w:rPr>
        <w:t xml:space="preserve">zgürlüğü adlı 2015 tarihli raporunda </w:t>
      </w:r>
      <w:r w:rsidR="00390793" w:rsidRPr="008F1795">
        <w:rPr>
          <w:lang w:val="tr-TR"/>
        </w:rPr>
        <w:t>“</w:t>
      </w:r>
      <w:r w:rsidR="00390793" w:rsidRPr="008F1795">
        <w:rPr>
          <w:i/>
          <w:iCs/>
          <w:lang w:val="tr-TR"/>
        </w:rPr>
        <w:t xml:space="preserve">301. </w:t>
      </w:r>
      <w:r w:rsidR="00241305" w:rsidRPr="008F1795">
        <w:rPr>
          <w:i/>
          <w:iCs/>
          <w:lang w:val="tr-TR"/>
        </w:rPr>
        <w:t>Madde</w:t>
      </w:r>
      <w:r w:rsidR="00390793" w:rsidRPr="008F1795">
        <w:rPr>
          <w:i/>
          <w:iCs/>
          <w:lang w:val="tr-TR"/>
        </w:rPr>
        <w:t xml:space="preserve"> </w:t>
      </w:r>
      <w:r w:rsidR="008B5E0A" w:rsidRPr="008F1795">
        <w:rPr>
          <w:i/>
          <w:iCs/>
          <w:lang w:val="tr-TR"/>
        </w:rPr>
        <w:t xml:space="preserve">kapsamında yargılanan çok az kişi </w:t>
      </w:r>
      <w:r w:rsidR="00ED24B8" w:rsidRPr="008F1795">
        <w:rPr>
          <w:i/>
          <w:iCs/>
          <w:lang w:val="tr-TR"/>
        </w:rPr>
        <w:t>hakkında</w:t>
      </w:r>
      <w:r w:rsidR="001C30F3" w:rsidRPr="008F1795">
        <w:rPr>
          <w:i/>
          <w:iCs/>
          <w:lang w:val="tr-TR"/>
        </w:rPr>
        <w:t xml:space="preserve"> </w:t>
      </w:r>
      <w:proofErr w:type="gramStart"/>
      <w:r w:rsidR="001C30F3" w:rsidRPr="008F1795">
        <w:rPr>
          <w:i/>
          <w:iCs/>
          <w:lang w:val="tr-TR"/>
        </w:rPr>
        <w:t>mahkumiyet</w:t>
      </w:r>
      <w:proofErr w:type="gramEnd"/>
      <w:r w:rsidR="001C30F3" w:rsidRPr="008F1795">
        <w:rPr>
          <w:i/>
          <w:iCs/>
          <w:lang w:val="tr-TR"/>
        </w:rPr>
        <w:t xml:space="preserve"> kararı alınmaktadır, ancak</w:t>
      </w:r>
      <w:r w:rsidR="007B0CA9" w:rsidRPr="008F1795">
        <w:rPr>
          <w:i/>
          <w:iCs/>
          <w:lang w:val="tr-TR"/>
        </w:rPr>
        <w:t xml:space="preserve"> duruşma</w:t>
      </w:r>
      <w:r w:rsidR="00C67FC7" w:rsidRPr="008F1795">
        <w:rPr>
          <w:i/>
          <w:iCs/>
          <w:lang w:val="tr-TR"/>
        </w:rPr>
        <w:t>lar zaman alan ve pahalı süreçlerdir ve</w:t>
      </w:r>
      <w:r w:rsidR="007B0CA9" w:rsidRPr="008F1795">
        <w:rPr>
          <w:i/>
          <w:iCs/>
          <w:lang w:val="tr-TR"/>
        </w:rPr>
        <w:t xml:space="preserve"> kanun</w:t>
      </w:r>
      <w:r w:rsidR="00C67FC7" w:rsidRPr="008F1795">
        <w:rPr>
          <w:i/>
          <w:iCs/>
          <w:lang w:val="tr-TR"/>
        </w:rPr>
        <w:t>,</w:t>
      </w:r>
      <w:r w:rsidR="007B0CA9" w:rsidRPr="008F1795">
        <w:rPr>
          <w:i/>
          <w:iCs/>
          <w:lang w:val="tr-TR"/>
        </w:rPr>
        <w:t xml:space="preserve"> ifade</w:t>
      </w:r>
      <w:r w:rsidR="002511A0" w:rsidRPr="008F1795">
        <w:rPr>
          <w:i/>
          <w:iCs/>
          <w:lang w:val="tr-TR"/>
        </w:rPr>
        <w:t xml:space="preserve"> özgürlüğü</w:t>
      </w:r>
      <w:r w:rsidR="007B0CA9" w:rsidRPr="008F1795">
        <w:rPr>
          <w:i/>
          <w:iCs/>
          <w:lang w:val="tr-TR"/>
        </w:rPr>
        <w:t xml:space="preserve"> </w:t>
      </w:r>
      <w:r w:rsidR="002511A0" w:rsidRPr="008F1795">
        <w:rPr>
          <w:i/>
          <w:iCs/>
          <w:lang w:val="tr-TR"/>
        </w:rPr>
        <w:t>üzerinde caydırıcı etki</w:t>
      </w:r>
      <w:r w:rsidR="008B5E0A" w:rsidRPr="008F1795">
        <w:rPr>
          <w:i/>
          <w:iCs/>
          <w:lang w:val="tr-TR"/>
        </w:rPr>
        <w:t xml:space="preserve"> </w:t>
      </w:r>
      <w:r w:rsidR="00ED24B8" w:rsidRPr="008F1795">
        <w:rPr>
          <w:i/>
          <w:iCs/>
          <w:lang w:val="tr-TR"/>
        </w:rPr>
        <w:t>yaratmaktadır</w:t>
      </w:r>
      <w:r w:rsidR="00ED24B8" w:rsidRPr="008F1795">
        <w:rPr>
          <w:lang w:val="tr-TR"/>
        </w:rPr>
        <w:t>.</w:t>
      </w:r>
      <w:r w:rsidR="00C67FC7" w:rsidRPr="008F1795">
        <w:rPr>
          <w:lang w:val="tr-TR"/>
        </w:rPr>
        <w:t>”</w:t>
      </w:r>
      <w:r w:rsidR="00A60A20" w:rsidRPr="008F1795">
        <w:rPr>
          <w:rStyle w:val="DipnotBavurusu"/>
          <w:lang w:val="tr-TR"/>
        </w:rPr>
        <w:footnoteReference w:id="108"/>
      </w:r>
      <w:r w:rsidR="00C67FC7" w:rsidRPr="008F1795">
        <w:rPr>
          <w:lang w:val="tr-TR"/>
        </w:rPr>
        <w:t xml:space="preserve"> diye eklemiştir. </w:t>
      </w:r>
    </w:p>
    <w:p w14:paraId="182DC67B" w14:textId="77777777" w:rsidR="008C0333" w:rsidRPr="008F1795" w:rsidRDefault="008C0333" w:rsidP="008C0333">
      <w:pPr>
        <w:pStyle w:val="ListeParagraf"/>
        <w:tabs>
          <w:tab w:val="left" w:pos="688"/>
        </w:tabs>
        <w:ind w:right="214"/>
        <w:rPr>
          <w:lang w:val="tr-TR"/>
        </w:rPr>
      </w:pPr>
    </w:p>
    <w:p w14:paraId="4D7A00EA" w14:textId="6FA4E2DA" w:rsidR="007C24BA" w:rsidRPr="008F1795" w:rsidRDefault="007C24BA">
      <w:pPr>
        <w:pStyle w:val="ListeParagraf"/>
        <w:numPr>
          <w:ilvl w:val="0"/>
          <w:numId w:val="2"/>
        </w:numPr>
        <w:tabs>
          <w:tab w:val="left" w:pos="665"/>
        </w:tabs>
        <w:ind w:firstLine="0"/>
        <w:rPr>
          <w:iCs/>
          <w:lang w:val="tr-TR"/>
        </w:rPr>
      </w:pPr>
      <w:r w:rsidRPr="008F1795">
        <w:rPr>
          <w:i/>
          <w:lang w:val="tr-TR"/>
        </w:rPr>
        <w:t>Dink – Türkiye davasında</w:t>
      </w:r>
      <w:r w:rsidR="00FB672C" w:rsidRPr="008F1795">
        <w:rPr>
          <w:i/>
          <w:lang w:val="tr-TR"/>
        </w:rPr>
        <w:t xml:space="preserve"> </w:t>
      </w:r>
      <w:r w:rsidR="00FB672C" w:rsidRPr="008F1795">
        <w:rPr>
          <w:iCs/>
          <w:lang w:val="tr-TR"/>
        </w:rPr>
        <w:t>AİHM, Sözleşme Taraflarının</w:t>
      </w:r>
      <w:r w:rsidR="00C17777" w:rsidRPr="008F1795">
        <w:rPr>
          <w:iCs/>
          <w:lang w:val="tr-TR"/>
        </w:rPr>
        <w:t xml:space="preserve"> ilgili herkesin</w:t>
      </w:r>
      <w:r w:rsidR="0043596F" w:rsidRPr="008F1795">
        <w:rPr>
          <w:iCs/>
          <w:lang w:val="tr-TR"/>
        </w:rPr>
        <w:t xml:space="preserve"> </w:t>
      </w:r>
      <w:r w:rsidR="005172F4" w:rsidRPr="008F1795">
        <w:rPr>
          <w:iCs/>
          <w:lang w:val="tr-TR"/>
        </w:rPr>
        <w:t xml:space="preserve">görüşlerini korkmadan ifade ederek </w:t>
      </w:r>
      <w:r w:rsidR="0043596F" w:rsidRPr="008F1795">
        <w:rPr>
          <w:iCs/>
          <w:lang w:val="tr-TR"/>
        </w:rPr>
        <w:t xml:space="preserve">kamu tartışmalarına </w:t>
      </w:r>
      <w:r w:rsidR="00A6661D" w:rsidRPr="008F1795">
        <w:rPr>
          <w:iCs/>
          <w:lang w:val="tr-TR"/>
        </w:rPr>
        <w:t>katıl</w:t>
      </w:r>
      <w:r w:rsidR="005172F4">
        <w:rPr>
          <w:iCs/>
          <w:lang w:val="tr-TR"/>
        </w:rPr>
        <w:t>abilmesi</w:t>
      </w:r>
      <w:r w:rsidR="00C17777" w:rsidRPr="008F1795">
        <w:rPr>
          <w:iCs/>
          <w:lang w:val="tr-TR"/>
        </w:rPr>
        <w:t xml:space="preserve"> için elverişli bir ortam yaratma yönündeki pozitif yükümlülükleri</w:t>
      </w:r>
      <w:r w:rsidR="00A6661D" w:rsidRPr="008F1795">
        <w:rPr>
          <w:iCs/>
          <w:lang w:val="tr-TR"/>
        </w:rPr>
        <w:t xml:space="preserve">ni </w:t>
      </w:r>
      <w:r w:rsidR="007B2BDB" w:rsidRPr="008F1795">
        <w:rPr>
          <w:iCs/>
          <w:lang w:val="tr-TR"/>
        </w:rPr>
        <w:t>de ele almıştır.</w:t>
      </w:r>
      <w:r w:rsidR="00EE56A1" w:rsidRPr="008F1795">
        <w:rPr>
          <w:iCs/>
          <w:lang w:val="tr-TR"/>
        </w:rPr>
        <w:t xml:space="preserve"> </w:t>
      </w:r>
      <w:r w:rsidR="00C85B72" w:rsidRPr="008F1795">
        <w:rPr>
          <w:iCs/>
          <w:lang w:val="tr-TR"/>
        </w:rPr>
        <w:t xml:space="preserve">Yetkililerin </w:t>
      </w:r>
      <w:proofErr w:type="spellStart"/>
      <w:r w:rsidR="00C85B72" w:rsidRPr="008F1795">
        <w:rPr>
          <w:iCs/>
          <w:lang w:val="tr-TR"/>
        </w:rPr>
        <w:t>Dink’i</w:t>
      </w:r>
      <w:proofErr w:type="spellEnd"/>
      <w:r w:rsidR="00C85B72" w:rsidRPr="008F1795">
        <w:rPr>
          <w:iCs/>
          <w:lang w:val="tr-TR"/>
        </w:rPr>
        <w:t xml:space="preserve"> aşırı milliyetçi bir grubun üyelerinin saldırısına karşı koru</w:t>
      </w:r>
      <w:r w:rsidR="00EE56A1" w:rsidRPr="008F1795">
        <w:rPr>
          <w:iCs/>
          <w:lang w:val="tr-TR"/>
        </w:rPr>
        <w:t xml:space="preserve">mamış </w:t>
      </w:r>
      <w:r w:rsidR="005172F4" w:rsidRPr="008F1795">
        <w:rPr>
          <w:iCs/>
          <w:lang w:val="tr-TR"/>
        </w:rPr>
        <w:t>olduğu</w:t>
      </w:r>
      <w:r w:rsidR="00A830C8">
        <w:rPr>
          <w:iCs/>
          <w:lang w:val="tr-TR"/>
        </w:rPr>
        <w:t>nu</w:t>
      </w:r>
      <w:r w:rsidR="00EE56A1" w:rsidRPr="008F1795">
        <w:rPr>
          <w:iCs/>
          <w:lang w:val="tr-TR"/>
        </w:rPr>
        <w:t xml:space="preserve"> </w:t>
      </w:r>
      <w:r w:rsidR="00E77489" w:rsidRPr="008F1795">
        <w:rPr>
          <w:iCs/>
          <w:lang w:val="tr-TR"/>
        </w:rPr>
        <w:t>ve “</w:t>
      </w:r>
      <w:r w:rsidR="005458DE">
        <w:rPr>
          <w:iCs/>
          <w:lang w:val="tr-TR"/>
        </w:rPr>
        <w:t>zorlayıcı</w:t>
      </w:r>
      <w:r w:rsidR="00E77489" w:rsidRPr="008F1795">
        <w:rPr>
          <w:iCs/>
          <w:lang w:val="tr-TR"/>
        </w:rPr>
        <w:t xml:space="preserve"> bir </w:t>
      </w:r>
      <w:r w:rsidR="005458DE">
        <w:rPr>
          <w:iCs/>
          <w:lang w:val="tr-TR"/>
        </w:rPr>
        <w:t>toplumsal</w:t>
      </w:r>
      <w:r w:rsidR="00E77489" w:rsidRPr="008F1795">
        <w:rPr>
          <w:iCs/>
          <w:lang w:val="tr-TR"/>
        </w:rPr>
        <w:t xml:space="preserve"> ihtiyaç” mevcut olmadığı halde </w:t>
      </w:r>
      <w:proofErr w:type="spellStart"/>
      <w:r w:rsidR="005172F4">
        <w:rPr>
          <w:iCs/>
          <w:lang w:val="tr-TR"/>
        </w:rPr>
        <w:t>Dink’in</w:t>
      </w:r>
      <w:proofErr w:type="spellEnd"/>
      <w:r w:rsidR="005172F4">
        <w:rPr>
          <w:iCs/>
          <w:lang w:val="tr-TR"/>
        </w:rPr>
        <w:t xml:space="preserve"> </w:t>
      </w:r>
      <w:r w:rsidR="00E77489" w:rsidRPr="008F1795">
        <w:rPr>
          <w:iCs/>
          <w:lang w:val="tr-TR"/>
        </w:rPr>
        <w:t>suçlu</w:t>
      </w:r>
      <w:r w:rsidR="00204BD2" w:rsidRPr="008F1795">
        <w:rPr>
          <w:iCs/>
          <w:lang w:val="tr-TR"/>
        </w:rPr>
        <w:t xml:space="preserve"> bulun</w:t>
      </w:r>
      <w:r w:rsidR="004756B5" w:rsidRPr="008F1795">
        <w:rPr>
          <w:iCs/>
          <w:lang w:val="tr-TR"/>
        </w:rPr>
        <w:t>duğu</w:t>
      </w:r>
      <w:r w:rsidR="00A830C8">
        <w:rPr>
          <w:iCs/>
          <w:lang w:val="tr-TR"/>
        </w:rPr>
        <w:t>nu</w:t>
      </w:r>
      <w:r w:rsidR="00204BD2" w:rsidRPr="008F1795">
        <w:rPr>
          <w:iCs/>
          <w:lang w:val="tr-TR"/>
        </w:rPr>
        <w:t xml:space="preserve"> dikkate </w:t>
      </w:r>
      <w:r w:rsidR="00A830C8">
        <w:rPr>
          <w:iCs/>
          <w:lang w:val="tr-TR"/>
        </w:rPr>
        <w:t>alan</w:t>
      </w:r>
      <w:r w:rsidR="004756B5" w:rsidRPr="008F1795">
        <w:rPr>
          <w:iCs/>
          <w:lang w:val="tr-TR"/>
        </w:rPr>
        <w:t xml:space="preserve"> Mahkeme, Türkiye’nin </w:t>
      </w:r>
      <w:proofErr w:type="spellStart"/>
      <w:r w:rsidR="004756B5" w:rsidRPr="008F1795">
        <w:rPr>
          <w:iCs/>
          <w:lang w:val="tr-TR"/>
        </w:rPr>
        <w:t>Dink’in</w:t>
      </w:r>
      <w:proofErr w:type="spellEnd"/>
      <w:r w:rsidR="004756B5" w:rsidRPr="008F1795">
        <w:rPr>
          <w:iCs/>
          <w:lang w:val="tr-TR"/>
        </w:rPr>
        <w:t xml:space="preserve"> ifade özgürlüğü ile ilgili “pozitif yükümlülüklerini” </w:t>
      </w:r>
      <w:r w:rsidR="00656C3F" w:rsidRPr="008F1795">
        <w:rPr>
          <w:iCs/>
          <w:lang w:val="tr-TR"/>
        </w:rPr>
        <w:t xml:space="preserve">yerine getirmediği sonucuna varmıştır. </w:t>
      </w:r>
      <w:r w:rsidR="00656C3F" w:rsidRPr="008F1795">
        <w:rPr>
          <w:rStyle w:val="DipnotBavurusu"/>
          <w:iCs/>
          <w:lang w:val="tr-TR"/>
        </w:rPr>
        <w:footnoteReference w:id="109"/>
      </w:r>
    </w:p>
    <w:p w14:paraId="006E893F" w14:textId="77777777" w:rsidR="007C24BA" w:rsidRPr="008F1795" w:rsidRDefault="007C24BA" w:rsidP="007C24BA">
      <w:pPr>
        <w:pStyle w:val="ListeParagraf"/>
        <w:tabs>
          <w:tab w:val="left" w:pos="665"/>
        </w:tabs>
        <w:rPr>
          <w:lang w:val="tr-TR"/>
        </w:rPr>
      </w:pPr>
    </w:p>
    <w:p w14:paraId="3AD59B94" w14:textId="4B5B8E1D" w:rsidR="00297A7A" w:rsidRPr="008F1795" w:rsidRDefault="004E5B01" w:rsidP="00297A7A">
      <w:pPr>
        <w:pStyle w:val="ListeParagraf"/>
        <w:numPr>
          <w:ilvl w:val="0"/>
          <w:numId w:val="2"/>
        </w:numPr>
        <w:tabs>
          <w:tab w:val="left" w:pos="655"/>
        </w:tabs>
        <w:ind w:firstLine="0"/>
        <w:rPr>
          <w:lang w:val="tr-TR"/>
        </w:rPr>
      </w:pPr>
      <w:r w:rsidRPr="008F1795">
        <w:rPr>
          <w:lang w:val="tr-TR"/>
        </w:rPr>
        <w:t xml:space="preserve">301. </w:t>
      </w:r>
      <w:r w:rsidR="00241305" w:rsidRPr="008F1795">
        <w:rPr>
          <w:lang w:val="tr-TR"/>
        </w:rPr>
        <w:t>Madde</w:t>
      </w:r>
      <w:r w:rsidRPr="008F1795">
        <w:rPr>
          <w:lang w:val="tr-TR"/>
        </w:rPr>
        <w:t xml:space="preserve">nin öngörülebilirliği ile ilgili olarak ve </w:t>
      </w:r>
      <w:r w:rsidR="00072D80" w:rsidRPr="008F1795">
        <w:rPr>
          <w:lang w:val="tr-TR"/>
        </w:rPr>
        <w:t>dolayısıyla</w:t>
      </w:r>
      <w:r w:rsidR="00253B74" w:rsidRPr="008F1795">
        <w:rPr>
          <w:lang w:val="tr-TR"/>
        </w:rPr>
        <w:t xml:space="preserve"> </w:t>
      </w:r>
      <w:r w:rsidR="002F4554">
        <w:rPr>
          <w:lang w:val="tr-TR"/>
        </w:rPr>
        <w:t>yasallık</w:t>
      </w:r>
      <w:r w:rsidR="00253B74" w:rsidRPr="008F1795">
        <w:rPr>
          <w:lang w:val="tr-TR"/>
        </w:rPr>
        <w:t xml:space="preserve"> ilkesine</w:t>
      </w:r>
      <w:r w:rsidR="004C2592" w:rsidRPr="008F1795">
        <w:rPr>
          <w:rStyle w:val="DipnotBavurusu"/>
          <w:lang w:val="tr-TR"/>
        </w:rPr>
        <w:footnoteReference w:id="110"/>
      </w:r>
      <w:r w:rsidR="00253B74" w:rsidRPr="008F1795">
        <w:rPr>
          <w:lang w:val="tr-TR"/>
        </w:rPr>
        <w:t xml:space="preserve"> uygun olarak</w:t>
      </w:r>
      <w:r w:rsidR="00CB4DC5" w:rsidRPr="008F1795">
        <w:rPr>
          <w:lang w:val="tr-TR"/>
        </w:rPr>
        <w:t xml:space="preserve"> </w:t>
      </w:r>
      <w:r w:rsidR="004C2592" w:rsidRPr="008F1795">
        <w:rPr>
          <w:lang w:val="tr-TR"/>
        </w:rPr>
        <w:t>Yargıtay</w:t>
      </w:r>
      <w:r w:rsidR="00CB4DC5" w:rsidRPr="008F1795">
        <w:rPr>
          <w:lang w:val="tr-TR"/>
        </w:rPr>
        <w:t>,</w:t>
      </w:r>
      <w:r w:rsidR="004C2592" w:rsidRPr="008F1795">
        <w:rPr>
          <w:lang w:val="tr-TR"/>
        </w:rPr>
        <w:t xml:space="preserve"> Dink davası ile ilgili 11 Temmuz 2006 tarihli kararında</w:t>
      </w:r>
      <w:r w:rsidR="00CB4DC5" w:rsidRPr="008F1795">
        <w:rPr>
          <w:lang w:val="tr-TR"/>
        </w:rPr>
        <w:t xml:space="preserve"> Türklük kavramını tanımlamıştır. Yargıtay’a göre bu terim “</w:t>
      </w:r>
      <w:r w:rsidR="003E5093" w:rsidRPr="008F1795">
        <w:rPr>
          <w:i/>
          <w:iCs/>
          <w:lang w:val="tr-TR"/>
        </w:rPr>
        <w:t>Türk milletini oluşturan insani, dini, tarihi değerleri ile milli dil, milli duygular ve milli geleneklerden oluşan milli</w:t>
      </w:r>
      <w:r w:rsidR="00612502" w:rsidRPr="008F1795">
        <w:rPr>
          <w:i/>
          <w:iCs/>
          <w:lang w:val="tr-TR"/>
        </w:rPr>
        <w:t xml:space="preserve"> ve</w:t>
      </w:r>
      <w:r w:rsidR="003E5093" w:rsidRPr="008F1795">
        <w:rPr>
          <w:i/>
          <w:iCs/>
          <w:lang w:val="tr-TR"/>
        </w:rPr>
        <w:t xml:space="preserve"> manevi değerler bütünü</w:t>
      </w:r>
      <w:r w:rsidR="00612502" w:rsidRPr="008F1795">
        <w:rPr>
          <w:i/>
          <w:iCs/>
          <w:lang w:val="tr-TR"/>
        </w:rPr>
        <w:t>nü</w:t>
      </w:r>
      <w:r w:rsidR="003E5093" w:rsidRPr="008F1795">
        <w:rPr>
          <w:lang w:val="tr-TR"/>
        </w:rPr>
        <w:t>'</w:t>
      </w:r>
      <w:r w:rsidR="00ED1FC2" w:rsidRPr="008F1795">
        <w:rPr>
          <w:rStyle w:val="DipnotBavurusu"/>
          <w:lang w:val="tr-TR"/>
        </w:rPr>
        <w:footnoteReference w:id="111"/>
      </w:r>
      <w:r w:rsidR="001819C8" w:rsidRPr="008F1795">
        <w:rPr>
          <w:lang w:val="tr-TR"/>
        </w:rPr>
        <w:t xml:space="preserve"> içermektedir. AİHM, Dink Davasında</w:t>
      </w:r>
      <w:r w:rsidR="00356113" w:rsidRPr="008F1795">
        <w:rPr>
          <w:lang w:val="tr-TR"/>
        </w:rPr>
        <w:t xml:space="preserve"> “Türklük” kavramına yapılan atıf nedeniyle suçun öngörülebili</w:t>
      </w:r>
      <w:r w:rsidR="0077230E" w:rsidRPr="008F1795">
        <w:rPr>
          <w:lang w:val="tr-TR"/>
        </w:rPr>
        <w:t xml:space="preserve">r olmasına ilişkin ciddi şüphelerin doğabileceğini </w:t>
      </w:r>
      <w:r w:rsidR="00572DAA">
        <w:rPr>
          <w:lang w:val="tr-TR"/>
        </w:rPr>
        <w:t>ileri sürmüştür</w:t>
      </w:r>
      <w:r w:rsidR="0077230E" w:rsidRPr="008F1795">
        <w:rPr>
          <w:lang w:val="tr-TR"/>
        </w:rPr>
        <w:t>, ancak bu meseleyi daha fazla incelemeyi reddetmiştir.</w:t>
      </w:r>
      <w:r w:rsidR="00552C11" w:rsidRPr="008F1795">
        <w:rPr>
          <w:rStyle w:val="DipnotBavurusu"/>
          <w:lang w:val="tr-TR"/>
        </w:rPr>
        <w:footnoteReference w:id="112"/>
      </w:r>
      <w:r w:rsidR="0077230E" w:rsidRPr="008F1795">
        <w:rPr>
          <w:lang w:val="tr-TR"/>
        </w:rPr>
        <w:t xml:space="preserve"> </w:t>
      </w:r>
    </w:p>
    <w:p w14:paraId="1253DB8B" w14:textId="77777777" w:rsidR="00D01A83" w:rsidRPr="008F1795" w:rsidRDefault="00D01A83" w:rsidP="00AB1314">
      <w:pPr>
        <w:pStyle w:val="ListeParagraf"/>
        <w:tabs>
          <w:tab w:val="left" w:pos="655"/>
        </w:tabs>
        <w:rPr>
          <w:lang w:val="tr-TR"/>
        </w:rPr>
      </w:pPr>
    </w:p>
    <w:p w14:paraId="58E67306" w14:textId="5F83B556" w:rsidR="00E4310F" w:rsidRPr="008F1795" w:rsidRDefault="00683EB5">
      <w:pPr>
        <w:pStyle w:val="ListeParagraf"/>
        <w:numPr>
          <w:ilvl w:val="0"/>
          <w:numId w:val="2"/>
        </w:numPr>
        <w:tabs>
          <w:tab w:val="left" w:pos="712"/>
        </w:tabs>
        <w:ind w:firstLine="0"/>
        <w:rPr>
          <w:lang w:val="tr-TR"/>
        </w:rPr>
      </w:pPr>
      <w:r w:rsidRPr="008F1795">
        <w:rPr>
          <w:lang w:val="tr-TR"/>
        </w:rPr>
        <w:t xml:space="preserve">AİHM </w:t>
      </w:r>
      <w:r w:rsidRPr="008F1795">
        <w:rPr>
          <w:i/>
          <w:lang w:val="tr-TR"/>
        </w:rPr>
        <w:t xml:space="preserve">Taner Akçam Davasında </w:t>
      </w:r>
      <w:r w:rsidR="00721AA8" w:rsidRPr="008F1795">
        <w:rPr>
          <w:iCs/>
          <w:lang w:val="tr-TR"/>
        </w:rPr>
        <w:t>bu hususu incelemiştir</w:t>
      </w:r>
      <w:r w:rsidR="0036428D" w:rsidRPr="008F1795">
        <w:rPr>
          <w:iCs/>
          <w:lang w:val="tr-TR"/>
        </w:rPr>
        <w:t>.</w:t>
      </w:r>
      <w:r w:rsidR="00D01A83" w:rsidRPr="008F1795">
        <w:rPr>
          <w:iCs/>
          <w:lang w:val="tr-TR"/>
        </w:rPr>
        <w:t xml:space="preserve"> </w:t>
      </w:r>
      <w:r w:rsidR="0036428D" w:rsidRPr="008F1795">
        <w:rPr>
          <w:iCs/>
          <w:lang w:val="tr-TR"/>
        </w:rPr>
        <w:t>“</w:t>
      </w:r>
      <w:r w:rsidR="004D004C" w:rsidRPr="008F1795">
        <w:rPr>
          <w:i/>
          <w:lang w:val="tr-TR"/>
        </w:rPr>
        <w:t>Türklük” yerine “Türk Milleti” teriminin</w:t>
      </w:r>
      <w:r w:rsidR="00702E4E" w:rsidRPr="008F1795">
        <w:rPr>
          <w:i/>
          <w:lang w:val="tr-TR"/>
        </w:rPr>
        <w:t xml:space="preserve"> kullanılmasına rağmen, bu kavramların yorumlanışında bir değişiklik ya da önemli bir farklılık olmadığı görülmektedir. (…) </w:t>
      </w:r>
      <w:r w:rsidR="000A22B2" w:rsidRPr="008F1795">
        <w:rPr>
          <w:i/>
          <w:lang w:val="tr-TR"/>
        </w:rPr>
        <w:t xml:space="preserve">Yasa koyucunun </w:t>
      </w:r>
      <w:r w:rsidR="00EF1857" w:rsidRPr="008F1795">
        <w:rPr>
          <w:i/>
          <w:lang w:val="tr-TR"/>
        </w:rPr>
        <w:t>“Türklük” ibaresinin anlamına açıklık getirmek için hük</w:t>
      </w:r>
      <w:r w:rsidR="00BB1DA1" w:rsidRPr="008F1795">
        <w:rPr>
          <w:i/>
          <w:lang w:val="tr-TR"/>
        </w:rPr>
        <w:t>mün metnin</w:t>
      </w:r>
      <w:r w:rsidR="00761AE1" w:rsidRPr="008F1795">
        <w:rPr>
          <w:i/>
          <w:lang w:val="tr-TR"/>
        </w:rPr>
        <w:t>i</w:t>
      </w:r>
      <w:r w:rsidR="00BB1DA1" w:rsidRPr="008F1795">
        <w:rPr>
          <w:i/>
          <w:lang w:val="tr-TR"/>
        </w:rPr>
        <w:t xml:space="preserve"> değiştirmiş olması, ifade özgürlüğünün korunması</w:t>
      </w:r>
      <w:r w:rsidR="009271D9" w:rsidRPr="008F1795">
        <w:rPr>
          <w:i/>
          <w:lang w:val="tr-TR"/>
        </w:rPr>
        <w:t xml:space="preserve"> bakımından esaslı bir değişiklik </w:t>
      </w:r>
      <w:r w:rsidR="006D418E" w:rsidRPr="008F1795">
        <w:rPr>
          <w:i/>
          <w:lang w:val="tr-TR"/>
        </w:rPr>
        <w:t>getirmemekte</w:t>
      </w:r>
      <w:r w:rsidR="009271D9" w:rsidRPr="008F1795">
        <w:rPr>
          <w:i/>
          <w:lang w:val="tr-TR"/>
        </w:rPr>
        <w:t xml:space="preserve"> ya da korumanın genişletilmesine katkıda bulunmamaktadır</w:t>
      </w:r>
      <w:r w:rsidR="001E718A" w:rsidRPr="008F1795">
        <w:rPr>
          <w:iCs/>
          <w:lang w:val="tr-TR"/>
        </w:rPr>
        <w:t>”</w:t>
      </w:r>
      <w:r w:rsidR="009022CE" w:rsidRPr="008F1795">
        <w:rPr>
          <w:rStyle w:val="DipnotBavurusu"/>
          <w:iCs/>
          <w:lang w:val="tr-TR"/>
        </w:rPr>
        <w:footnoteReference w:id="113"/>
      </w:r>
      <w:r w:rsidR="001E718A" w:rsidRPr="008F1795">
        <w:rPr>
          <w:iCs/>
          <w:lang w:val="tr-TR"/>
        </w:rPr>
        <w:t xml:space="preserve"> diye belirt</w:t>
      </w:r>
      <w:r w:rsidR="00D01A83" w:rsidRPr="008F1795">
        <w:rPr>
          <w:iCs/>
          <w:lang w:val="tr-TR"/>
        </w:rPr>
        <w:t>en Mahkeme, daha sonra “</w:t>
      </w:r>
      <w:r w:rsidR="005D3D8E" w:rsidRPr="008F1795">
        <w:rPr>
          <w:i/>
          <w:lang w:val="tr-TR"/>
        </w:rPr>
        <w:t xml:space="preserve">Ceza Kanununun 301. </w:t>
      </w:r>
      <w:r w:rsidR="00241305" w:rsidRPr="008F1795">
        <w:rPr>
          <w:i/>
          <w:lang w:val="tr-TR"/>
        </w:rPr>
        <w:t>Madde</w:t>
      </w:r>
      <w:r w:rsidR="005D3D8E" w:rsidRPr="008F1795">
        <w:rPr>
          <w:i/>
          <w:lang w:val="tr-TR"/>
        </w:rPr>
        <w:t>si</w:t>
      </w:r>
      <w:r w:rsidR="00740FCA" w:rsidRPr="008F1795">
        <w:rPr>
          <w:i/>
          <w:lang w:val="tr-TR"/>
        </w:rPr>
        <w:t xml:space="preserve"> kapsamındaki terimler </w:t>
      </w:r>
      <w:r w:rsidR="005D3D8E" w:rsidRPr="008F1795">
        <w:rPr>
          <w:i/>
          <w:lang w:val="tr-TR"/>
        </w:rPr>
        <w:t xml:space="preserve">yargı tarafından yorumlandığı şekliyle </w:t>
      </w:r>
      <w:r w:rsidR="00740FCA" w:rsidRPr="008F1795">
        <w:rPr>
          <w:i/>
          <w:lang w:val="tr-TR"/>
        </w:rPr>
        <w:t>çok geniş ve muğlak</w:t>
      </w:r>
      <w:r w:rsidR="00BD20D7" w:rsidRPr="008F1795">
        <w:rPr>
          <w:i/>
          <w:lang w:val="tr-TR"/>
        </w:rPr>
        <w:t>tır</w:t>
      </w:r>
      <w:r w:rsidR="006E4811" w:rsidRPr="008F1795">
        <w:rPr>
          <w:i/>
          <w:lang w:val="tr-TR"/>
        </w:rPr>
        <w:t xml:space="preserve"> ve bu nedenle</w:t>
      </w:r>
      <w:r w:rsidR="00BD20D7" w:rsidRPr="008F1795">
        <w:rPr>
          <w:i/>
          <w:lang w:val="tr-TR"/>
        </w:rPr>
        <w:t xml:space="preserve"> </w:t>
      </w:r>
      <w:r w:rsidR="00955F6C" w:rsidRPr="008F1795">
        <w:rPr>
          <w:i/>
          <w:lang w:val="tr-TR"/>
        </w:rPr>
        <w:t xml:space="preserve">bu </w:t>
      </w:r>
      <w:r w:rsidR="00BD20D7" w:rsidRPr="008F1795">
        <w:rPr>
          <w:i/>
          <w:lang w:val="tr-TR"/>
        </w:rPr>
        <w:t>hüküm</w:t>
      </w:r>
      <w:r w:rsidR="00572DAA">
        <w:rPr>
          <w:i/>
          <w:lang w:val="tr-TR"/>
        </w:rPr>
        <w:t>,</w:t>
      </w:r>
      <w:r w:rsidR="00BD20D7" w:rsidRPr="008F1795">
        <w:rPr>
          <w:i/>
          <w:lang w:val="tr-TR"/>
        </w:rPr>
        <w:t xml:space="preserve"> ifade özgürlüğü hakkının kullanılmasına yönelik bir tehdit oluşturmaya devam etmektedir.</w:t>
      </w:r>
      <w:r w:rsidR="00572DAA">
        <w:rPr>
          <w:i/>
          <w:lang w:val="tr-TR"/>
        </w:rPr>
        <w:t xml:space="preserve"> </w:t>
      </w:r>
      <w:r w:rsidR="003E68A2" w:rsidRPr="008F1795">
        <w:rPr>
          <w:i/>
          <w:lang w:val="tr-TR"/>
        </w:rPr>
        <w:t>Başka bir</w:t>
      </w:r>
      <w:r w:rsidR="00BD20D7" w:rsidRPr="008F1795">
        <w:rPr>
          <w:i/>
          <w:lang w:val="tr-TR"/>
        </w:rPr>
        <w:t xml:space="preserve"> deyişle, </w:t>
      </w:r>
      <w:r w:rsidR="00241305" w:rsidRPr="008F1795">
        <w:rPr>
          <w:i/>
          <w:lang w:val="tr-TR"/>
        </w:rPr>
        <w:t>madde</w:t>
      </w:r>
      <w:r w:rsidR="00CC1FBD" w:rsidRPr="008F1795">
        <w:rPr>
          <w:i/>
          <w:lang w:val="tr-TR"/>
        </w:rPr>
        <w:t>deki</w:t>
      </w:r>
      <w:r w:rsidR="00FF58A8" w:rsidRPr="008F1795">
        <w:rPr>
          <w:i/>
          <w:lang w:val="tr-TR"/>
        </w:rPr>
        <w:t xml:space="preserve"> met</w:t>
      </w:r>
      <w:r w:rsidR="00CC1FBD" w:rsidRPr="008F1795">
        <w:rPr>
          <w:i/>
          <w:lang w:val="tr-TR"/>
        </w:rPr>
        <w:t>in,</w:t>
      </w:r>
      <w:r w:rsidR="00FF58A8" w:rsidRPr="008F1795">
        <w:rPr>
          <w:i/>
          <w:lang w:val="tr-TR"/>
        </w:rPr>
        <w:t xml:space="preserve"> bireylerin davranışlarını düzenlemesine ya da hareketlerinin sonuçlarını öngörmesine </w:t>
      </w:r>
      <w:proofErr w:type="gramStart"/>
      <w:r w:rsidR="00FF58A8" w:rsidRPr="008F1795">
        <w:rPr>
          <w:i/>
          <w:lang w:val="tr-TR"/>
        </w:rPr>
        <w:t>imkan</w:t>
      </w:r>
      <w:proofErr w:type="gramEnd"/>
      <w:r w:rsidR="00FF58A8" w:rsidRPr="008F1795">
        <w:rPr>
          <w:i/>
          <w:lang w:val="tr-TR"/>
        </w:rPr>
        <w:t xml:space="preserve"> vermemektedir</w:t>
      </w:r>
      <w:r w:rsidR="00FF58A8" w:rsidRPr="008F1795">
        <w:rPr>
          <w:iCs/>
          <w:lang w:val="tr-TR"/>
        </w:rPr>
        <w:t>”</w:t>
      </w:r>
      <w:r w:rsidR="00955F6C" w:rsidRPr="008F1795">
        <w:rPr>
          <w:rStyle w:val="DipnotBavurusu"/>
          <w:iCs/>
          <w:lang w:val="tr-TR"/>
        </w:rPr>
        <w:footnoteReference w:id="114"/>
      </w:r>
      <w:r w:rsidR="007B5236" w:rsidRPr="008F1795">
        <w:rPr>
          <w:iCs/>
          <w:lang w:val="tr-TR"/>
        </w:rPr>
        <w:t xml:space="preserve"> </w:t>
      </w:r>
      <w:r w:rsidR="00A8793C" w:rsidRPr="008F1795">
        <w:rPr>
          <w:iCs/>
          <w:lang w:val="tr-TR"/>
        </w:rPr>
        <w:t xml:space="preserve">sonucuna ulaşmıştır. </w:t>
      </w:r>
    </w:p>
    <w:p w14:paraId="3871A4D3" w14:textId="77777777" w:rsidR="00E4310F" w:rsidRPr="008F1795" w:rsidRDefault="00E4310F" w:rsidP="00E4310F">
      <w:pPr>
        <w:pStyle w:val="ListeParagraf"/>
        <w:tabs>
          <w:tab w:val="left" w:pos="712"/>
        </w:tabs>
        <w:rPr>
          <w:lang w:val="tr-TR"/>
        </w:rPr>
      </w:pPr>
    </w:p>
    <w:p w14:paraId="6D01E41D" w14:textId="554575FC" w:rsidR="00CC1FBD" w:rsidRPr="008F1795" w:rsidRDefault="007474DC">
      <w:pPr>
        <w:pStyle w:val="ListeParagraf"/>
        <w:numPr>
          <w:ilvl w:val="0"/>
          <w:numId w:val="2"/>
        </w:numPr>
        <w:tabs>
          <w:tab w:val="left" w:pos="748"/>
        </w:tabs>
        <w:ind w:firstLine="0"/>
        <w:rPr>
          <w:lang w:val="tr-TR"/>
        </w:rPr>
      </w:pPr>
      <w:r w:rsidRPr="008F1795">
        <w:rPr>
          <w:lang w:val="tr-TR"/>
        </w:rPr>
        <w:t xml:space="preserve">AİHM’nin </w:t>
      </w:r>
      <w:r w:rsidR="004616CE" w:rsidRPr="008F1795">
        <w:rPr>
          <w:lang w:val="tr-TR"/>
        </w:rPr>
        <w:t xml:space="preserve">tespitlerine uyumlu olarak Venedik Komisyonu, </w:t>
      </w:r>
      <w:r w:rsidR="007B4555" w:rsidRPr="008F1795">
        <w:rPr>
          <w:lang w:val="tr-TR"/>
        </w:rPr>
        <w:t>301. Maddenin ilk fıkrasının</w:t>
      </w:r>
      <w:r w:rsidR="007B4555">
        <w:rPr>
          <w:lang w:val="tr-TR"/>
        </w:rPr>
        <w:t>,</w:t>
      </w:r>
      <w:r w:rsidR="007B4555" w:rsidRPr="008F1795">
        <w:rPr>
          <w:lang w:val="tr-TR"/>
        </w:rPr>
        <w:t xml:space="preserve"> </w:t>
      </w:r>
      <w:r w:rsidR="00C77FED" w:rsidRPr="008F1795">
        <w:rPr>
          <w:lang w:val="tr-TR"/>
        </w:rPr>
        <w:t xml:space="preserve">iyi </w:t>
      </w:r>
      <w:r w:rsidR="003F10F1" w:rsidRPr="008F1795">
        <w:rPr>
          <w:lang w:val="tr-TR"/>
        </w:rPr>
        <w:t xml:space="preserve">geliştirilmiş </w:t>
      </w:r>
      <w:r w:rsidR="00B151F1" w:rsidRPr="008F1795">
        <w:rPr>
          <w:lang w:val="tr-TR"/>
        </w:rPr>
        <w:t>yerleşik</w:t>
      </w:r>
      <w:r w:rsidR="00324446" w:rsidRPr="008F1795">
        <w:rPr>
          <w:lang w:val="tr-TR"/>
        </w:rPr>
        <w:t xml:space="preserve"> </w:t>
      </w:r>
      <w:r w:rsidR="003F10F1" w:rsidRPr="008F1795">
        <w:rPr>
          <w:lang w:val="tr-TR"/>
        </w:rPr>
        <w:t>bir i</w:t>
      </w:r>
      <w:r w:rsidR="00C77FED" w:rsidRPr="008F1795">
        <w:rPr>
          <w:lang w:val="tr-TR"/>
        </w:rPr>
        <w:t>çtiha</w:t>
      </w:r>
      <w:r w:rsidR="003E5679">
        <w:rPr>
          <w:lang w:val="tr-TR"/>
        </w:rPr>
        <w:t>d</w:t>
      </w:r>
      <w:r w:rsidR="00EF7704">
        <w:rPr>
          <w:lang w:val="tr-TR"/>
        </w:rPr>
        <w:t>ın da olmaması nedeniyle</w:t>
      </w:r>
      <w:r w:rsidR="00C77FED" w:rsidRPr="008F1795">
        <w:rPr>
          <w:lang w:val="tr-TR"/>
        </w:rPr>
        <w:t xml:space="preserve">, </w:t>
      </w:r>
      <w:r w:rsidR="00652E95" w:rsidRPr="008F1795">
        <w:rPr>
          <w:lang w:val="tr-TR"/>
        </w:rPr>
        <w:t>tahmin edilebilirlik şartlarını yerine getir</w:t>
      </w:r>
      <w:r w:rsidR="007B4555">
        <w:rPr>
          <w:lang w:val="tr-TR"/>
        </w:rPr>
        <w:t>mek</w:t>
      </w:r>
      <w:r w:rsidR="00652E95" w:rsidRPr="008F1795">
        <w:rPr>
          <w:lang w:val="tr-TR"/>
        </w:rPr>
        <w:t xml:space="preserve"> için yeterince </w:t>
      </w:r>
      <w:r w:rsidR="00740438" w:rsidRPr="008F1795">
        <w:rPr>
          <w:lang w:val="tr-TR"/>
        </w:rPr>
        <w:t>kesin ve açık</w:t>
      </w:r>
      <w:r w:rsidR="003F10F1" w:rsidRPr="008F1795">
        <w:rPr>
          <w:lang w:val="tr-TR"/>
        </w:rPr>
        <w:t xml:space="preserve"> olmadığı kanaatindedir</w:t>
      </w:r>
      <w:r w:rsidR="00C77FED" w:rsidRPr="008F1795">
        <w:rPr>
          <w:lang w:val="tr-TR"/>
        </w:rPr>
        <w:t>.</w:t>
      </w:r>
      <w:r w:rsidR="00EC29F2" w:rsidRPr="008F1795">
        <w:rPr>
          <w:lang w:val="tr-TR"/>
        </w:rPr>
        <w:t xml:space="preserve"> Aşağılama fiilinin alenen olması gerektiğinin belirtilmesinin dışında, “aşağılama” teriminin kendisi de detay </w:t>
      </w:r>
      <w:r w:rsidR="00196DA8" w:rsidRPr="008F1795">
        <w:rPr>
          <w:lang w:val="tr-TR"/>
        </w:rPr>
        <w:t xml:space="preserve">içermemektedir. Yetkililerin heyete sunduğu açıklama notunda belirtilen </w:t>
      </w:r>
      <w:r w:rsidR="00B673B5" w:rsidRPr="008F1795">
        <w:rPr>
          <w:lang w:val="tr-TR"/>
        </w:rPr>
        <w:t>“</w:t>
      </w:r>
      <w:r w:rsidR="00C20C3D" w:rsidRPr="008F1795">
        <w:rPr>
          <w:i/>
          <w:iCs/>
          <w:lang w:val="tr-TR"/>
        </w:rPr>
        <w:t xml:space="preserve">aşağılama, </w:t>
      </w:r>
      <w:r w:rsidR="00241305" w:rsidRPr="008F1795">
        <w:rPr>
          <w:i/>
          <w:iCs/>
          <w:lang w:val="tr-TR"/>
        </w:rPr>
        <w:t>madde</w:t>
      </w:r>
      <w:r w:rsidR="00B673B5" w:rsidRPr="008F1795">
        <w:rPr>
          <w:i/>
          <w:iCs/>
          <w:lang w:val="tr-TR"/>
        </w:rPr>
        <w:t>de belirtilen değerlere karşı</w:t>
      </w:r>
      <w:r w:rsidR="00C20C3D" w:rsidRPr="008F1795">
        <w:rPr>
          <w:i/>
          <w:iCs/>
          <w:lang w:val="tr-TR"/>
        </w:rPr>
        <w:t xml:space="preserve"> saygının azaltılması amaçlı fiil ve eylemlerden oluşur</w:t>
      </w:r>
      <w:r w:rsidR="00C20C3D" w:rsidRPr="008F1795">
        <w:rPr>
          <w:lang w:val="tr-TR"/>
        </w:rPr>
        <w:t xml:space="preserve">” </w:t>
      </w:r>
      <w:r w:rsidR="007D5AD5" w:rsidRPr="008F1795">
        <w:rPr>
          <w:lang w:val="tr-TR"/>
        </w:rPr>
        <w:t>yönündeki</w:t>
      </w:r>
      <w:r w:rsidR="00C20C3D" w:rsidRPr="008F1795">
        <w:rPr>
          <w:lang w:val="tr-TR"/>
        </w:rPr>
        <w:t xml:space="preserve"> </w:t>
      </w:r>
      <w:r w:rsidR="00196DA8" w:rsidRPr="008F1795">
        <w:rPr>
          <w:lang w:val="tr-TR"/>
        </w:rPr>
        <w:t>tanımlama</w:t>
      </w:r>
      <w:r w:rsidR="003B744F" w:rsidRPr="008F1795">
        <w:rPr>
          <w:lang w:val="tr-TR"/>
        </w:rPr>
        <w:t xml:space="preserve">, </w:t>
      </w:r>
      <w:r w:rsidR="007C34A9" w:rsidRPr="008F1795">
        <w:rPr>
          <w:lang w:val="tr-TR"/>
        </w:rPr>
        <w:t>bu hükmün pratikte nasıl uygulanacağın</w:t>
      </w:r>
      <w:r w:rsidR="007D5AD5" w:rsidRPr="008F1795">
        <w:rPr>
          <w:lang w:val="tr-TR"/>
        </w:rPr>
        <w:t>a dair hiçbir açıklama getirmeden</w:t>
      </w:r>
      <w:r w:rsidR="007C34A9" w:rsidRPr="008F1795">
        <w:rPr>
          <w:lang w:val="tr-TR"/>
        </w:rPr>
        <w:t xml:space="preserve"> </w:t>
      </w:r>
      <w:r w:rsidR="003B744F" w:rsidRPr="008F1795">
        <w:rPr>
          <w:lang w:val="tr-TR"/>
        </w:rPr>
        <w:t>sadece “aşağılama”</w:t>
      </w:r>
      <w:r w:rsidR="00F944A1" w:rsidRPr="008F1795">
        <w:rPr>
          <w:lang w:val="tr-TR"/>
        </w:rPr>
        <w:t xml:space="preserve"> ifadesini “saygının azaltılması”</w:t>
      </w:r>
      <w:r w:rsidR="00B673B5" w:rsidRPr="008F1795">
        <w:rPr>
          <w:lang w:val="tr-TR"/>
        </w:rPr>
        <w:t xml:space="preserve"> </w:t>
      </w:r>
      <w:r w:rsidR="00F944A1" w:rsidRPr="008F1795">
        <w:rPr>
          <w:lang w:val="tr-TR"/>
        </w:rPr>
        <w:t>şe</w:t>
      </w:r>
      <w:r w:rsidR="007C34A9" w:rsidRPr="008F1795">
        <w:rPr>
          <w:lang w:val="tr-TR"/>
        </w:rPr>
        <w:t xml:space="preserve">klinde değiştirdiği için </w:t>
      </w:r>
      <w:r w:rsidR="00E831B4" w:rsidRPr="008F1795">
        <w:rPr>
          <w:lang w:val="tr-TR"/>
        </w:rPr>
        <w:t xml:space="preserve">öngörülebilirlik sorununu da çözmemektedir. </w:t>
      </w:r>
      <w:r w:rsidR="0049692D" w:rsidRPr="008F1795">
        <w:rPr>
          <w:lang w:val="tr-TR"/>
        </w:rPr>
        <w:t>Bu problem</w:t>
      </w:r>
      <w:r w:rsidR="00861720" w:rsidRPr="008F1795">
        <w:rPr>
          <w:lang w:val="tr-TR"/>
        </w:rPr>
        <w:t xml:space="preserve">, </w:t>
      </w:r>
      <w:r w:rsidR="005C47B5" w:rsidRPr="008F1795">
        <w:rPr>
          <w:lang w:val="tr-TR"/>
        </w:rPr>
        <w:t>eleştiri amacıyla yapılan düşünce açıklamaları</w:t>
      </w:r>
      <w:r w:rsidR="00861720" w:rsidRPr="008F1795">
        <w:rPr>
          <w:lang w:val="tr-TR"/>
        </w:rPr>
        <w:t>nın</w:t>
      </w:r>
      <w:r w:rsidR="005C47B5" w:rsidRPr="008F1795">
        <w:rPr>
          <w:lang w:val="tr-TR"/>
        </w:rPr>
        <w:t xml:space="preserve"> suç </w:t>
      </w:r>
      <w:r w:rsidR="005C47B5" w:rsidRPr="008F1795">
        <w:rPr>
          <w:lang w:val="tr-TR"/>
        </w:rPr>
        <w:lastRenderedPageBreak/>
        <w:t>oluşturma</w:t>
      </w:r>
      <w:r w:rsidR="00861720" w:rsidRPr="008F1795">
        <w:rPr>
          <w:lang w:val="tr-TR"/>
        </w:rPr>
        <w:t>dığının belirtildiği (3)</w:t>
      </w:r>
      <w:r w:rsidR="005C47B5" w:rsidRPr="008F1795">
        <w:rPr>
          <w:lang w:val="tr-TR"/>
        </w:rPr>
        <w:t>.</w:t>
      </w:r>
      <w:r w:rsidR="00861720" w:rsidRPr="008F1795">
        <w:rPr>
          <w:lang w:val="tr-TR"/>
        </w:rPr>
        <w:t xml:space="preserve"> </w:t>
      </w:r>
      <w:proofErr w:type="gramStart"/>
      <w:r w:rsidR="008C7BFD">
        <w:rPr>
          <w:lang w:val="tr-TR"/>
        </w:rPr>
        <w:t>f</w:t>
      </w:r>
      <w:r w:rsidR="00EC6225" w:rsidRPr="008F1795">
        <w:rPr>
          <w:lang w:val="tr-TR"/>
        </w:rPr>
        <w:t>ıkra</w:t>
      </w:r>
      <w:proofErr w:type="gramEnd"/>
      <w:r w:rsidR="00861720" w:rsidRPr="008F1795">
        <w:rPr>
          <w:lang w:val="tr-TR"/>
        </w:rPr>
        <w:t xml:space="preserve"> i</w:t>
      </w:r>
      <w:r w:rsidR="0080339D" w:rsidRPr="008F1795">
        <w:rPr>
          <w:lang w:val="tr-TR"/>
        </w:rPr>
        <w:t>le</w:t>
      </w:r>
      <w:r w:rsidR="00861720" w:rsidRPr="008F1795">
        <w:rPr>
          <w:lang w:val="tr-TR"/>
        </w:rPr>
        <w:t xml:space="preserve"> tamamen olmasa da kısmen çözülmektedir. </w:t>
      </w:r>
      <w:r w:rsidR="0080339D" w:rsidRPr="008F1795">
        <w:rPr>
          <w:lang w:val="tr-TR"/>
        </w:rPr>
        <w:t xml:space="preserve">“Aşağılama” ve “eleştiri” arasındaki ayrım açık değildir ve tamamen mahkemelerin </w:t>
      </w:r>
      <w:r w:rsidR="00265380" w:rsidRPr="008F1795">
        <w:rPr>
          <w:lang w:val="tr-TR"/>
        </w:rPr>
        <w:t>takdirine bırakılmış gözükmektedir. “</w:t>
      </w:r>
      <w:r w:rsidR="008C7BFD">
        <w:rPr>
          <w:lang w:val="tr-TR"/>
        </w:rPr>
        <w:t>A</w:t>
      </w:r>
      <w:r w:rsidR="00265380" w:rsidRPr="008F1795">
        <w:rPr>
          <w:lang w:val="tr-TR"/>
        </w:rPr>
        <w:t xml:space="preserve">şağılamanın” anlamanı tanımlayan iyi geliştirilmiş bir içtihat olmadığı sürece, </w:t>
      </w:r>
      <w:r w:rsidR="00FA36E4" w:rsidRPr="008F1795">
        <w:rPr>
          <w:lang w:val="tr-TR"/>
        </w:rPr>
        <w:t xml:space="preserve">bu </w:t>
      </w:r>
      <w:r w:rsidR="00241305" w:rsidRPr="008F1795">
        <w:rPr>
          <w:lang w:val="tr-TR"/>
        </w:rPr>
        <w:t>madde</w:t>
      </w:r>
      <w:r w:rsidR="00FA36E4" w:rsidRPr="008F1795">
        <w:rPr>
          <w:lang w:val="tr-TR"/>
        </w:rPr>
        <w:t xml:space="preserve"> uyarınca yürütülmesi mümkün kovuşturmalar ve verilmesi mümkün cezalar tahmin edilebilir değildir. </w:t>
      </w:r>
      <w:r w:rsidR="00F026F5" w:rsidRPr="008F1795">
        <w:rPr>
          <w:lang w:val="tr-TR"/>
        </w:rPr>
        <w:t>Hük</w:t>
      </w:r>
      <w:r w:rsidR="003B0BAB" w:rsidRPr="008F1795">
        <w:rPr>
          <w:lang w:val="tr-TR"/>
        </w:rPr>
        <w:t>üm,</w:t>
      </w:r>
      <w:r w:rsidR="00F026F5" w:rsidRPr="008F1795">
        <w:rPr>
          <w:lang w:val="tr-TR"/>
        </w:rPr>
        <w:t xml:space="preserve"> alt</w:t>
      </w:r>
      <w:r w:rsidR="003B0BAB" w:rsidRPr="008F1795">
        <w:rPr>
          <w:lang w:val="tr-TR"/>
        </w:rPr>
        <w:t>ı</w:t>
      </w:r>
      <w:r w:rsidR="00F026F5" w:rsidRPr="008F1795">
        <w:rPr>
          <w:lang w:val="tr-TR"/>
        </w:rPr>
        <w:t xml:space="preserve"> ay ile iki yıl arası hapis cezası gibi sert bir yaptırım</w:t>
      </w:r>
      <w:r w:rsidR="003B0BAB" w:rsidRPr="008F1795">
        <w:rPr>
          <w:lang w:val="tr-TR"/>
        </w:rPr>
        <w:t xml:space="preserve"> da içerdiği için bu husus bilhassa ciddidir. Bunun yan</w:t>
      </w:r>
      <w:r w:rsidR="00F1547C" w:rsidRPr="008F1795">
        <w:rPr>
          <w:lang w:val="tr-TR"/>
        </w:rPr>
        <w:t>ı</w:t>
      </w:r>
      <w:r w:rsidR="003B0BAB" w:rsidRPr="008F1795">
        <w:rPr>
          <w:lang w:val="tr-TR"/>
        </w:rPr>
        <w:t xml:space="preserve"> sıra</w:t>
      </w:r>
      <w:r w:rsidR="00996550" w:rsidRPr="008F1795">
        <w:rPr>
          <w:lang w:val="tr-TR"/>
        </w:rPr>
        <w:t>, Yargıtay’ın 11 Temmuz 2006 tarihli kararında “Türklük</w:t>
      </w:r>
      <w:r w:rsidR="00931222" w:rsidRPr="008F1795">
        <w:rPr>
          <w:lang w:val="tr-TR"/>
        </w:rPr>
        <w:t xml:space="preserve"> teriminin anlamına (parag. 84) ve “Türk Milleti” ile “Türkiye Cumhuriyeti Devleti” arasında </w:t>
      </w:r>
      <w:r w:rsidR="00F1547C" w:rsidRPr="008F1795">
        <w:rPr>
          <w:lang w:val="tr-TR"/>
        </w:rPr>
        <w:t xml:space="preserve">farkın ne olduğuna dair yaptığı açıklamaya rağmen AİHM gibi </w:t>
      </w:r>
      <w:r w:rsidR="00244B1E">
        <w:rPr>
          <w:lang w:val="tr-TR"/>
        </w:rPr>
        <w:t xml:space="preserve">Venedik </w:t>
      </w:r>
      <w:r w:rsidR="00F1547C" w:rsidRPr="008F1795">
        <w:rPr>
          <w:lang w:val="tr-TR"/>
        </w:rPr>
        <w:t>Komisyon</w:t>
      </w:r>
      <w:r w:rsidR="00244B1E">
        <w:rPr>
          <w:lang w:val="tr-TR"/>
        </w:rPr>
        <w:t>u</w:t>
      </w:r>
      <w:r w:rsidR="00F1547C" w:rsidRPr="008F1795">
        <w:rPr>
          <w:lang w:val="tr-TR"/>
        </w:rPr>
        <w:t xml:space="preserve"> da, “Türk Milletinin”</w:t>
      </w:r>
      <w:r w:rsidR="00886911" w:rsidRPr="008F1795">
        <w:rPr>
          <w:lang w:val="tr-TR"/>
        </w:rPr>
        <w:t xml:space="preserve"> </w:t>
      </w:r>
      <w:r w:rsidR="00315D14" w:rsidRPr="008F1795">
        <w:rPr>
          <w:lang w:val="tr-TR"/>
        </w:rPr>
        <w:t>hangi hallerde</w:t>
      </w:r>
      <w:r w:rsidR="00886911" w:rsidRPr="008F1795">
        <w:rPr>
          <w:lang w:val="tr-TR"/>
        </w:rPr>
        <w:t xml:space="preserve"> “aşağılan</w:t>
      </w:r>
      <w:r w:rsidR="00315D14" w:rsidRPr="008F1795">
        <w:rPr>
          <w:lang w:val="tr-TR"/>
        </w:rPr>
        <w:t>mış</w:t>
      </w:r>
      <w:r w:rsidR="00687DD8" w:rsidRPr="008F1795">
        <w:rPr>
          <w:lang w:val="tr-TR"/>
        </w:rPr>
        <w:t>” sayılabileceğinin</w:t>
      </w:r>
      <w:r w:rsidR="00886911" w:rsidRPr="008F1795">
        <w:rPr>
          <w:lang w:val="tr-TR"/>
        </w:rPr>
        <w:t xml:space="preserve"> açık olmadığı kanaatindedir. </w:t>
      </w:r>
    </w:p>
    <w:p w14:paraId="173A0FBE" w14:textId="77777777" w:rsidR="00CC1FBD" w:rsidRPr="008F1795" w:rsidRDefault="00CC1FBD" w:rsidP="00CC1FBD">
      <w:pPr>
        <w:pStyle w:val="ListeParagraf"/>
        <w:tabs>
          <w:tab w:val="left" w:pos="748"/>
        </w:tabs>
        <w:rPr>
          <w:lang w:val="tr-TR"/>
        </w:rPr>
      </w:pPr>
    </w:p>
    <w:p w14:paraId="2B2101CC" w14:textId="345167B4" w:rsidR="00687DD8" w:rsidRPr="008F1795" w:rsidRDefault="00C75860">
      <w:pPr>
        <w:pStyle w:val="ListeParagraf"/>
        <w:numPr>
          <w:ilvl w:val="0"/>
          <w:numId w:val="2"/>
        </w:numPr>
        <w:tabs>
          <w:tab w:val="left" w:pos="732"/>
        </w:tabs>
        <w:ind w:firstLine="0"/>
        <w:rPr>
          <w:lang w:val="tr-TR"/>
        </w:rPr>
      </w:pPr>
      <w:r w:rsidRPr="008F1795">
        <w:rPr>
          <w:lang w:val="tr-TR"/>
        </w:rPr>
        <w:t>Sonuç olarak, yüksek mahkemeler tarafından içtihat hukuku yoluyla “Türk Milleti” vs. ve “aşağılama” terimlerine yeterli açıklık getirilmediği sürece, AİHM</w:t>
      </w:r>
      <w:r w:rsidR="00890B53" w:rsidRPr="008F1795">
        <w:rPr>
          <w:lang w:val="tr-TR"/>
        </w:rPr>
        <w:t xml:space="preserve">’nin vardığı sonuçlar hala geçerlidir ve 301. </w:t>
      </w:r>
      <w:r w:rsidR="00241305" w:rsidRPr="008F1795">
        <w:rPr>
          <w:lang w:val="tr-TR"/>
        </w:rPr>
        <w:t>Madde</w:t>
      </w:r>
      <w:r w:rsidR="00890B53" w:rsidRPr="008F1795">
        <w:rPr>
          <w:lang w:val="tr-TR"/>
        </w:rPr>
        <w:t xml:space="preserve">, muğlak metni nedeniyle AİHS 10. </w:t>
      </w:r>
      <w:r w:rsidR="00241305" w:rsidRPr="008F1795">
        <w:rPr>
          <w:lang w:val="tr-TR"/>
        </w:rPr>
        <w:t>Madde</w:t>
      </w:r>
      <w:r w:rsidR="00890B53" w:rsidRPr="008F1795">
        <w:rPr>
          <w:lang w:val="tr-TR"/>
        </w:rPr>
        <w:t>si</w:t>
      </w:r>
      <w:r w:rsidR="00CC0DC3" w:rsidRPr="008F1795">
        <w:rPr>
          <w:lang w:val="tr-TR"/>
        </w:rPr>
        <w:t>ne aykırı olmayı sürdürmektedir. Bu durum, bireylerin ve özellikle de medyanın oto-sansür uygulamasına ned</w:t>
      </w:r>
      <w:r w:rsidR="00733BCB" w:rsidRPr="008F1795">
        <w:rPr>
          <w:lang w:val="tr-TR"/>
        </w:rPr>
        <w:t xml:space="preserve">en </w:t>
      </w:r>
      <w:r w:rsidR="00CC0DC3" w:rsidRPr="008F1795">
        <w:rPr>
          <w:lang w:val="tr-TR"/>
        </w:rPr>
        <w:t>ola</w:t>
      </w:r>
      <w:r w:rsidR="005964DE" w:rsidRPr="008F1795">
        <w:rPr>
          <w:lang w:val="tr-TR"/>
        </w:rPr>
        <w:t xml:space="preserve">rak, bilgi ve fikirlerin serbest akışı ve paylaşımı üzerinde çok ciddi bir etki bırakabilir. </w:t>
      </w:r>
    </w:p>
    <w:p w14:paraId="6235A9D7" w14:textId="77777777" w:rsidR="00687DD8" w:rsidRPr="008F1795" w:rsidRDefault="00687DD8" w:rsidP="00687DD8">
      <w:pPr>
        <w:pStyle w:val="ListeParagraf"/>
        <w:tabs>
          <w:tab w:val="left" w:pos="732"/>
        </w:tabs>
        <w:rPr>
          <w:lang w:val="tr-TR"/>
        </w:rPr>
      </w:pPr>
    </w:p>
    <w:p w14:paraId="04A2527D" w14:textId="61EE1729" w:rsidR="009322FC" w:rsidRPr="008F1795" w:rsidRDefault="009322FC">
      <w:pPr>
        <w:pStyle w:val="ListeParagraf"/>
        <w:numPr>
          <w:ilvl w:val="0"/>
          <w:numId w:val="2"/>
        </w:numPr>
        <w:tabs>
          <w:tab w:val="left" w:pos="640"/>
        </w:tabs>
        <w:ind w:right="219" w:firstLine="0"/>
        <w:rPr>
          <w:lang w:val="tr-TR"/>
        </w:rPr>
      </w:pPr>
      <w:r w:rsidRPr="008F1795">
        <w:rPr>
          <w:lang w:val="tr-TR"/>
        </w:rPr>
        <w:t xml:space="preserve">İkinci olarak, “aşağılama” fiilinin muğlaklığına </w:t>
      </w:r>
      <w:r w:rsidR="008860AE" w:rsidRPr="008F1795">
        <w:rPr>
          <w:lang w:val="tr-TR"/>
        </w:rPr>
        <w:t>dair</w:t>
      </w:r>
      <w:r w:rsidRPr="008F1795">
        <w:rPr>
          <w:lang w:val="tr-TR"/>
        </w:rPr>
        <w:t xml:space="preserve"> 1. </w:t>
      </w:r>
      <w:r w:rsidR="000C4294">
        <w:rPr>
          <w:lang w:val="tr-TR"/>
        </w:rPr>
        <w:t>f</w:t>
      </w:r>
      <w:r w:rsidR="00EC6225" w:rsidRPr="008F1795">
        <w:rPr>
          <w:lang w:val="tr-TR"/>
        </w:rPr>
        <w:t>ıkra</w:t>
      </w:r>
      <w:r w:rsidR="008860AE" w:rsidRPr="008F1795">
        <w:rPr>
          <w:lang w:val="tr-TR"/>
        </w:rPr>
        <w:t>ya ilişkin yapılan gözlemler</w:t>
      </w:r>
      <w:r w:rsidR="00AF2916" w:rsidRPr="008F1795">
        <w:rPr>
          <w:lang w:val="tr-TR"/>
        </w:rPr>
        <w:t>,</w:t>
      </w:r>
      <w:r w:rsidR="008860AE" w:rsidRPr="008F1795">
        <w:rPr>
          <w:lang w:val="tr-TR"/>
        </w:rPr>
        <w:t xml:space="preserve"> aynı terimi kullanan 2. </w:t>
      </w:r>
      <w:r w:rsidR="000C4294">
        <w:rPr>
          <w:lang w:val="tr-TR"/>
        </w:rPr>
        <w:t>f</w:t>
      </w:r>
      <w:r w:rsidR="00EC6225" w:rsidRPr="008F1795">
        <w:rPr>
          <w:lang w:val="tr-TR"/>
        </w:rPr>
        <w:t>ıkra</w:t>
      </w:r>
      <w:r w:rsidR="008860AE" w:rsidRPr="008F1795">
        <w:rPr>
          <w:lang w:val="tr-TR"/>
        </w:rPr>
        <w:t xml:space="preserve"> için de </w:t>
      </w:r>
      <w:r w:rsidR="001C79D7" w:rsidRPr="008F1795">
        <w:rPr>
          <w:lang w:val="tr-TR"/>
        </w:rPr>
        <w:t xml:space="preserve">aynı derecede </w:t>
      </w:r>
      <w:r w:rsidR="008860AE" w:rsidRPr="008F1795">
        <w:rPr>
          <w:lang w:val="tr-TR"/>
        </w:rPr>
        <w:t>geçerlidir.</w:t>
      </w:r>
      <w:r w:rsidR="001C79D7" w:rsidRPr="008F1795">
        <w:rPr>
          <w:lang w:val="tr-TR"/>
        </w:rPr>
        <w:t xml:space="preserve"> Bunun yanı sıra, </w:t>
      </w:r>
      <w:r w:rsidR="008D33E5" w:rsidRPr="008F1795">
        <w:rPr>
          <w:lang w:val="tr-TR"/>
        </w:rPr>
        <w:t xml:space="preserve">1. </w:t>
      </w:r>
      <w:r w:rsidR="000C4294">
        <w:rPr>
          <w:lang w:val="tr-TR"/>
        </w:rPr>
        <w:t>f</w:t>
      </w:r>
      <w:r w:rsidR="00EC6225" w:rsidRPr="008F1795">
        <w:rPr>
          <w:lang w:val="tr-TR"/>
        </w:rPr>
        <w:t>ıkra</w:t>
      </w:r>
      <w:r w:rsidR="008D33E5" w:rsidRPr="008F1795">
        <w:rPr>
          <w:lang w:val="tr-TR"/>
        </w:rPr>
        <w:t xml:space="preserve">da </w:t>
      </w:r>
      <w:r w:rsidR="00CB2240" w:rsidRPr="008F1795">
        <w:rPr>
          <w:lang w:val="tr-TR"/>
        </w:rPr>
        <w:t>sağlanan</w:t>
      </w:r>
      <w:r w:rsidR="008D33E5" w:rsidRPr="008F1795">
        <w:rPr>
          <w:lang w:val="tr-TR"/>
        </w:rPr>
        <w:t xml:space="preserve"> </w:t>
      </w:r>
      <w:r w:rsidR="00CB2240" w:rsidRPr="008F1795">
        <w:rPr>
          <w:lang w:val="tr-TR"/>
        </w:rPr>
        <w:t>k</w:t>
      </w:r>
      <w:r w:rsidR="00574EA6" w:rsidRPr="008F1795">
        <w:rPr>
          <w:lang w:val="tr-TR"/>
        </w:rPr>
        <w:t>oruma</w:t>
      </w:r>
      <w:r w:rsidR="008D33E5" w:rsidRPr="008F1795">
        <w:rPr>
          <w:lang w:val="tr-TR"/>
        </w:rPr>
        <w:t>nın</w:t>
      </w:r>
      <w:r w:rsidR="00574EA6" w:rsidRPr="008F1795">
        <w:rPr>
          <w:lang w:val="tr-TR"/>
        </w:rPr>
        <w:t xml:space="preserve"> </w:t>
      </w:r>
      <w:r w:rsidR="00CB0290" w:rsidRPr="008F1795">
        <w:rPr>
          <w:lang w:val="tr-TR"/>
        </w:rPr>
        <w:t>askeri ve emniyet teşkilatları</w:t>
      </w:r>
      <w:r w:rsidR="00CB2240" w:rsidRPr="008F1795">
        <w:rPr>
          <w:lang w:val="tr-TR"/>
        </w:rPr>
        <w:t xml:space="preserve"> için de </w:t>
      </w:r>
      <w:r w:rsidR="00CB0290" w:rsidRPr="008F1795">
        <w:rPr>
          <w:lang w:val="tr-TR"/>
        </w:rPr>
        <w:t xml:space="preserve">uygulanabileceği dikkate alındığında, açıklama olmaksızın </w:t>
      </w:r>
      <w:r w:rsidR="00C2278B" w:rsidRPr="008F1795">
        <w:rPr>
          <w:lang w:val="tr-TR"/>
        </w:rPr>
        <w:t>bu</w:t>
      </w:r>
      <w:r w:rsidR="00CB0290" w:rsidRPr="008F1795">
        <w:rPr>
          <w:lang w:val="tr-TR"/>
        </w:rPr>
        <w:t xml:space="preserve"> teşkilatlar için neden ayrı bir hükme </w:t>
      </w:r>
      <w:r w:rsidR="00CB2240" w:rsidRPr="008F1795">
        <w:rPr>
          <w:lang w:val="tr-TR"/>
        </w:rPr>
        <w:t xml:space="preserve">gerek duyulduğu da </w:t>
      </w:r>
      <w:r w:rsidR="00CB0290" w:rsidRPr="008F1795">
        <w:rPr>
          <w:lang w:val="tr-TR"/>
        </w:rPr>
        <w:t>açık değildir</w:t>
      </w:r>
      <w:r w:rsidR="00C2278B" w:rsidRPr="008F1795">
        <w:rPr>
          <w:lang w:val="tr-TR"/>
        </w:rPr>
        <w:t>.</w:t>
      </w:r>
    </w:p>
    <w:p w14:paraId="45D945EF" w14:textId="77777777" w:rsidR="009322FC" w:rsidRPr="008F1795" w:rsidRDefault="009322FC" w:rsidP="009322FC">
      <w:pPr>
        <w:pStyle w:val="ListeParagraf"/>
        <w:tabs>
          <w:tab w:val="left" w:pos="640"/>
        </w:tabs>
        <w:ind w:right="219"/>
        <w:rPr>
          <w:lang w:val="tr-TR"/>
        </w:rPr>
      </w:pPr>
    </w:p>
    <w:p w14:paraId="16E189CD" w14:textId="5A7C777A" w:rsidR="00C2278B" w:rsidRPr="008F1795" w:rsidRDefault="00C2278B" w:rsidP="00474F44">
      <w:pPr>
        <w:pStyle w:val="ListeParagraf"/>
        <w:numPr>
          <w:ilvl w:val="0"/>
          <w:numId w:val="2"/>
        </w:numPr>
        <w:tabs>
          <w:tab w:val="left" w:pos="655"/>
        </w:tabs>
        <w:spacing w:before="94"/>
        <w:ind w:right="216" w:firstLine="0"/>
        <w:rPr>
          <w:lang w:val="tr-TR"/>
        </w:rPr>
      </w:pPr>
      <w:r w:rsidRPr="008F1795">
        <w:rPr>
          <w:lang w:val="tr-TR"/>
        </w:rPr>
        <w:t xml:space="preserve">Üçüncü olarak, </w:t>
      </w:r>
      <w:r w:rsidRPr="008F1795">
        <w:rPr>
          <w:i/>
          <w:iCs/>
          <w:lang w:val="tr-TR"/>
        </w:rPr>
        <w:t>Dink Davasında</w:t>
      </w:r>
      <w:r w:rsidR="005F4DD7" w:rsidRPr="008F1795">
        <w:rPr>
          <w:lang w:val="tr-TR"/>
        </w:rPr>
        <w:t xml:space="preserve"> AİHM</w:t>
      </w:r>
      <w:r w:rsidRPr="008F1795">
        <w:rPr>
          <w:lang w:val="tr-TR"/>
        </w:rPr>
        <w:t>,</w:t>
      </w:r>
      <w:r w:rsidR="00CF586E" w:rsidRPr="008F1795">
        <w:rPr>
          <w:lang w:val="tr-TR"/>
        </w:rPr>
        <w:t xml:space="preserve"> fail</w:t>
      </w:r>
      <w:r w:rsidR="007D4B9D" w:rsidRPr="008F1795">
        <w:rPr>
          <w:lang w:val="tr-TR"/>
        </w:rPr>
        <w:t xml:space="preserve">in şiddete tahrik etmediği durumlarda, </w:t>
      </w:r>
      <w:r w:rsidR="00AE2AC0" w:rsidRPr="008F1795">
        <w:rPr>
          <w:lang w:val="tr-TR"/>
        </w:rPr>
        <w:t>Devlet organlarını itibar</w:t>
      </w:r>
      <w:r w:rsidR="00014E6C" w:rsidRPr="008F1795">
        <w:rPr>
          <w:lang w:val="tr-TR"/>
        </w:rPr>
        <w:t>sızlaştırılma</w:t>
      </w:r>
      <w:r w:rsidR="0005638E" w:rsidRPr="008F1795">
        <w:rPr>
          <w:lang w:val="tr-TR"/>
        </w:rPr>
        <w:t>ya karşı korumanın</w:t>
      </w:r>
      <w:r w:rsidR="00014E6C" w:rsidRPr="008F1795">
        <w:rPr>
          <w:lang w:val="tr-TR"/>
        </w:rPr>
        <w:t xml:space="preserve">, </w:t>
      </w:r>
      <w:r w:rsidR="007D4B9D" w:rsidRPr="008F1795">
        <w:rPr>
          <w:lang w:val="tr-TR"/>
        </w:rPr>
        <w:t>kamu düzenini koruma gibi meşru bir ama</w:t>
      </w:r>
      <w:r w:rsidR="00B81125" w:rsidRPr="008F1795">
        <w:rPr>
          <w:lang w:val="tr-TR"/>
        </w:rPr>
        <w:t>ç doğrultusunda olup olmadığına dair şüphelerini ifade etmiştir.</w:t>
      </w:r>
      <w:r w:rsidR="005F4DD7" w:rsidRPr="008F1795">
        <w:rPr>
          <w:rStyle w:val="DipnotBavurusu"/>
          <w:lang w:val="tr-TR"/>
        </w:rPr>
        <w:footnoteReference w:id="115"/>
      </w:r>
      <w:r w:rsidR="00B81125" w:rsidRPr="008F1795">
        <w:rPr>
          <w:lang w:val="tr-TR"/>
        </w:rPr>
        <w:t xml:space="preserve"> </w:t>
      </w:r>
      <w:r w:rsidR="005F4DD7" w:rsidRPr="008F1795">
        <w:rPr>
          <w:lang w:val="tr-TR"/>
        </w:rPr>
        <w:t xml:space="preserve"> AİHM 10(2). </w:t>
      </w:r>
      <w:r w:rsidR="00241305" w:rsidRPr="008F1795">
        <w:rPr>
          <w:lang w:val="tr-TR"/>
        </w:rPr>
        <w:t>Madde</w:t>
      </w:r>
      <w:r w:rsidR="005F4DD7" w:rsidRPr="008F1795">
        <w:rPr>
          <w:lang w:val="tr-TR"/>
        </w:rPr>
        <w:t xml:space="preserve">sine göre, </w:t>
      </w:r>
      <w:r w:rsidR="00A90DC8" w:rsidRPr="008F1795">
        <w:rPr>
          <w:lang w:val="tr-TR"/>
        </w:rPr>
        <w:t>Devletlerin siyasi söylem</w:t>
      </w:r>
      <w:r w:rsidR="00F17FB7" w:rsidRPr="008F1795">
        <w:rPr>
          <w:lang w:val="tr-TR"/>
        </w:rPr>
        <w:t>lerde</w:t>
      </w:r>
      <w:r w:rsidR="00A90DC8" w:rsidRPr="008F1795">
        <w:rPr>
          <w:lang w:val="tr-TR"/>
        </w:rPr>
        <w:t xml:space="preserve"> ve kamu genelini ilgilendiren </w:t>
      </w:r>
      <w:r w:rsidR="00F17FB7" w:rsidRPr="008F1795">
        <w:rPr>
          <w:lang w:val="tr-TR"/>
        </w:rPr>
        <w:t>konularda ifade özgürlüğü hakkın</w:t>
      </w:r>
      <w:r w:rsidR="004B762C" w:rsidRPr="008F1795">
        <w:rPr>
          <w:lang w:val="tr-TR"/>
        </w:rPr>
        <w:t>ı</w:t>
      </w:r>
      <w:r w:rsidR="00F17FB7" w:rsidRPr="008F1795">
        <w:rPr>
          <w:lang w:val="tr-TR"/>
        </w:rPr>
        <w:t xml:space="preserve"> </w:t>
      </w:r>
      <w:r w:rsidR="00A903C1" w:rsidRPr="008F1795">
        <w:rPr>
          <w:lang w:val="tr-TR"/>
        </w:rPr>
        <w:t xml:space="preserve">kısıtlamasına, şiddete </w:t>
      </w:r>
      <w:r w:rsidR="00EB4BA8">
        <w:rPr>
          <w:lang w:val="tr-TR"/>
        </w:rPr>
        <w:t>tahrik</w:t>
      </w:r>
      <w:r w:rsidR="00A903C1" w:rsidRPr="008F1795">
        <w:rPr>
          <w:lang w:val="tr-TR"/>
        </w:rPr>
        <w:t xml:space="preserve"> gibi ancak çok istisnai koşullarda izin verilmektedir.</w:t>
      </w:r>
      <w:r w:rsidR="004B762C" w:rsidRPr="008F1795">
        <w:rPr>
          <w:rStyle w:val="DipnotBavurusu"/>
          <w:lang w:val="tr-TR"/>
        </w:rPr>
        <w:footnoteReference w:id="116"/>
      </w:r>
      <w:r w:rsidR="00A903C1" w:rsidRPr="008F1795">
        <w:rPr>
          <w:lang w:val="tr-TR"/>
        </w:rPr>
        <w:t xml:space="preserve"> </w:t>
      </w:r>
      <w:r w:rsidR="004B762C" w:rsidRPr="008F1795">
        <w:rPr>
          <w:lang w:val="tr-TR"/>
        </w:rPr>
        <w:t xml:space="preserve">Mahkeme ayrıca, </w:t>
      </w:r>
      <w:r w:rsidR="00AB0484" w:rsidRPr="008F1795">
        <w:rPr>
          <w:lang w:val="tr-TR"/>
        </w:rPr>
        <w:t xml:space="preserve">Devletlerin ceza hukuku araçlarını bu alanda </w:t>
      </w:r>
      <w:r w:rsidR="00FF1E4F" w:rsidRPr="008F1795">
        <w:rPr>
          <w:lang w:val="tr-TR"/>
        </w:rPr>
        <w:t xml:space="preserve">sınırlı kullanması gerektiğini ve </w:t>
      </w:r>
      <w:r w:rsidR="00AE7397" w:rsidRPr="008F1795">
        <w:rPr>
          <w:lang w:val="tr-TR"/>
        </w:rPr>
        <w:t xml:space="preserve">şiddete </w:t>
      </w:r>
      <w:r w:rsidR="00EB4BA8">
        <w:rPr>
          <w:lang w:val="tr-TR"/>
        </w:rPr>
        <w:t>tahri</w:t>
      </w:r>
      <w:r w:rsidR="00CA3ECB">
        <w:rPr>
          <w:lang w:val="tr-TR"/>
        </w:rPr>
        <w:t>k</w:t>
      </w:r>
      <w:r w:rsidR="00E45F5E">
        <w:rPr>
          <w:lang w:val="tr-TR"/>
        </w:rPr>
        <w:t xml:space="preserve"> olmayan</w:t>
      </w:r>
      <w:r w:rsidR="00AE7397" w:rsidRPr="008F1795">
        <w:rPr>
          <w:lang w:val="tr-TR"/>
        </w:rPr>
        <w:t xml:space="preserve"> durumlarda hapis cezası verilmesinin demokratik bir toplumda gereklilik şartını yerine getirmediği hatırlatmıştır (</w:t>
      </w:r>
      <w:proofErr w:type="spellStart"/>
      <w:r w:rsidR="00666955" w:rsidRPr="008F1795">
        <w:rPr>
          <w:lang w:val="tr-TR"/>
        </w:rPr>
        <w:t>Hrant</w:t>
      </w:r>
      <w:proofErr w:type="spellEnd"/>
      <w:r w:rsidR="00666955" w:rsidRPr="008F1795">
        <w:rPr>
          <w:lang w:val="tr-TR"/>
        </w:rPr>
        <w:t xml:space="preserve"> </w:t>
      </w:r>
      <w:proofErr w:type="spellStart"/>
      <w:r w:rsidR="00666955" w:rsidRPr="008F1795">
        <w:rPr>
          <w:lang w:val="tr-TR"/>
        </w:rPr>
        <w:t>Dink’in</w:t>
      </w:r>
      <w:proofErr w:type="spellEnd"/>
      <w:r w:rsidR="00666955" w:rsidRPr="008F1795">
        <w:rPr>
          <w:lang w:val="tr-TR"/>
        </w:rPr>
        <w:t xml:space="preserve"> durumunda olduğu gibi</w:t>
      </w:r>
      <w:r w:rsidR="00666955" w:rsidRPr="008F1795">
        <w:rPr>
          <w:rStyle w:val="DipnotBavurusu"/>
          <w:lang w:val="tr-TR"/>
        </w:rPr>
        <w:footnoteReference w:id="117"/>
      </w:r>
      <w:r w:rsidR="00666955" w:rsidRPr="008F1795">
        <w:rPr>
          <w:lang w:val="tr-TR"/>
        </w:rPr>
        <w:t xml:space="preserve">). Mahkemenin vardığı bu sonuçlar hala geçerliliğini korumaktadır. </w:t>
      </w:r>
    </w:p>
    <w:p w14:paraId="38105416" w14:textId="77777777" w:rsidR="00F4261D" w:rsidRPr="008F1795" w:rsidRDefault="00F4261D" w:rsidP="00F4261D">
      <w:pPr>
        <w:pStyle w:val="ListeParagraf"/>
        <w:tabs>
          <w:tab w:val="left" w:pos="655"/>
        </w:tabs>
        <w:spacing w:before="94"/>
        <w:ind w:right="216"/>
        <w:rPr>
          <w:lang w:val="tr-TR"/>
        </w:rPr>
      </w:pPr>
    </w:p>
    <w:p w14:paraId="48A9DDE5" w14:textId="2CA030DF" w:rsidR="0042324C" w:rsidRPr="008F1795" w:rsidRDefault="0042324C">
      <w:pPr>
        <w:pStyle w:val="ListeParagraf"/>
        <w:numPr>
          <w:ilvl w:val="0"/>
          <w:numId w:val="2"/>
        </w:numPr>
        <w:tabs>
          <w:tab w:val="left" w:pos="755"/>
        </w:tabs>
        <w:ind w:right="211" w:firstLine="0"/>
        <w:rPr>
          <w:lang w:val="tr-TR"/>
        </w:rPr>
      </w:pPr>
      <w:r w:rsidRPr="008F1795">
        <w:rPr>
          <w:lang w:val="tr-TR"/>
        </w:rPr>
        <w:t xml:space="preserve">Son olarak, </w:t>
      </w:r>
      <w:r w:rsidR="00423927" w:rsidRPr="008F1795">
        <w:rPr>
          <w:lang w:val="tr-TR"/>
        </w:rPr>
        <w:t xml:space="preserve">301. </w:t>
      </w:r>
      <w:r w:rsidR="00241305" w:rsidRPr="008F1795">
        <w:rPr>
          <w:lang w:val="tr-TR"/>
        </w:rPr>
        <w:t>Madde</w:t>
      </w:r>
      <w:r w:rsidR="00423927" w:rsidRPr="008F1795">
        <w:rPr>
          <w:lang w:val="tr-TR"/>
        </w:rPr>
        <w:t xml:space="preserve"> kapsamındaki</w:t>
      </w:r>
      <w:r w:rsidR="005737F3" w:rsidRPr="008F1795">
        <w:rPr>
          <w:lang w:val="tr-TR"/>
        </w:rPr>
        <w:t xml:space="preserve"> suçtan dolayı soruşturma yapılması</w:t>
      </w:r>
      <w:r w:rsidR="00423927" w:rsidRPr="008F1795">
        <w:rPr>
          <w:lang w:val="tr-TR"/>
        </w:rPr>
        <w:t>nın</w:t>
      </w:r>
      <w:r w:rsidR="005737F3" w:rsidRPr="008F1795">
        <w:rPr>
          <w:lang w:val="tr-TR"/>
        </w:rPr>
        <w:t xml:space="preserve"> Adalet Bakanının iznine bağlı</w:t>
      </w:r>
      <w:r w:rsidR="00423927" w:rsidRPr="008F1795">
        <w:rPr>
          <w:lang w:val="tr-TR"/>
        </w:rPr>
        <w:t xml:space="preserve"> olduğuna dair</w:t>
      </w:r>
      <w:r w:rsidR="005737F3" w:rsidRPr="008F1795">
        <w:rPr>
          <w:lang w:val="tr-TR"/>
        </w:rPr>
        <w:t xml:space="preserve"> </w:t>
      </w:r>
      <w:r w:rsidRPr="008F1795">
        <w:rPr>
          <w:lang w:val="tr-TR"/>
        </w:rPr>
        <w:t xml:space="preserve">301. </w:t>
      </w:r>
      <w:r w:rsidR="00241305" w:rsidRPr="008F1795">
        <w:rPr>
          <w:lang w:val="tr-TR"/>
        </w:rPr>
        <w:t>Madde</w:t>
      </w:r>
      <w:r w:rsidRPr="008F1795">
        <w:rPr>
          <w:lang w:val="tr-TR"/>
        </w:rPr>
        <w:t xml:space="preserve">nin 4. </w:t>
      </w:r>
      <w:r w:rsidR="00125AA9">
        <w:rPr>
          <w:lang w:val="tr-TR"/>
        </w:rPr>
        <w:t>f</w:t>
      </w:r>
      <w:r w:rsidR="00EC6225" w:rsidRPr="008F1795">
        <w:rPr>
          <w:lang w:val="tr-TR"/>
        </w:rPr>
        <w:t>ıkra</w:t>
      </w:r>
      <w:r w:rsidR="004B1003" w:rsidRPr="008F1795">
        <w:rPr>
          <w:lang w:val="tr-TR"/>
        </w:rPr>
        <w:t>sı</w:t>
      </w:r>
      <w:r w:rsidR="00423927" w:rsidRPr="008F1795">
        <w:rPr>
          <w:lang w:val="tr-TR"/>
        </w:rPr>
        <w:t>na ilişkin</w:t>
      </w:r>
      <w:r w:rsidR="00570A88" w:rsidRPr="008F1795">
        <w:rPr>
          <w:lang w:val="tr-TR"/>
        </w:rPr>
        <w:t xml:space="preserve"> yetkililerin heyete sunduğu açıklayıcı notta </w:t>
      </w:r>
      <w:r w:rsidR="00F541C3" w:rsidRPr="008F1795">
        <w:rPr>
          <w:lang w:val="tr-TR"/>
        </w:rPr>
        <w:t>“</w:t>
      </w:r>
      <w:r w:rsidR="00F541C3" w:rsidRPr="008F1795">
        <w:rPr>
          <w:i/>
          <w:iCs/>
          <w:lang w:val="tr-TR"/>
        </w:rPr>
        <w:t>Adalet Bakanı, takdirini ülke yararına kullanacağı ve bu yetkiyi devretmeyeceği için</w:t>
      </w:r>
      <w:r w:rsidR="00F541C3" w:rsidRPr="008F1795">
        <w:rPr>
          <w:lang w:val="tr-TR"/>
        </w:rPr>
        <w:t>” bu</w:t>
      </w:r>
      <w:r w:rsidR="003D5D28" w:rsidRPr="008F1795">
        <w:rPr>
          <w:lang w:val="tr-TR"/>
        </w:rPr>
        <w:t xml:space="preserve"> hükmün olumlu bir gelişme olarak değerlendirilmesi gerektiğini vurgulanmıştır. Buna ek olarak, açıklayıcı nota göre, </w:t>
      </w:r>
      <w:r w:rsidR="00C74CA8" w:rsidRPr="008F1795">
        <w:rPr>
          <w:lang w:val="tr-TR"/>
        </w:rPr>
        <w:t>kanun değişikliği ile yargının iş yükü azaltılmış ve bu suçtan dolayı</w:t>
      </w:r>
      <w:r w:rsidR="00F4261D" w:rsidRPr="008F1795">
        <w:rPr>
          <w:lang w:val="tr-TR"/>
        </w:rPr>
        <w:t xml:space="preserve"> açılan davaların sayısında önemli bir düşüş kaydedilmiştir. </w:t>
      </w:r>
    </w:p>
    <w:p w14:paraId="55285C6C" w14:textId="77777777" w:rsidR="0042324C" w:rsidRPr="008F1795" w:rsidRDefault="0042324C" w:rsidP="0042324C">
      <w:pPr>
        <w:pStyle w:val="ListeParagraf"/>
        <w:tabs>
          <w:tab w:val="left" w:pos="755"/>
        </w:tabs>
        <w:ind w:right="211"/>
        <w:rPr>
          <w:lang w:val="tr-TR"/>
        </w:rPr>
      </w:pPr>
    </w:p>
    <w:p w14:paraId="2C377D13" w14:textId="3D6D9CE3" w:rsidR="00B27C52" w:rsidRPr="008F1795" w:rsidRDefault="00BC74C8">
      <w:pPr>
        <w:pStyle w:val="ListeParagraf"/>
        <w:numPr>
          <w:ilvl w:val="0"/>
          <w:numId w:val="2"/>
        </w:numPr>
        <w:tabs>
          <w:tab w:val="left" w:pos="651"/>
        </w:tabs>
        <w:ind w:firstLine="0"/>
        <w:rPr>
          <w:lang w:val="tr-TR"/>
        </w:rPr>
      </w:pPr>
      <w:r w:rsidRPr="008F1795">
        <w:rPr>
          <w:lang w:val="tr-TR"/>
        </w:rPr>
        <w:t>Şişli (İstanbul) 2. Asliye Ceza Mahkemesi</w:t>
      </w:r>
      <w:r w:rsidR="001B25D8" w:rsidRPr="008F1795">
        <w:rPr>
          <w:lang w:val="tr-TR"/>
        </w:rPr>
        <w:t xml:space="preserve">, </w:t>
      </w:r>
      <w:r w:rsidR="00D035A8" w:rsidRPr="008F1795">
        <w:rPr>
          <w:lang w:val="tr-TR"/>
        </w:rPr>
        <w:t xml:space="preserve">301. </w:t>
      </w:r>
      <w:r w:rsidR="00241305" w:rsidRPr="008F1795">
        <w:rPr>
          <w:lang w:val="tr-TR"/>
        </w:rPr>
        <w:t>Madde</w:t>
      </w:r>
      <w:r w:rsidR="00D035A8" w:rsidRPr="008F1795">
        <w:rPr>
          <w:lang w:val="tr-TR"/>
        </w:rPr>
        <w:t xml:space="preserve">nin 4. </w:t>
      </w:r>
      <w:r w:rsidR="00EC6225" w:rsidRPr="008F1795">
        <w:rPr>
          <w:lang w:val="tr-TR"/>
        </w:rPr>
        <w:t>fıkra</w:t>
      </w:r>
      <w:r w:rsidR="00D035A8" w:rsidRPr="008F1795">
        <w:rPr>
          <w:lang w:val="tr-TR"/>
        </w:rPr>
        <w:t xml:space="preserve">sında </w:t>
      </w:r>
      <w:r w:rsidR="008F2E74" w:rsidRPr="008F1795">
        <w:rPr>
          <w:lang w:val="tr-TR"/>
        </w:rPr>
        <w:t>yürütme gücünün bi</w:t>
      </w:r>
      <w:r w:rsidR="00BC5C01" w:rsidRPr="008F1795">
        <w:rPr>
          <w:lang w:val="tr-TR"/>
        </w:rPr>
        <w:t>r üyesi olan Adalet Bakanın</w:t>
      </w:r>
      <w:r w:rsidR="00D035A8" w:rsidRPr="008F1795">
        <w:rPr>
          <w:lang w:val="tr-TR"/>
        </w:rPr>
        <w:t>a</w:t>
      </w:r>
      <w:r w:rsidR="00BC5C01" w:rsidRPr="008F1795">
        <w:rPr>
          <w:lang w:val="tr-TR"/>
        </w:rPr>
        <w:t xml:space="preserve"> </w:t>
      </w:r>
      <w:r w:rsidR="00535B8F" w:rsidRPr="008F1795">
        <w:rPr>
          <w:lang w:val="tr-TR"/>
        </w:rPr>
        <w:t xml:space="preserve">yargının işlevine müdahale </w:t>
      </w:r>
      <w:r w:rsidR="00D035A8" w:rsidRPr="008F1795">
        <w:rPr>
          <w:lang w:val="tr-TR"/>
        </w:rPr>
        <w:t>etme olasılığını tanındığı için, bu hükmün yargı bağımsızlığı ve kuvvetlerin ayrılığı ilkesine aykırı olduğunu iddia ederek, Anayasa Mahkemesin</w:t>
      </w:r>
      <w:r w:rsidR="006E5259" w:rsidRPr="008F1795">
        <w:rPr>
          <w:lang w:val="tr-TR"/>
        </w:rPr>
        <w:t xml:space="preserve">in </w:t>
      </w:r>
      <w:r w:rsidR="00C56933" w:rsidRPr="008F1795">
        <w:rPr>
          <w:lang w:val="tr-TR"/>
        </w:rPr>
        <w:t>denetimini</w:t>
      </w:r>
      <w:r w:rsidR="006E5259" w:rsidRPr="008F1795">
        <w:rPr>
          <w:lang w:val="tr-TR"/>
        </w:rPr>
        <w:t xml:space="preserve"> talep etmiştir. Asliye Ceza Mahkemesi ayrıca, 301. </w:t>
      </w:r>
      <w:r w:rsidR="00241305" w:rsidRPr="008F1795">
        <w:rPr>
          <w:lang w:val="tr-TR"/>
        </w:rPr>
        <w:t>Madde</w:t>
      </w:r>
      <w:r w:rsidR="006E5259" w:rsidRPr="008F1795">
        <w:rPr>
          <w:lang w:val="tr-TR"/>
        </w:rPr>
        <w:t xml:space="preserve">ye göre kovuşturma başlatmak için Adalet Bakanının izninin </w:t>
      </w:r>
      <w:r w:rsidR="00C404B8" w:rsidRPr="008F1795">
        <w:rPr>
          <w:lang w:val="tr-TR"/>
        </w:rPr>
        <w:t>şart konulması</w:t>
      </w:r>
      <w:r w:rsidR="00AA68F0" w:rsidRPr="008F1795">
        <w:rPr>
          <w:lang w:val="tr-TR"/>
        </w:rPr>
        <w:t>nın</w:t>
      </w:r>
      <w:r w:rsidR="001D3A20" w:rsidRPr="008F1795">
        <w:rPr>
          <w:lang w:val="tr-TR"/>
        </w:rPr>
        <w:t xml:space="preserve">, kamu görevlilerine </w:t>
      </w:r>
      <w:r w:rsidR="00D03845" w:rsidRPr="008F1795">
        <w:rPr>
          <w:lang w:val="tr-TR"/>
        </w:rPr>
        <w:t>hakaret ile ilgili başka hükümlerde bu tür bir izin aranmadığı</w:t>
      </w:r>
      <w:r w:rsidR="00C404B8" w:rsidRPr="008F1795">
        <w:rPr>
          <w:lang w:val="tr-TR"/>
        </w:rPr>
        <w:t xml:space="preserve"> için </w:t>
      </w:r>
      <w:r w:rsidR="001D3A20" w:rsidRPr="008F1795">
        <w:rPr>
          <w:lang w:val="tr-TR"/>
        </w:rPr>
        <w:t>ceza kanununda tutarsızlığa yol açtığı</w:t>
      </w:r>
      <w:r w:rsidR="00AA68F0" w:rsidRPr="008F1795">
        <w:rPr>
          <w:lang w:val="tr-TR"/>
        </w:rPr>
        <w:t>nı</w:t>
      </w:r>
      <w:r w:rsidR="001D3A20" w:rsidRPr="008F1795">
        <w:rPr>
          <w:lang w:val="tr-TR"/>
        </w:rPr>
        <w:t xml:space="preserve"> ileri sürmüştür. </w:t>
      </w:r>
      <w:r w:rsidR="00AA68F0" w:rsidRPr="008F1795">
        <w:rPr>
          <w:lang w:val="tr-TR"/>
        </w:rPr>
        <w:t xml:space="preserve">Anayasa Mahkemesi 7 </w:t>
      </w:r>
      <w:r w:rsidR="00883E8D" w:rsidRPr="008F1795">
        <w:rPr>
          <w:lang w:val="tr-TR"/>
        </w:rPr>
        <w:t>M</w:t>
      </w:r>
      <w:r w:rsidR="00AA68F0" w:rsidRPr="008F1795">
        <w:rPr>
          <w:lang w:val="tr-TR"/>
        </w:rPr>
        <w:t xml:space="preserve">ayıs </w:t>
      </w:r>
      <w:r w:rsidR="00F94D71" w:rsidRPr="008F1795">
        <w:rPr>
          <w:lang w:val="tr-TR"/>
        </w:rPr>
        <w:t>2009</w:t>
      </w:r>
      <w:r w:rsidR="00AA68F0" w:rsidRPr="008F1795">
        <w:rPr>
          <w:lang w:val="tr-TR"/>
        </w:rPr>
        <w:t xml:space="preserve"> tarihli kararında</w:t>
      </w:r>
      <w:r w:rsidR="00F94D71" w:rsidRPr="008F1795">
        <w:rPr>
          <w:rStyle w:val="DipnotBavurusu"/>
          <w:lang w:val="tr-TR"/>
        </w:rPr>
        <w:footnoteReference w:id="118"/>
      </w:r>
      <w:r w:rsidR="00AA68F0" w:rsidRPr="008F1795">
        <w:rPr>
          <w:lang w:val="tr-TR"/>
        </w:rPr>
        <w:t xml:space="preserve"> </w:t>
      </w:r>
      <w:r w:rsidR="00F12F94" w:rsidRPr="008F1795">
        <w:rPr>
          <w:lang w:val="tr-TR"/>
        </w:rPr>
        <w:t>“</w:t>
      </w:r>
      <w:r w:rsidR="00F12F94" w:rsidRPr="008F1795">
        <w:rPr>
          <w:i/>
          <w:iCs/>
          <w:lang w:val="tr-TR"/>
        </w:rPr>
        <w:t xml:space="preserve">Bu </w:t>
      </w:r>
      <w:r w:rsidR="00241305" w:rsidRPr="008F1795">
        <w:rPr>
          <w:i/>
          <w:iCs/>
          <w:lang w:val="tr-TR"/>
        </w:rPr>
        <w:t>Madde</w:t>
      </w:r>
      <w:r w:rsidR="00F12F94" w:rsidRPr="008F1795">
        <w:rPr>
          <w:i/>
          <w:iCs/>
          <w:lang w:val="tr-TR"/>
        </w:rPr>
        <w:t xml:space="preserve">nin 4. </w:t>
      </w:r>
      <w:r w:rsidR="008C7468">
        <w:rPr>
          <w:i/>
          <w:iCs/>
          <w:lang w:val="tr-TR"/>
        </w:rPr>
        <w:t>f</w:t>
      </w:r>
      <w:r w:rsidR="00EC6225" w:rsidRPr="008F1795">
        <w:rPr>
          <w:i/>
          <w:iCs/>
          <w:lang w:val="tr-TR"/>
        </w:rPr>
        <w:t>ıkra</w:t>
      </w:r>
      <w:r w:rsidR="00F12F94" w:rsidRPr="008F1795">
        <w:rPr>
          <w:i/>
          <w:iCs/>
          <w:lang w:val="tr-TR"/>
        </w:rPr>
        <w:t xml:space="preserve">sında Adalet Bakanına </w:t>
      </w:r>
      <w:r w:rsidR="00B27C52" w:rsidRPr="008F1795">
        <w:rPr>
          <w:i/>
          <w:iCs/>
          <w:lang w:val="tr-TR"/>
        </w:rPr>
        <w:t>tanınan bu yetki, yargısal değerlendirmeden ziyade devlet ve toplum yararı açısından bir takdir yetkisinin kullanılmasıdır</w:t>
      </w:r>
      <w:r w:rsidR="00C007A3" w:rsidRPr="008F1795">
        <w:rPr>
          <w:i/>
          <w:iCs/>
          <w:lang w:val="tr-TR"/>
        </w:rPr>
        <w:t>”</w:t>
      </w:r>
      <w:r w:rsidR="00C007A3" w:rsidRPr="008F1795">
        <w:rPr>
          <w:lang w:val="tr-TR"/>
        </w:rPr>
        <w:t xml:space="preserve"> sonucuna vararak, başvuruyu reddetmiştir.</w:t>
      </w:r>
    </w:p>
    <w:p w14:paraId="32DE9F55" w14:textId="77777777" w:rsidR="00B27C52" w:rsidRPr="008F1795" w:rsidRDefault="00B27C52" w:rsidP="00B27C52">
      <w:pPr>
        <w:pStyle w:val="ListeParagraf"/>
        <w:tabs>
          <w:tab w:val="left" w:pos="651"/>
        </w:tabs>
        <w:rPr>
          <w:i/>
          <w:iCs/>
          <w:lang w:val="tr-TR"/>
        </w:rPr>
      </w:pPr>
    </w:p>
    <w:p w14:paraId="3EAE5CD0" w14:textId="6DFAA7D0" w:rsidR="00837F67" w:rsidRPr="008F1795" w:rsidRDefault="00837F67">
      <w:pPr>
        <w:pStyle w:val="ListeParagraf"/>
        <w:numPr>
          <w:ilvl w:val="0"/>
          <w:numId w:val="2"/>
        </w:numPr>
        <w:tabs>
          <w:tab w:val="left" w:pos="682"/>
        </w:tabs>
        <w:ind w:firstLine="0"/>
        <w:rPr>
          <w:lang w:val="tr-TR"/>
        </w:rPr>
      </w:pPr>
      <w:r w:rsidRPr="008F1795">
        <w:rPr>
          <w:i/>
          <w:lang w:val="tr-TR"/>
        </w:rPr>
        <w:t xml:space="preserve">Taner Akçam </w:t>
      </w:r>
      <w:r w:rsidRPr="008F1795">
        <w:rPr>
          <w:lang w:val="tr-TR"/>
        </w:rPr>
        <w:t xml:space="preserve">davasında AİHM, </w:t>
      </w:r>
      <w:r w:rsidR="00257B1E" w:rsidRPr="008F1795">
        <w:rPr>
          <w:lang w:val="tr-TR"/>
        </w:rPr>
        <w:t>“</w:t>
      </w:r>
      <w:r w:rsidR="009E5F6D" w:rsidRPr="008F1795">
        <w:rPr>
          <w:lang w:val="tr-TR"/>
        </w:rPr>
        <w:t xml:space="preserve">Zamanla meydana gelebilecek siyasi değişiklikler Adalet Bakanının hükmü yorumlayışındaki tutumunu etkileyebileceği ve keyfi yargılanmalara yol açabileceği için, </w:t>
      </w:r>
      <w:r w:rsidR="00C61E2A">
        <w:rPr>
          <w:lang w:val="tr-TR"/>
        </w:rPr>
        <w:t>y</w:t>
      </w:r>
      <w:r w:rsidR="00566E61" w:rsidRPr="008F1795">
        <w:rPr>
          <w:lang w:val="tr-TR"/>
        </w:rPr>
        <w:t xml:space="preserve">argının </w:t>
      </w:r>
      <w:r w:rsidR="00B746BD" w:rsidRPr="008F1795">
        <w:rPr>
          <w:lang w:val="tr-TR"/>
        </w:rPr>
        <w:t xml:space="preserve">301. </w:t>
      </w:r>
      <w:r w:rsidR="00241305" w:rsidRPr="008F1795">
        <w:rPr>
          <w:lang w:val="tr-TR"/>
        </w:rPr>
        <w:t>Madde</w:t>
      </w:r>
      <w:r w:rsidR="00FD2A2F">
        <w:rPr>
          <w:lang w:val="tr-TR"/>
        </w:rPr>
        <w:t>yi</w:t>
      </w:r>
      <w:r w:rsidR="00B746BD" w:rsidRPr="008F1795">
        <w:rPr>
          <w:lang w:val="tr-TR"/>
        </w:rPr>
        <w:t xml:space="preserve"> istismar </w:t>
      </w:r>
      <w:r w:rsidR="00FD2A2F">
        <w:rPr>
          <w:lang w:val="tr-TR"/>
        </w:rPr>
        <w:t>ederek</w:t>
      </w:r>
      <w:r w:rsidR="00B746BD" w:rsidRPr="008F1795">
        <w:rPr>
          <w:lang w:val="tr-TR"/>
        </w:rPr>
        <w:t xml:space="preserve"> uygula</w:t>
      </w:r>
      <w:r w:rsidR="00FD2A2F">
        <w:rPr>
          <w:lang w:val="tr-TR"/>
        </w:rPr>
        <w:t>m</w:t>
      </w:r>
      <w:r w:rsidR="00B746BD" w:rsidRPr="008F1795">
        <w:rPr>
          <w:lang w:val="tr-TR"/>
        </w:rPr>
        <w:t xml:space="preserve">asını </w:t>
      </w:r>
      <w:r w:rsidR="00566E61" w:rsidRPr="008F1795">
        <w:rPr>
          <w:lang w:val="tr-TR"/>
        </w:rPr>
        <w:t xml:space="preserve">önlemek için yasa koyucunun belirlediği güvenceler, </w:t>
      </w:r>
      <w:r w:rsidR="004C7BD1" w:rsidRPr="008F1795">
        <w:rPr>
          <w:lang w:val="tr-TR"/>
        </w:rPr>
        <w:t>güvenilir ve devamlı bir teminat sunmamakta ya da</w:t>
      </w:r>
      <w:r w:rsidR="00283661" w:rsidRPr="008F1795">
        <w:rPr>
          <w:lang w:val="tr-TR"/>
        </w:rPr>
        <w:t xml:space="preserve"> </w:t>
      </w:r>
      <w:r w:rsidR="00283661" w:rsidRPr="008F1795">
        <w:rPr>
          <w:lang w:val="tr-TR"/>
        </w:rPr>
        <w:lastRenderedPageBreak/>
        <w:t>hükümden doğrudan etkilenme riskini ortadan kaldırmamaktadır”</w:t>
      </w:r>
      <w:r w:rsidR="00962E6B" w:rsidRPr="008F1795">
        <w:rPr>
          <w:rStyle w:val="DipnotBavurusu"/>
          <w:lang w:val="tr-TR"/>
        </w:rPr>
        <w:footnoteReference w:id="119"/>
      </w:r>
      <w:r w:rsidR="00D76C0C" w:rsidRPr="008F1795">
        <w:rPr>
          <w:lang w:val="tr-TR"/>
        </w:rPr>
        <w:t xml:space="preserve"> Benzer şekilde, İnsan Hakları Komiseri de 12 Temmuz 2011 tarihli raporunda, “</w:t>
      </w:r>
      <w:r w:rsidR="00870E6D" w:rsidRPr="008F1795">
        <w:rPr>
          <w:i/>
          <w:iCs/>
          <w:lang w:val="tr-TR"/>
        </w:rPr>
        <w:t xml:space="preserve">kovuşturma başlatılabilmesini Adalet Bakanının iznine tabi tutan </w:t>
      </w:r>
      <w:r w:rsidR="00790FF7" w:rsidRPr="008F1795">
        <w:rPr>
          <w:i/>
          <w:iCs/>
          <w:lang w:val="tr-TR"/>
        </w:rPr>
        <w:t xml:space="preserve">2008 </w:t>
      </w:r>
      <w:r w:rsidR="00E1414D" w:rsidRPr="008F1795">
        <w:rPr>
          <w:i/>
          <w:iCs/>
          <w:lang w:val="tr-TR"/>
        </w:rPr>
        <w:t>tarihli</w:t>
      </w:r>
      <w:r w:rsidR="00790FF7" w:rsidRPr="008F1795">
        <w:rPr>
          <w:i/>
          <w:iCs/>
          <w:lang w:val="tr-TR"/>
        </w:rPr>
        <w:t xml:space="preserve"> kanun değişikliği</w:t>
      </w:r>
      <w:r w:rsidR="00EC5F29" w:rsidRPr="008F1795">
        <w:rPr>
          <w:i/>
          <w:iCs/>
          <w:lang w:val="tr-TR"/>
        </w:rPr>
        <w:t xml:space="preserve">, AİHS’nin </w:t>
      </w:r>
      <w:r w:rsidR="0014198C">
        <w:rPr>
          <w:i/>
          <w:iCs/>
          <w:lang w:val="tr-TR"/>
        </w:rPr>
        <w:t>tekrar</w:t>
      </w:r>
      <w:r w:rsidR="00EC5F29" w:rsidRPr="008F1795">
        <w:rPr>
          <w:i/>
          <w:iCs/>
          <w:lang w:val="tr-TR"/>
        </w:rPr>
        <w:t xml:space="preserve"> ihlal edilmesini önlemek amacıyla </w:t>
      </w:r>
      <w:r w:rsidR="00310CA9" w:rsidRPr="008F1795">
        <w:rPr>
          <w:i/>
          <w:iCs/>
          <w:lang w:val="tr-TR"/>
        </w:rPr>
        <w:t>ilgili AİHS standartlarını</w:t>
      </w:r>
      <w:r w:rsidR="00310CA9">
        <w:rPr>
          <w:i/>
          <w:iCs/>
          <w:lang w:val="tr-TR"/>
        </w:rPr>
        <w:t>n</w:t>
      </w:r>
      <w:r w:rsidR="00310CA9" w:rsidRPr="008F1795">
        <w:rPr>
          <w:i/>
          <w:iCs/>
          <w:lang w:val="tr-TR"/>
        </w:rPr>
        <w:t xml:space="preserve"> </w:t>
      </w:r>
      <w:r w:rsidR="00D81552" w:rsidRPr="008F1795">
        <w:rPr>
          <w:i/>
          <w:iCs/>
          <w:lang w:val="tr-TR"/>
        </w:rPr>
        <w:t>Türk hukuk sistemi</w:t>
      </w:r>
      <w:r w:rsidR="00310CA9">
        <w:rPr>
          <w:i/>
          <w:iCs/>
          <w:lang w:val="tr-TR"/>
        </w:rPr>
        <w:t>ne</w:t>
      </w:r>
      <w:r w:rsidR="00D81552" w:rsidRPr="008F1795">
        <w:rPr>
          <w:i/>
          <w:iCs/>
          <w:lang w:val="tr-TR"/>
        </w:rPr>
        <w:t xml:space="preserve"> ve uygula</w:t>
      </w:r>
      <w:r w:rsidR="00310CA9">
        <w:rPr>
          <w:i/>
          <w:iCs/>
          <w:lang w:val="tr-TR"/>
        </w:rPr>
        <w:t>nışına</w:t>
      </w:r>
      <w:r w:rsidR="00D81552" w:rsidRPr="008F1795">
        <w:rPr>
          <w:i/>
          <w:iCs/>
          <w:lang w:val="tr-TR"/>
        </w:rPr>
        <w:t xml:space="preserve"> dahil </w:t>
      </w:r>
      <w:r w:rsidR="00837719">
        <w:rPr>
          <w:i/>
          <w:iCs/>
          <w:lang w:val="tr-TR"/>
        </w:rPr>
        <w:t>edilmesi</w:t>
      </w:r>
      <w:r w:rsidR="00F274C1" w:rsidRPr="008F1795">
        <w:rPr>
          <w:i/>
          <w:iCs/>
          <w:lang w:val="tr-TR"/>
        </w:rPr>
        <w:t xml:space="preserve"> yerin</w:t>
      </w:r>
      <w:r w:rsidR="00837719">
        <w:rPr>
          <w:i/>
          <w:iCs/>
          <w:lang w:val="tr-TR"/>
        </w:rPr>
        <w:t>e uygulanabilecek</w:t>
      </w:r>
      <w:r w:rsidR="00F274C1" w:rsidRPr="008F1795">
        <w:rPr>
          <w:i/>
          <w:iCs/>
          <w:lang w:val="tr-TR"/>
        </w:rPr>
        <w:t xml:space="preserve"> kalıcı bir çözüm değildir</w:t>
      </w:r>
      <w:r w:rsidR="00F274C1" w:rsidRPr="008F1795">
        <w:rPr>
          <w:lang w:val="tr-TR"/>
        </w:rPr>
        <w:t xml:space="preserve">” diye belirtmiştir. </w:t>
      </w:r>
    </w:p>
    <w:p w14:paraId="17962EFF" w14:textId="77777777" w:rsidR="00837F67" w:rsidRPr="008F1795" w:rsidRDefault="00837F67" w:rsidP="00837F67">
      <w:pPr>
        <w:pStyle w:val="ListeParagraf"/>
        <w:tabs>
          <w:tab w:val="left" w:pos="682"/>
        </w:tabs>
        <w:rPr>
          <w:lang w:val="tr-TR"/>
        </w:rPr>
      </w:pPr>
    </w:p>
    <w:p w14:paraId="52197B4E" w14:textId="03FA7824" w:rsidR="006C01B1" w:rsidRPr="008F1795" w:rsidRDefault="00FF70B4">
      <w:pPr>
        <w:pStyle w:val="ListeParagraf"/>
        <w:numPr>
          <w:ilvl w:val="0"/>
          <w:numId w:val="2"/>
        </w:numPr>
        <w:tabs>
          <w:tab w:val="left" w:pos="684"/>
        </w:tabs>
        <w:ind w:firstLine="0"/>
        <w:rPr>
          <w:lang w:val="tr-TR"/>
        </w:rPr>
      </w:pPr>
      <w:r w:rsidRPr="008F1795">
        <w:rPr>
          <w:lang w:val="tr-TR"/>
        </w:rPr>
        <w:t xml:space="preserve">Ankara’da yapılan görüşmelerde yetkililer, </w:t>
      </w:r>
      <w:r w:rsidR="00331B51" w:rsidRPr="008F1795">
        <w:rPr>
          <w:lang w:val="tr-TR"/>
        </w:rPr>
        <w:t xml:space="preserve">Adalet Bakanının kovuşturma başlatma izni almak için </w:t>
      </w:r>
      <w:r w:rsidR="00FC1B05" w:rsidRPr="008F1795">
        <w:rPr>
          <w:lang w:val="tr-TR"/>
        </w:rPr>
        <w:t xml:space="preserve">iletilen talepleri incelerken, AİHS 10. </w:t>
      </w:r>
      <w:r w:rsidR="00241305" w:rsidRPr="008F1795">
        <w:rPr>
          <w:lang w:val="tr-TR"/>
        </w:rPr>
        <w:t>Madde</w:t>
      </w:r>
      <w:r w:rsidR="00FC1B05" w:rsidRPr="008F1795">
        <w:rPr>
          <w:lang w:val="tr-TR"/>
        </w:rPr>
        <w:t>sini ilgilendiren davalarda AİHM içtihat hukuku</w:t>
      </w:r>
      <w:r w:rsidR="00531874" w:rsidRPr="008F1795">
        <w:rPr>
          <w:lang w:val="tr-TR"/>
        </w:rPr>
        <w:t xml:space="preserve">ndan yararlandığını vurgulamıştır. Bu olumludur. Bununla birlikte, Anayasanın 90(5). </w:t>
      </w:r>
      <w:r w:rsidR="00241305" w:rsidRPr="008F1795">
        <w:rPr>
          <w:lang w:val="tr-TR"/>
        </w:rPr>
        <w:t>Madde</w:t>
      </w:r>
      <w:r w:rsidR="00531874" w:rsidRPr="008F1795">
        <w:rPr>
          <w:lang w:val="tr-TR"/>
        </w:rPr>
        <w:t>sine göre</w:t>
      </w:r>
      <w:r w:rsidR="008A6004" w:rsidRPr="008F1795">
        <w:rPr>
          <w:rStyle w:val="DipnotBavurusu"/>
          <w:lang w:val="tr-TR"/>
        </w:rPr>
        <w:footnoteReference w:id="120"/>
      </w:r>
      <w:r w:rsidR="00531874" w:rsidRPr="008F1795">
        <w:rPr>
          <w:lang w:val="tr-TR"/>
        </w:rPr>
        <w:t>, AİHS zaten Türk hukuk sisteminin ayrılmaz bir parçasıdır ve tüm mahkemeler ve savcıla</w:t>
      </w:r>
      <w:r w:rsidR="008A6004" w:rsidRPr="008F1795">
        <w:rPr>
          <w:lang w:val="tr-TR"/>
        </w:rPr>
        <w:t>r, yerel hukukta Sözleşmeyi ve AİHS içtihat hukukunu uygulamakla yükümlüdür</w:t>
      </w:r>
      <w:r w:rsidR="00B80D29" w:rsidRPr="008F1795">
        <w:rPr>
          <w:lang w:val="tr-TR"/>
        </w:rPr>
        <w:t xml:space="preserve">. Venedik Komisyonu </w:t>
      </w:r>
      <w:r w:rsidR="003259F6" w:rsidRPr="008F1795">
        <w:rPr>
          <w:lang w:val="tr-TR"/>
        </w:rPr>
        <w:t xml:space="preserve">ayrıca, </w:t>
      </w:r>
      <w:r w:rsidR="004B36D0" w:rsidRPr="008F1795">
        <w:rPr>
          <w:lang w:val="tr-TR"/>
        </w:rPr>
        <w:t xml:space="preserve">izin alma sisteminin kalıcı bir çözüm olmadığı ve </w:t>
      </w:r>
      <w:r w:rsidR="000901DA" w:rsidRPr="008F1795">
        <w:rPr>
          <w:lang w:val="tr-TR"/>
        </w:rPr>
        <w:t>Adalet Bakan</w:t>
      </w:r>
      <w:r w:rsidR="003259F6" w:rsidRPr="008F1795">
        <w:rPr>
          <w:lang w:val="tr-TR"/>
        </w:rPr>
        <w:t xml:space="preserve">ına bırakılan </w:t>
      </w:r>
      <w:r w:rsidR="000901DA" w:rsidRPr="008F1795">
        <w:rPr>
          <w:lang w:val="tr-TR"/>
        </w:rPr>
        <w:t>takdir</w:t>
      </w:r>
      <w:r w:rsidR="003259F6" w:rsidRPr="008F1795">
        <w:rPr>
          <w:lang w:val="tr-TR"/>
        </w:rPr>
        <w:t xml:space="preserve"> yetkisinin siyasi değerlendirmeye tabi olabileceği ve bu usulün keyfi kovuşturmaları önlemek için yeterli olmayabileceği kanaatindedir. </w:t>
      </w:r>
    </w:p>
    <w:p w14:paraId="1502C3AF" w14:textId="77777777" w:rsidR="00A9185A" w:rsidRPr="008F1795" w:rsidRDefault="00A9185A" w:rsidP="00A9185A">
      <w:pPr>
        <w:pStyle w:val="ListeParagraf"/>
        <w:tabs>
          <w:tab w:val="left" w:pos="684"/>
        </w:tabs>
        <w:rPr>
          <w:lang w:val="tr-TR"/>
        </w:rPr>
      </w:pPr>
    </w:p>
    <w:p w14:paraId="4B8FDF67" w14:textId="17550170" w:rsidR="00A9185A" w:rsidRPr="008F1795" w:rsidRDefault="00A9185A">
      <w:pPr>
        <w:pStyle w:val="ListeParagraf"/>
        <w:numPr>
          <w:ilvl w:val="0"/>
          <w:numId w:val="2"/>
        </w:numPr>
        <w:tabs>
          <w:tab w:val="left" w:pos="684"/>
        </w:tabs>
        <w:ind w:firstLine="0"/>
        <w:rPr>
          <w:lang w:val="tr-TR"/>
        </w:rPr>
      </w:pPr>
      <w:r w:rsidRPr="008F1795">
        <w:rPr>
          <w:lang w:val="tr-TR"/>
        </w:rPr>
        <w:t>“Sonuç</w:t>
      </w:r>
      <w:r w:rsidR="0082756C" w:rsidRPr="008F1795">
        <w:rPr>
          <w:lang w:val="tr-TR"/>
        </w:rPr>
        <w:t>ta, ilk olarak</w:t>
      </w:r>
      <w:r w:rsidRPr="008F1795">
        <w:rPr>
          <w:lang w:val="tr-TR"/>
        </w:rPr>
        <w:t>,</w:t>
      </w:r>
      <w:r w:rsidR="0082756C" w:rsidRPr="008F1795">
        <w:rPr>
          <w:lang w:val="tr-TR"/>
        </w:rPr>
        <w:t xml:space="preserve"> </w:t>
      </w:r>
      <w:r w:rsidR="00221A38" w:rsidRPr="008F1795">
        <w:rPr>
          <w:lang w:val="tr-TR"/>
        </w:rPr>
        <w:t xml:space="preserve">öngörülebilirlik ve </w:t>
      </w:r>
      <w:r w:rsidR="002F4554">
        <w:rPr>
          <w:lang w:val="tr-TR"/>
        </w:rPr>
        <w:t>yasallık</w:t>
      </w:r>
      <w:r w:rsidR="00221A38" w:rsidRPr="008F1795">
        <w:rPr>
          <w:lang w:val="tr-TR"/>
        </w:rPr>
        <w:t xml:space="preserve"> ilkelerine uymak </w:t>
      </w:r>
      <w:r w:rsidR="009F0F4A" w:rsidRPr="008F1795">
        <w:rPr>
          <w:lang w:val="tr-TR"/>
        </w:rPr>
        <w:t>amacıyla,</w:t>
      </w:r>
      <w:r w:rsidR="00221A38" w:rsidRPr="008F1795">
        <w:rPr>
          <w:lang w:val="tr-TR"/>
        </w:rPr>
        <w:t xml:space="preserve"> </w:t>
      </w:r>
      <w:r w:rsidR="00A24341" w:rsidRPr="008F1795">
        <w:rPr>
          <w:lang w:val="tr-TR"/>
        </w:rPr>
        <w:t xml:space="preserve">bu </w:t>
      </w:r>
      <w:r w:rsidR="00E62FB3" w:rsidRPr="008F1795">
        <w:rPr>
          <w:lang w:val="tr-TR"/>
        </w:rPr>
        <w:t>hükümde</w:t>
      </w:r>
      <w:r w:rsidR="00A24341" w:rsidRPr="008F1795">
        <w:rPr>
          <w:lang w:val="tr-TR"/>
        </w:rPr>
        <w:t xml:space="preserve"> kullanılan tüm kavramları </w:t>
      </w:r>
      <w:r w:rsidR="007127C1" w:rsidRPr="008F1795">
        <w:rPr>
          <w:lang w:val="tr-TR"/>
        </w:rPr>
        <w:t xml:space="preserve">yeterli derecede açık ve detaylı </w:t>
      </w:r>
      <w:r w:rsidR="00AE43AF" w:rsidRPr="008F1795">
        <w:rPr>
          <w:lang w:val="tr-TR"/>
        </w:rPr>
        <w:t xml:space="preserve">hale getirmek </w:t>
      </w:r>
      <w:r w:rsidR="009F0F4A" w:rsidRPr="008F1795">
        <w:rPr>
          <w:lang w:val="tr-TR"/>
        </w:rPr>
        <w:t>için</w:t>
      </w:r>
      <w:r w:rsidR="00AE43AF" w:rsidRPr="008F1795">
        <w:rPr>
          <w:lang w:val="tr-TR"/>
        </w:rPr>
        <w:t xml:space="preserve"> hükmün yeniden </w:t>
      </w:r>
      <w:r w:rsidR="00E62FB3" w:rsidRPr="008F1795">
        <w:rPr>
          <w:lang w:val="tr-TR"/>
        </w:rPr>
        <w:t>düzenlenerek</w:t>
      </w:r>
      <w:r w:rsidR="00AE43AF" w:rsidRPr="008F1795">
        <w:rPr>
          <w:lang w:val="tr-TR"/>
        </w:rPr>
        <w:t xml:space="preserve"> daha fazla değişiklik yapılması tavsiye edilmektedir. </w:t>
      </w:r>
      <w:r w:rsidR="00754073" w:rsidRPr="008F1795">
        <w:rPr>
          <w:lang w:val="tr-TR"/>
        </w:rPr>
        <w:t xml:space="preserve">İkinci olarak, yerel mahkemeler, kanun </w:t>
      </w:r>
      <w:r w:rsidR="00241305" w:rsidRPr="008F1795">
        <w:rPr>
          <w:lang w:val="tr-TR"/>
        </w:rPr>
        <w:t>madde</w:t>
      </w:r>
      <w:r w:rsidR="00754073" w:rsidRPr="008F1795">
        <w:rPr>
          <w:lang w:val="tr-TR"/>
        </w:rPr>
        <w:t xml:space="preserve">sini AİHM’nin yukarıda bahsedilen içtihatlarına </w:t>
      </w:r>
      <w:r w:rsidR="00522462" w:rsidRPr="008F1795">
        <w:rPr>
          <w:lang w:val="tr-TR"/>
        </w:rPr>
        <w:t>(</w:t>
      </w:r>
      <w:r w:rsidR="00522462" w:rsidRPr="008F1795">
        <w:rPr>
          <w:i/>
          <w:iCs/>
          <w:lang w:val="tr-TR"/>
        </w:rPr>
        <w:t>Dink – Türkiye davası</w:t>
      </w:r>
      <w:r w:rsidR="00522462" w:rsidRPr="008F1795">
        <w:rPr>
          <w:lang w:val="tr-TR"/>
        </w:rPr>
        <w:t xml:space="preserve">) </w:t>
      </w:r>
      <w:r w:rsidR="00754073" w:rsidRPr="008F1795">
        <w:rPr>
          <w:lang w:val="tr-TR"/>
        </w:rPr>
        <w:t>uygun olarak yorumlamalıdır.</w:t>
      </w:r>
      <w:r w:rsidR="00436FD3" w:rsidRPr="008F1795">
        <w:rPr>
          <w:lang w:val="tr-TR"/>
        </w:rPr>
        <w:t xml:space="preserve"> F</w:t>
      </w:r>
      <w:r w:rsidR="00831B8B" w:rsidRPr="008F1795">
        <w:rPr>
          <w:lang w:val="tr-TR"/>
        </w:rPr>
        <w:t>ailin şiddete tahrik etmediği durumlarda, Devlet organlarını itibarsızlaştırılmaya karşı korumanın, kamu düzenini koruma gibi meşru bir amaç doğrultusunda olup olmadığına dair</w:t>
      </w:r>
      <w:r w:rsidR="00282D1C" w:rsidRPr="008F1795">
        <w:rPr>
          <w:lang w:val="tr-TR"/>
        </w:rPr>
        <w:t>,</w:t>
      </w:r>
      <w:r w:rsidR="00831B8B" w:rsidRPr="008F1795">
        <w:rPr>
          <w:lang w:val="tr-TR"/>
        </w:rPr>
        <w:t xml:space="preserve"> </w:t>
      </w:r>
      <w:r w:rsidR="00436FD3" w:rsidRPr="008F1795">
        <w:rPr>
          <w:lang w:val="tr-TR"/>
        </w:rPr>
        <w:t xml:space="preserve">AİHM’ye benzer şekilde, Komisyonun da </w:t>
      </w:r>
      <w:r w:rsidR="00831B8B" w:rsidRPr="008F1795">
        <w:rPr>
          <w:lang w:val="tr-TR"/>
        </w:rPr>
        <w:t>şüpheleri</w:t>
      </w:r>
      <w:r w:rsidR="00463200" w:rsidRPr="008F1795">
        <w:rPr>
          <w:lang w:val="tr-TR"/>
        </w:rPr>
        <w:t xml:space="preserve"> bulunmaktadır.</w:t>
      </w:r>
      <w:r w:rsidR="00282D1C" w:rsidRPr="008F1795">
        <w:rPr>
          <w:rStyle w:val="DipnotBavurusu"/>
          <w:lang w:val="tr-TR"/>
        </w:rPr>
        <w:footnoteReference w:id="121"/>
      </w:r>
      <w:r w:rsidR="001F57E5">
        <w:rPr>
          <w:lang w:val="tr-TR"/>
        </w:rPr>
        <w:t xml:space="preserve"> </w:t>
      </w:r>
      <w:r w:rsidR="00B95CC0" w:rsidRPr="008F1795">
        <w:rPr>
          <w:lang w:val="tr-TR"/>
        </w:rPr>
        <w:t>BM İnsan Hakları Komitesinin 34 sayılı Genel Yorumuna göre, “</w:t>
      </w:r>
      <w:r w:rsidR="00764DDD" w:rsidRPr="008F1795">
        <w:rPr>
          <w:i/>
          <w:iCs/>
          <w:lang w:val="tr-TR"/>
        </w:rPr>
        <w:t>Devletler, ordu ya da idare gibi kurumlara yönelik eleştirileri yasaklamamalıdır</w:t>
      </w:r>
      <w:r w:rsidR="00651BB8" w:rsidRPr="008F1795">
        <w:rPr>
          <w:lang w:val="tr-TR"/>
        </w:rPr>
        <w:t xml:space="preserve">”. 301. </w:t>
      </w:r>
      <w:r w:rsidR="00241305" w:rsidRPr="008F1795">
        <w:rPr>
          <w:lang w:val="tr-TR"/>
        </w:rPr>
        <w:t>Madde</w:t>
      </w:r>
      <w:r w:rsidR="00162883" w:rsidRPr="008F1795">
        <w:rPr>
          <w:lang w:val="tr-TR"/>
        </w:rPr>
        <w:t>, “şiddete ya da nefrete tahrik” olarak değerlendirilen beyanlar</w:t>
      </w:r>
      <w:r w:rsidR="00FA1A1C" w:rsidRPr="008F1795">
        <w:rPr>
          <w:lang w:val="tr-TR"/>
        </w:rPr>
        <w:t xml:space="preserve"> haricinde,</w:t>
      </w:r>
      <w:r w:rsidR="00651BB8" w:rsidRPr="008F1795">
        <w:rPr>
          <w:lang w:val="tr-TR"/>
        </w:rPr>
        <w:t xml:space="preserve"> </w:t>
      </w:r>
      <w:r w:rsidR="00162883" w:rsidRPr="008F1795">
        <w:rPr>
          <w:lang w:val="tr-TR"/>
        </w:rPr>
        <w:t>hükümet politikalarına yönelik sert eleştiril</w:t>
      </w:r>
      <w:r w:rsidR="00FA1A1C" w:rsidRPr="008F1795">
        <w:rPr>
          <w:lang w:val="tr-TR"/>
        </w:rPr>
        <w:t>eri</w:t>
      </w:r>
      <w:r w:rsidR="00112575">
        <w:rPr>
          <w:lang w:val="tr-TR"/>
        </w:rPr>
        <w:t>,</w:t>
      </w:r>
      <w:r w:rsidR="00162883" w:rsidRPr="008F1795">
        <w:rPr>
          <w:lang w:val="tr-TR"/>
        </w:rPr>
        <w:t xml:space="preserve"> </w:t>
      </w:r>
      <w:r w:rsidR="000568D4" w:rsidRPr="008F1795">
        <w:rPr>
          <w:lang w:val="tr-TR"/>
        </w:rPr>
        <w:t xml:space="preserve">kamu tartışmalarını caydıracak şekilde </w:t>
      </w:r>
      <w:r w:rsidR="00162883" w:rsidRPr="008F1795">
        <w:rPr>
          <w:lang w:val="tr-TR"/>
        </w:rPr>
        <w:t xml:space="preserve">cezalandırmak için kullanılmamalıdır. </w:t>
      </w:r>
      <w:r w:rsidR="002E03AE" w:rsidRPr="008F1795">
        <w:rPr>
          <w:lang w:val="tr-TR"/>
        </w:rPr>
        <w:t>Komisyon</w:t>
      </w:r>
      <w:r w:rsidR="00CC718E" w:rsidRPr="008F1795">
        <w:rPr>
          <w:lang w:val="tr-TR"/>
        </w:rPr>
        <w:t xml:space="preserve"> ayrıca Devletlerin, siyasi söylem</w:t>
      </w:r>
      <w:r w:rsidR="00614372" w:rsidRPr="008F1795">
        <w:rPr>
          <w:lang w:val="tr-TR"/>
        </w:rPr>
        <w:t>ler</w:t>
      </w:r>
      <w:r w:rsidR="00CC718E" w:rsidRPr="008F1795">
        <w:rPr>
          <w:lang w:val="tr-TR"/>
        </w:rPr>
        <w:t xml:space="preserve"> ve genel kamu yararını ilgilendiren konular</w:t>
      </w:r>
      <w:r w:rsidR="00CC4AFA" w:rsidRPr="008F1795">
        <w:rPr>
          <w:lang w:val="tr-TR"/>
        </w:rPr>
        <w:t xml:space="preserve"> ile ilgili </w:t>
      </w:r>
      <w:r w:rsidR="00E578C0" w:rsidRPr="008F1795">
        <w:rPr>
          <w:lang w:val="tr-TR"/>
        </w:rPr>
        <w:t>olarak ce</w:t>
      </w:r>
      <w:r w:rsidR="00614372" w:rsidRPr="008F1795">
        <w:rPr>
          <w:lang w:val="tr-TR"/>
        </w:rPr>
        <w:t xml:space="preserve">za hukuku araçlarını sınırlı kullanması gerektiğini </w:t>
      </w:r>
      <w:r w:rsidR="00CC4AFA" w:rsidRPr="008F1795">
        <w:rPr>
          <w:lang w:val="tr-TR"/>
        </w:rPr>
        <w:t xml:space="preserve">ve şiddete </w:t>
      </w:r>
      <w:r w:rsidR="00235D33">
        <w:rPr>
          <w:lang w:val="tr-TR"/>
        </w:rPr>
        <w:t>tahrik</w:t>
      </w:r>
      <w:r w:rsidR="00CC4AFA" w:rsidRPr="008F1795">
        <w:rPr>
          <w:lang w:val="tr-TR"/>
        </w:rPr>
        <w:t xml:space="preserve"> olma</w:t>
      </w:r>
      <w:r w:rsidR="00235D33">
        <w:rPr>
          <w:lang w:val="tr-TR"/>
        </w:rPr>
        <w:t>yan</w:t>
      </w:r>
      <w:r w:rsidR="00CC4AFA" w:rsidRPr="008F1795">
        <w:rPr>
          <w:lang w:val="tr-TR"/>
        </w:rPr>
        <w:t xml:space="preserve"> hallerde</w:t>
      </w:r>
      <w:r w:rsidR="00E578C0" w:rsidRPr="008F1795">
        <w:rPr>
          <w:lang w:val="tr-TR"/>
        </w:rPr>
        <w:t xml:space="preserve"> hapis cezası verilmesinin demokratik bir toplumun gereklilik şartın</w:t>
      </w:r>
      <w:r w:rsidR="005C6DDC" w:rsidRPr="008F1795">
        <w:rPr>
          <w:lang w:val="tr-TR"/>
        </w:rPr>
        <w:t xml:space="preserve">ı yerine getirmediğini hatırlatmaktadır. </w:t>
      </w:r>
    </w:p>
    <w:p w14:paraId="1F3D8032" w14:textId="77777777" w:rsidR="00E02131" w:rsidRPr="008F1795" w:rsidRDefault="00E02131" w:rsidP="006C01B1">
      <w:pPr>
        <w:pStyle w:val="ListeParagraf"/>
        <w:tabs>
          <w:tab w:val="left" w:pos="684"/>
        </w:tabs>
        <w:rPr>
          <w:lang w:val="tr-TR"/>
        </w:rPr>
      </w:pPr>
    </w:p>
    <w:p w14:paraId="6437E6F3" w14:textId="21BB1601" w:rsidR="00B74CEA" w:rsidRPr="008F1795" w:rsidRDefault="00BE381E">
      <w:pPr>
        <w:pStyle w:val="Balk1"/>
        <w:numPr>
          <w:ilvl w:val="1"/>
          <w:numId w:val="5"/>
        </w:numPr>
        <w:tabs>
          <w:tab w:val="left" w:pos="1331"/>
          <w:tab w:val="left" w:pos="1332"/>
        </w:tabs>
        <w:ind w:hanging="426"/>
        <w:rPr>
          <w:lang w:val="tr-TR"/>
        </w:rPr>
      </w:pPr>
      <w:bookmarkStart w:id="10" w:name="_bookmark10"/>
      <w:bookmarkEnd w:id="10"/>
      <w:r w:rsidRPr="008F1795">
        <w:rPr>
          <w:lang w:val="tr-TR"/>
        </w:rPr>
        <w:t>314</w:t>
      </w:r>
      <w:r w:rsidR="005C6DDC" w:rsidRPr="008F1795">
        <w:rPr>
          <w:lang w:val="tr-TR"/>
        </w:rPr>
        <w:t xml:space="preserve">. </w:t>
      </w:r>
      <w:r w:rsidR="00241305" w:rsidRPr="008F1795">
        <w:rPr>
          <w:lang w:val="tr-TR"/>
        </w:rPr>
        <w:t>Madde</w:t>
      </w:r>
      <w:r w:rsidRPr="008F1795">
        <w:rPr>
          <w:lang w:val="tr-TR"/>
        </w:rPr>
        <w:t xml:space="preserve"> (</w:t>
      </w:r>
      <w:r w:rsidR="00FE1702">
        <w:rPr>
          <w:lang w:val="tr-TR"/>
        </w:rPr>
        <w:t>S</w:t>
      </w:r>
      <w:r w:rsidR="005C6DDC" w:rsidRPr="008F1795">
        <w:rPr>
          <w:lang w:val="tr-TR"/>
        </w:rPr>
        <w:t>ilahlı örgüt</w:t>
      </w:r>
      <w:r w:rsidRPr="008F1795">
        <w:rPr>
          <w:lang w:val="tr-TR"/>
        </w:rPr>
        <w:t>)</w:t>
      </w:r>
    </w:p>
    <w:p w14:paraId="4FA3EDEA" w14:textId="77777777" w:rsidR="00B74CEA" w:rsidRPr="008F1795" w:rsidRDefault="00B74CEA">
      <w:pPr>
        <w:pStyle w:val="GvdeMetni"/>
        <w:spacing w:before="3"/>
        <w:rPr>
          <w:b/>
          <w:lang w:val="tr-TR"/>
        </w:rPr>
      </w:pPr>
    </w:p>
    <w:p w14:paraId="7A0221DC" w14:textId="098BC747" w:rsidR="00B74CEA" w:rsidRPr="008F1795" w:rsidRDefault="00E02131" w:rsidP="00E67EC2">
      <w:pPr>
        <w:pStyle w:val="ListeParagraf"/>
        <w:numPr>
          <w:ilvl w:val="0"/>
          <w:numId w:val="2"/>
        </w:numPr>
        <w:tabs>
          <w:tab w:val="left" w:pos="665"/>
        </w:tabs>
        <w:ind w:right="215" w:firstLine="0"/>
        <w:rPr>
          <w:sz w:val="21"/>
          <w:lang w:val="tr-TR"/>
        </w:rPr>
      </w:pPr>
      <w:r w:rsidRPr="008F1795">
        <w:rPr>
          <w:lang w:val="tr-TR"/>
        </w:rPr>
        <w:t xml:space="preserve">Ceza Kanununun 314. </w:t>
      </w:r>
      <w:r w:rsidR="00241305" w:rsidRPr="008F1795">
        <w:rPr>
          <w:lang w:val="tr-TR"/>
        </w:rPr>
        <w:t>Madde</w:t>
      </w:r>
      <w:r w:rsidRPr="008F1795">
        <w:rPr>
          <w:lang w:val="tr-TR"/>
        </w:rPr>
        <w:t>si</w:t>
      </w:r>
      <w:r w:rsidR="001A7E02" w:rsidRPr="008F1795">
        <w:rPr>
          <w:lang w:val="tr-TR"/>
        </w:rPr>
        <w:t xml:space="preserve">ne göre, </w:t>
      </w:r>
      <w:r w:rsidR="008B4DF4" w:rsidRPr="008F1795">
        <w:rPr>
          <w:lang w:val="tr-TR"/>
        </w:rPr>
        <w:t>Kanunun IV. Kıs</w:t>
      </w:r>
      <w:r w:rsidR="00E41149" w:rsidRPr="008F1795">
        <w:rPr>
          <w:lang w:val="tr-TR"/>
        </w:rPr>
        <w:t>mı</w:t>
      </w:r>
      <w:r w:rsidR="008B4DF4" w:rsidRPr="008F1795">
        <w:rPr>
          <w:lang w:val="tr-TR"/>
        </w:rPr>
        <w:t xml:space="preserve"> </w:t>
      </w:r>
      <w:r w:rsidR="007B13F2" w:rsidRPr="008F1795">
        <w:rPr>
          <w:lang w:val="tr-TR"/>
        </w:rPr>
        <w:t xml:space="preserve">(Millete ve Devlete Karşı Suçlar) </w:t>
      </w:r>
      <w:r w:rsidR="00E41149" w:rsidRPr="008F1795">
        <w:rPr>
          <w:lang w:val="tr-TR"/>
        </w:rPr>
        <w:t xml:space="preserve">altındaki </w:t>
      </w:r>
      <w:r w:rsidR="008B4DF4" w:rsidRPr="008F1795">
        <w:rPr>
          <w:lang w:val="tr-TR"/>
        </w:rPr>
        <w:t xml:space="preserve">dördüncü ve beşinci bölümlerde yer alan suçları işlemek amacıyla, silahlı örgüt </w:t>
      </w:r>
      <w:r w:rsidR="00E67EC2" w:rsidRPr="008F1795">
        <w:rPr>
          <w:lang w:val="tr-TR"/>
        </w:rPr>
        <w:t xml:space="preserve">kurmak, yönetmek veya üyesi olmak suç sayılmaktadır. </w:t>
      </w:r>
    </w:p>
    <w:p w14:paraId="5BCFEFA2" w14:textId="77777777" w:rsidR="00E67EC2" w:rsidRPr="008F1795" w:rsidRDefault="00E67EC2" w:rsidP="00E67EC2">
      <w:pPr>
        <w:pStyle w:val="ListeParagraf"/>
        <w:tabs>
          <w:tab w:val="left" w:pos="665"/>
        </w:tabs>
        <w:ind w:right="215"/>
        <w:rPr>
          <w:sz w:val="21"/>
          <w:lang w:val="tr-TR"/>
        </w:rPr>
      </w:pPr>
    </w:p>
    <w:p w14:paraId="06E6935E" w14:textId="0B2DDD4C" w:rsidR="008260BF" w:rsidRPr="008F1795" w:rsidRDefault="00C56947" w:rsidP="00A13024">
      <w:pPr>
        <w:pStyle w:val="ListeParagraf"/>
        <w:numPr>
          <w:ilvl w:val="0"/>
          <w:numId w:val="2"/>
        </w:numPr>
        <w:tabs>
          <w:tab w:val="left" w:pos="635"/>
        </w:tabs>
        <w:ind w:right="214" w:firstLine="0"/>
        <w:rPr>
          <w:lang w:val="tr-TR"/>
        </w:rPr>
      </w:pPr>
      <w:r w:rsidRPr="008F1795">
        <w:rPr>
          <w:lang w:val="tr-TR"/>
        </w:rPr>
        <w:t xml:space="preserve">314. </w:t>
      </w:r>
      <w:r w:rsidR="00241305" w:rsidRPr="008F1795">
        <w:rPr>
          <w:lang w:val="tr-TR"/>
        </w:rPr>
        <w:t>Madde</w:t>
      </w:r>
      <w:r w:rsidRPr="008F1795">
        <w:rPr>
          <w:lang w:val="tr-TR"/>
        </w:rPr>
        <w:t>de atıfta bulunulan</w:t>
      </w:r>
      <w:r w:rsidR="00943391" w:rsidRPr="008F1795">
        <w:rPr>
          <w:lang w:val="tr-TR"/>
        </w:rPr>
        <w:t>,</w:t>
      </w:r>
      <w:r w:rsidRPr="008F1795">
        <w:rPr>
          <w:lang w:val="tr-TR"/>
        </w:rPr>
        <w:t xml:space="preserve"> </w:t>
      </w:r>
      <w:r w:rsidR="008260BF" w:rsidRPr="008F1795">
        <w:rPr>
          <w:lang w:val="tr-TR"/>
        </w:rPr>
        <w:t>Kanunun IV. Kısmı</w:t>
      </w:r>
      <w:r w:rsidR="00E41149" w:rsidRPr="008F1795">
        <w:rPr>
          <w:lang w:val="tr-TR"/>
        </w:rPr>
        <w:t xml:space="preserve"> altındaki</w:t>
      </w:r>
      <w:r w:rsidR="008260BF" w:rsidRPr="008F1795">
        <w:rPr>
          <w:lang w:val="tr-TR"/>
        </w:rPr>
        <w:t xml:space="preserve"> dördüncü ve beşinci bölümlerde</w:t>
      </w:r>
      <w:r w:rsidRPr="008F1795">
        <w:rPr>
          <w:lang w:val="tr-TR"/>
        </w:rPr>
        <w:t xml:space="preserve">, </w:t>
      </w:r>
      <w:r w:rsidR="00640051" w:rsidRPr="008F1795">
        <w:rPr>
          <w:lang w:val="tr-TR"/>
        </w:rPr>
        <w:t>“</w:t>
      </w:r>
      <w:r w:rsidR="00C97EA4" w:rsidRPr="008F1795">
        <w:rPr>
          <w:lang w:val="tr-TR"/>
        </w:rPr>
        <w:t xml:space="preserve">Devletin </w:t>
      </w:r>
      <w:r w:rsidR="006019B5" w:rsidRPr="008F1795">
        <w:rPr>
          <w:lang w:val="tr-TR"/>
        </w:rPr>
        <w:t>Güvenliğine Karşı Suçlar</w:t>
      </w:r>
      <w:r w:rsidR="00640051" w:rsidRPr="008F1795">
        <w:rPr>
          <w:lang w:val="tr-TR"/>
        </w:rPr>
        <w:t>”</w:t>
      </w:r>
      <w:r w:rsidR="006019B5" w:rsidRPr="008F1795">
        <w:rPr>
          <w:lang w:val="tr-TR"/>
        </w:rPr>
        <w:t xml:space="preserve"> </w:t>
      </w:r>
      <w:r w:rsidRPr="008F1795">
        <w:rPr>
          <w:lang w:val="tr-TR"/>
        </w:rPr>
        <w:t>(</w:t>
      </w:r>
      <w:r w:rsidR="00226FBD" w:rsidRPr="008F1795">
        <w:rPr>
          <w:lang w:val="tr-TR"/>
        </w:rPr>
        <w:t>4. Bölüm-</w:t>
      </w:r>
      <w:r w:rsidR="008D56A7" w:rsidRPr="008F1795">
        <w:rPr>
          <w:lang w:val="tr-TR"/>
        </w:rPr>
        <w:t xml:space="preserve"> Devletin birliğini ve ülke bütünlüğünü bozmak</w:t>
      </w:r>
      <w:r w:rsidR="00226FBD" w:rsidRPr="008F1795">
        <w:rPr>
          <w:lang w:val="tr-TR"/>
        </w:rPr>
        <w:t xml:space="preserve">, düşmanla </w:t>
      </w:r>
      <w:r w:rsidR="008D56A7" w:rsidRPr="008F1795">
        <w:rPr>
          <w:lang w:val="tr-TR"/>
        </w:rPr>
        <w:t>işbirliği yapmak</w:t>
      </w:r>
      <w:r w:rsidR="00226FBD" w:rsidRPr="008F1795">
        <w:rPr>
          <w:lang w:val="tr-TR"/>
        </w:rPr>
        <w:t xml:space="preserve">, Devlete karşı savaşa tahrik, </w:t>
      </w:r>
      <w:r w:rsidR="00A13024" w:rsidRPr="008F1795">
        <w:rPr>
          <w:lang w:val="tr-TR"/>
        </w:rPr>
        <w:t>T</w:t>
      </w:r>
      <w:r w:rsidR="003914FC" w:rsidRPr="008F1795">
        <w:rPr>
          <w:lang w:val="tr-TR"/>
        </w:rPr>
        <w:t>emel millî yararlara karşı faaliyette bulunmak için yarar sağlama</w:t>
      </w:r>
      <w:r w:rsidR="00EB598F" w:rsidRPr="008F1795">
        <w:rPr>
          <w:lang w:val="tr-TR"/>
        </w:rPr>
        <w:t xml:space="preserve">, </w:t>
      </w:r>
      <w:r w:rsidR="00A13024" w:rsidRPr="008F1795">
        <w:rPr>
          <w:lang w:val="tr-TR"/>
        </w:rPr>
        <w:t>Y</w:t>
      </w:r>
      <w:r w:rsidR="001C3D5C" w:rsidRPr="008F1795">
        <w:rPr>
          <w:lang w:val="tr-TR"/>
        </w:rPr>
        <w:t xml:space="preserve">abancı devlet aleyhine asker toplama, </w:t>
      </w:r>
      <w:r w:rsidR="00A13024" w:rsidRPr="008F1795">
        <w:rPr>
          <w:lang w:val="tr-TR"/>
        </w:rPr>
        <w:t>A</w:t>
      </w:r>
      <w:r w:rsidR="0005529B" w:rsidRPr="008F1795">
        <w:rPr>
          <w:lang w:val="tr-TR"/>
        </w:rPr>
        <w:t>skerî tesisleri tahrip ve düşman askerî hareketleri yararına anlaşma</w:t>
      </w:r>
      <w:r w:rsidR="001C6718" w:rsidRPr="008F1795">
        <w:rPr>
          <w:lang w:val="tr-TR"/>
        </w:rPr>
        <w:t xml:space="preserve">, </w:t>
      </w:r>
      <w:r w:rsidR="00A13024" w:rsidRPr="008F1795">
        <w:rPr>
          <w:lang w:val="tr-TR"/>
        </w:rPr>
        <w:t>D</w:t>
      </w:r>
      <w:r w:rsidR="00943391" w:rsidRPr="008F1795">
        <w:rPr>
          <w:lang w:val="tr-TR"/>
        </w:rPr>
        <w:t>üşman devlete maddi ve mali yardım)</w:t>
      </w:r>
      <w:r w:rsidR="00AC6569" w:rsidRPr="008F1795">
        <w:rPr>
          <w:lang w:val="tr-TR"/>
        </w:rPr>
        <w:t xml:space="preserve"> ve </w:t>
      </w:r>
      <w:r w:rsidR="00640051" w:rsidRPr="008F1795">
        <w:rPr>
          <w:lang w:val="tr-TR"/>
        </w:rPr>
        <w:t>“</w:t>
      </w:r>
      <w:r w:rsidR="006019B5" w:rsidRPr="008F1795">
        <w:rPr>
          <w:lang w:val="tr-TR"/>
        </w:rPr>
        <w:t xml:space="preserve">Anayasal Düzene </w:t>
      </w:r>
      <w:r w:rsidR="00FE1702">
        <w:rPr>
          <w:lang w:val="tr-TR"/>
        </w:rPr>
        <w:t>v</w:t>
      </w:r>
      <w:r w:rsidR="006019B5" w:rsidRPr="008F1795">
        <w:rPr>
          <w:lang w:val="tr-TR"/>
        </w:rPr>
        <w:t>e Bu Düzenin İşleyişine Karşı Suçlar</w:t>
      </w:r>
      <w:r w:rsidR="00640051" w:rsidRPr="008F1795">
        <w:rPr>
          <w:lang w:val="tr-TR"/>
        </w:rPr>
        <w:t>” (5. Bölüm</w:t>
      </w:r>
      <w:r w:rsidR="00897886" w:rsidRPr="008F1795">
        <w:rPr>
          <w:lang w:val="tr-TR"/>
        </w:rPr>
        <w:t>-</w:t>
      </w:r>
      <w:r w:rsidR="00A13024" w:rsidRPr="008F1795">
        <w:rPr>
          <w:lang w:val="tr-TR"/>
        </w:rPr>
        <w:t xml:space="preserve"> Anayasayı ihlal, </w:t>
      </w:r>
      <w:r w:rsidR="004C2FBA" w:rsidRPr="008F1795">
        <w:rPr>
          <w:lang w:val="tr-TR"/>
        </w:rPr>
        <w:t xml:space="preserve">Cumhurbaşkanına suikast ve fiilî saldırı, </w:t>
      </w:r>
      <w:r w:rsidR="001243D0" w:rsidRPr="008F1795">
        <w:rPr>
          <w:lang w:val="tr-TR"/>
        </w:rPr>
        <w:t xml:space="preserve">Yasama organına karşı suç, Hükümete karşı suç, </w:t>
      </w:r>
      <w:r w:rsidR="0014196B" w:rsidRPr="008F1795">
        <w:rPr>
          <w:lang w:val="tr-TR"/>
        </w:rPr>
        <w:t>Türkiye Cumhuriyeti Hükûmetine karşı sil</w:t>
      </w:r>
      <w:r w:rsidR="007A6875">
        <w:rPr>
          <w:lang w:val="tr-TR"/>
        </w:rPr>
        <w:t>a</w:t>
      </w:r>
      <w:r w:rsidR="0014196B" w:rsidRPr="008F1795">
        <w:rPr>
          <w:lang w:val="tr-TR"/>
        </w:rPr>
        <w:t xml:space="preserve">hlı isyan, </w:t>
      </w:r>
      <w:r w:rsidR="00BE1CCB" w:rsidRPr="008F1795">
        <w:rPr>
          <w:lang w:val="tr-TR"/>
        </w:rPr>
        <w:t>Silah sağlama,</w:t>
      </w:r>
      <w:r w:rsidR="007745E6" w:rsidRPr="008F1795">
        <w:rPr>
          <w:lang w:val="tr-TR"/>
        </w:rPr>
        <w:t xml:space="preserve"> Millete ve De</w:t>
      </w:r>
      <w:r w:rsidR="00CC057C" w:rsidRPr="008F1795">
        <w:rPr>
          <w:lang w:val="tr-TR"/>
        </w:rPr>
        <w:t>v</w:t>
      </w:r>
      <w:r w:rsidR="007745E6" w:rsidRPr="008F1795">
        <w:rPr>
          <w:lang w:val="tr-TR"/>
        </w:rPr>
        <w:t>lete karş</w:t>
      </w:r>
      <w:r w:rsidR="007A6875">
        <w:rPr>
          <w:lang w:val="tr-TR"/>
        </w:rPr>
        <w:t>ı</w:t>
      </w:r>
      <w:r w:rsidR="007745E6" w:rsidRPr="008F1795">
        <w:rPr>
          <w:lang w:val="tr-TR"/>
        </w:rPr>
        <w:t xml:space="preserve"> su</w:t>
      </w:r>
      <w:r w:rsidR="00CC057C" w:rsidRPr="008F1795">
        <w:rPr>
          <w:lang w:val="tr-TR"/>
        </w:rPr>
        <w:t>ç i</w:t>
      </w:r>
      <w:r w:rsidR="007745E6" w:rsidRPr="008F1795">
        <w:rPr>
          <w:lang w:val="tr-TR"/>
        </w:rPr>
        <w:t>şlemek için anlaşma</w:t>
      </w:r>
      <w:r w:rsidR="00CC057C" w:rsidRPr="008F1795">
        <w:rPr>
          <w:lang w:val="tr-TR"/>
        </w:rPr>
        <w:t xml:space="preserve">) </w:t>
      </w:r>
      <w:r w:rsidR="00640051" w:rsidRPr="008F1795">
        <w:rPr>
          <w:lang w:val="tr-TR"/>
        </w:rPr>
        <w:t xml:space="preserve">yer almaktadır. </w:t>
      </w:r>
    </w:p>
    <w:p w14:paraId="3CEE6EB5" w14:textId="77777777" w:rsidR="008260BF" w:rsidRPr="008F1795" w:rsidRDefault="008260BF" w:rsidP="008260BF">
      <w:pPr>
        <w:pStyle w:val="ListeParagraf"/>
        <w:tabs>
          <w:tab w:val="left" w:pos="635"/>
        </w:tabs>
        <w:ind w:right="214"/>
        <w:rPr>
          <w:lang w:val="tr-TR"/>
        </w:rPr>
      </w:pPr>
    </w:p>
    <w:p w14:paraId="7F0E2AB6" w14:textId="62A0BA3A" w:rsidR="003806EB" w:rsidRPr="008F1795" w:rsidRDefault="00932BE6" w:rsidP="003806EB">
      <w:pPr>
        <w:pStyle w:val="ListeParagraf"/>
        <w:numPr>
          <w:ilvl w:val="0"/>
          <w:numId w:val="2"/>
        </w:numPr>
        <w:tabs>
          <w:tab w:val="left" w:pos="660"/>
        </w:tabs>
        <w:ind w:right="214" w:firstLine="0"/>
        <w:rPr>
          <w:lang w:val="tr-TR"/>
        </w:rPr>
      </w:pPr>
      <w:r w:rsidRPr="008F1795">
        <w:rPr>
          <w:lang w:val="tr-TR"/>
        </w:rPr>
        <w:t xml:space="preserve">314. </w:t>
      </w:r>
      <w:r w:rsidR="00241305" w:rsidRPr="008F1795">
        <w:rPr>
          <w:lang w:val="tr-TR"/>
        </w:rPr>
        <w:t>Madde</w:t>
      </w:r>
      <w:r w:rsidRPr="008F1795">
        <w:rPr>
          <w:lang w:val="tr-TR"/>
        </w:rPr>
        <w:t xml:space="preserve">nin 3. </w:t>
      </w:r>
      <w:r w:rsidR="00EC6225" w:rsidRPr="008F1795">
        <w:rPr>
          <w:lang w:val="tr-TR"/>
        </w:rPr>
        <w:t>Fıkra</w:t>
      </w:r>
      <w:r w:rsidRPr="008F1795">
        <w:rPr>
          <w:lang w:val="tr-TR"/>
        </w:rPr>
        <w:t>sına göre “</w:t>
      </w:r>
      <w:r w:rsidR="00C709D1" w:rsidRPr="008F1795">
        <w:rPr>
          <w:i/>
          <w:iCs/>
          <w:lang w:val="tr-TR"/>
        </w:rPr>
        <w:t>Suç işlemek amacıyla örgüt kurma suçuna ilişkin diğer hükümler, bu suç açısından aynen uygulanır</w:t>
      </w:r>
      <w:r w:rsidR="00C709D1" w:rsidRPr="008F1795">
        <w:rPr>
          <w:lang w:val="tr-TR"/>
        </w:rPr>
        <w:t>”</w:t>
      </w:r>
      <w:r w:rsidR="00450EA2" w:rsidRPr="008F1795">
        <w:rPr>
          <w:lang w:val="tr-TR"/>
        </w:rPr>
        <w:t xml:space="preserve">. </w:t>
      </w:r>
      <w:r w:rsidR="00133E6A" w:rsidRPr="008F1795">
        <w:rPr>
          <w:lang w:val="tr-TR"/>
        </w:rPr>
        <w:t>Suç örgütü kurmak ile ilgili “d</w:t>
      </w:r>
      <w:r w:rsidR="00965D44" w:rsidRPr="008F1795">
        <w:rPr>
          <w:lang w:val="tr-TR"/>
        </w:rPr>
        <w:t>i</w:t>
      </w:r>
      <w:r w:rsidR="00133E6A" w:rsidRPr="008F1795">
        <w:rPr>
          <w:lang w:val="tr-TR"/>
        </w:rPr>
        <w:t xml:space="preserve">ğer hükümlere” yapılan bu atıf nedeniyle 314. </w:t>
      </w:r>
      <w:r w:rsidR="00241305" w:rsidRPr="008F1795">
        <w:rPr>
          <w:lang w:val="tr-TR"/>
        </w:rPr>
        <w:t>Madde</w:t>
      </w:r>
      <w:r w:rsidR="00CB5D53" w:rsidRPr="008F1795">
        <w:rPr>
          <w:lang w:val="tr-TR"/>
        </w:rPr>
        <w:t xml:space="preserve"> genellikle</w:t>
      </w:r>
      <w:r w:rsidR="009D1198" w:rsidRPr="008F1795">
        <w:rPr>
          <w:lang w:val="tr-TR"/>
        </w:rPr>
        <w:t>, “</w:t>
      </w:r>
      <w:r w:rsidR="00A15456" w:rsidRPr="008F1795">
        <w:rPr>
          <w:lang w:val="tr-TR"/>
        </w:rPr>
        <w:t>Suç işlemek amacıyla örgüt kurma</w:t>
      </w:r>
      <w:r w:rsidR="009D1198" w:rsidRPr="008F1795">
        <w:rPr>
          <w:lang w:val="tr-TR"/>
        </w:rPr>
        <w:t xml:space="preserve">” başlıklı 220. </w:t>
      </w:r>
      <w:r w:rsidR="00241305" w:rsidRPr="008F1795">
        <w:rPr>
          <w:lang w:val="tr-TR"/>
        </w:rPr>
        <w:t>Madde</w:t>
      </w:r>
      <w:r w:rsidR="009D1198" w:rsidRPr="008F1795">
        <w:rPr>
          <w:lang w:val="tr-TR"/>
        </w:rPr>
        <w:t xml:space="preserve"> ile birlikte uygulanmıştır. </w:t>
      </w:r>
      <w:r w:rsidR="00D4551C" w:rsidRPr="008F1795">
        <w:rPr>
          <w:lang w:val="tr-TR"/>
        </w:rPr>
        <w:t xml:space="preserve">220. </w:t>
      </w:r>
      <w:r w:rsidR="00241305" w:rsidRPr="008F1795">
        <w:rPr>
          <w:lang w:val="tr-TR"/>
        </w:rPr>
        <w:t>Madde</w:t>
      </w:r>
      <w:r w:rsidR="00D4551C" w:rsidRPr="008F1795">
        <w:rPr>
          <w:lang w:val="tr-TR"/>
        </w:rPr>
        <w:t xml:space="preserve">nin </w:t>
      </w:r>
      <w:r w:rsidR="00D4551C" w:rsidRPr="008F1795">
        <w:rPr>
          <w:i/>
          <w:iCs/>
          <w:lang w:val="tr-TR"/>
        </w:rPr>
        <w:t>Örgüte üye olmamakla birlikte</w:t>
      </w:r>
      <w:r w:rsidR="00D4551C" w:rsidRPr="008F1795">
        <w:rPr>
          <w:lang w:val="tr-TR"/>
        </w:rPr>
        <w:t xml:space="preserve"> örgüt “adına” suç işleyen </w:t>
      </w:r>
      <w:r w:rsidR="0065250F" w:rsidRPr="008F1795">
        <w:rPr>
          <w:lang w:val="tr-TR"/>
        </w:rPr>
        <w:t xml:space="preserve">(6. </w:t>
      </w:r>
      <w:r w:rsidR="00896232">
        <w:rPr>
          <w:lang w:val="tr-TR"/>
        </w:rPr>
        <w:t>f</w:t>
      </w:r>
      <w:r w:rsidR="00EC6225" w:rsidRPr="008F1795">
        <w:rPr>
          <w:lang w:val="tr-TR"/>
        </w:rPr>
        <w:t>ıkra</w:t>
      </w:r>
      <w:r w:rsidR="0065250F" w:rsidRPr="008F1795">
        <w:rPr>
          <w:lang w:val="tr-TR"/>
        </w:rPr>
        <w:t xml:space="preserve">) </w:t>
      </w:r>
      <w:r w:rsidR="00C54460" w:rsidRPr="008F1795">
        <w:rPr>
          <w:lang w:val="tr-TR"/>
        </w:rPr>
        <w:t>ya da “örgüte bilerek ve isteyerek yardım eden” kişi</w:t>
      </w:r>
      <w:r w:rsidR="0065250F" w:rsidRPr="008F1795">
        <w:rPr>
          <w:lang w:val="tr-TR"/>
        </w:rPr>
        <w:t xml:space="preserve">lerin (7. </w:t>
      </w:r>
      <w:r w:rsidR="00896232">
        <w:rPr>
          <w:lang w:val="tr-TR"/>
        </w:rPr>
        <w:t>f</w:t>
      </w:r>
      <w:r w:rsidR="00EC6225" w:rsidRPr="008F1795">
        <w:rPr>
          <w:lang w:val="tr-TR"/>
        </w:rPr>
        <w:t>ıkra</w:t>
      </w:r>
      <w:r w:rsidR="0065250F" w:rsidRPr="008F1795">
        <w:rPr>
          <w:lang w:val="tr-TR"/>
        </w:rPr>
        <w:t>) de</w:t>
      </w:r>
      <w:r w:rsidR="001A2D41" w:rsidRPr="008F1795">
        <w:rPr>
          <w:lang w:val="tr-TR"/>
        </w:rPr>
        <w:t xml:space="preserve"> örgüte üye olmak suçundan</w:t>
      </w:r>
      <w:r w:rsidR="00D84ABE" w:rsidRPr="008F1795">
        <w:rPr>
          <w:lang w:val="tr-TR"/>
        </w:rPr>
        <w:t xml:space="preserve"> cezalandırılmasını öngören 6. ve 7. </w:t>
      </w:r>
      <w:r w:rsidR="00896232">
        <w:rPr>
          <w:lang w:val="tr-TR"/>
        </w:rPr>
        <w:t>f</w:t>
      </w:r>
      <w:r w:rsidR="00EC6225" w:rsidRPr="008F1795">
        <w:rPr>
          <w:lang w:val="tr-TR"/>
        </w:rPr>
        <w:t>ıkra</w:t>
      </w:r>
      <w:r w:rsidR="00D84ABE" w:rsidRPr="008F1795">
        <w:rPr>
          <w:lang w:val="tr-TR"/>
        </w:rPr>
        <w:t>ları</w:t>
      </w:r>
      <w:r w:rsidR="000B4E72" w:rsidRPr="008F1795">
        <w:rPr>
          <w:lang w:val="tr-TR"/>
        </w:rPr>
        <w:t xml:space="preserve"> genellikle 314. </w:t>
      </w:r>
      <w:r w:rsidR="00241305" w:rsidRPr="008F1795">
        <w:rPr>
          <w:lang w:val="tr-TR"/>
        </w:rPr>
        <w:t>Madde</w:t>
      </w:r>
      <w:r w:rsidR="000B4E72" w:rsidRPr="008F1795">
        <w:rPr>
          <w:lang w:val="tr-TR"/>
        </w:rPr>
        <w:t xml:space="preserve"> ile birlikte </w:t>
      </w:r>
      <w:r w:rsidR="00600DE6" w:rsidRPr="008F1795">
        <w:rPr>
          <w:lang w:val="tr-TR"/>
        </w:rPr>
        <w:t>uygulanmaktadır.</w:t>
      </w:r>
    </w:p>
    <w:p w14:paraId="16D2FDC5" w14:textId="4B153483" w:rsidR="00D84ABE" w:rsidRDefault="00D84ABE" w:rsidP="00D84ABE">
      <w:pPr>
        <w:pStyle w:val="ListeParagraf"/>
        <w:tabs>
          <w:tab w:val="left" w:pos="660"/>
        </w:tabs>
        <w:ind w:right="214"/>
        <w:rPr>
          <w:lang w:val="tr-TR"/>
        </w:rPr>
      </w:pPr>
    </w:p>
    <w:p w14:paraId="078C5F95" w14:textId="4E834A21" w:rsidR="00896232" w:rsidRDefault="00896232" w:rsidP="00D84ABE">
      <w:pPr>
        <w:pStyle w:val="ListeParagraf"/>
        <w:tabs>
          <w:tab w:val="left" w:pos="660"/>
        </w:tabs>
        <w:ind w:right="214"/>
        <w:rPr>
          <w:lang w:val="tr-TR"/>
        </w:rPr>
      </w:pPr>
    </w:p>
    <w:p w14:paraId="1DBFAA9C" w14:textId="77777777" w:rsidR="00262C0F" w:rsidRDefault="00262C0F" w:rsidP="00D84ABE">
      <w:pPr>
        <w:pStyle w:val="ListeParagraf"/>
        <w:tabs>
          <w:tab w:val="left" w:pos="660"/>
        </w:tabs>
        <w:ind w:right="214"/>
        <w:rPr>
          <w:lang w:val="tr-TR"/>
        </w:rPr>
      </w:pPr>
    </w:p>
    <w:p w14:paraId="1B1E8406" w14:textId="77777777" w:rsidR="00896232" w:rsidRPr="008F1795" w:rsidRDefault="00896232" w:rsidP="00D84ABE">
      <w:pPr>
        <w:pStyle w:val="ListeParagraf"/>
        <w:tabs>
          <w:tab w:val="left" w:pos="660"/>
        </w:tabs>
        <w:ind w:right="214"/>
        <w:rPr>
          <w:lang w:val="tr-TR"/>
        </w:rPr>
      </w:pPr>
    </w:p>
    <w:p w14:paraId="6C79D05E" w14:textId="545E8F1E" w:rsidR="00B74CEA" w:rsidRPr="008F1795" w:rsidRDefault="00BE381E" w:rsidP="00600DE6">
      <w:pPr>
        <w:pStyle w:val="ListeParagraf"/>
        <w:tabs>
          <w:tab w:val="left" w:pos="660"/>
        </w:tabs>
        <w:ind w:right="214"/>
        <w:rPr>
          <w:sz w:val="20"/>
          <w:lang w:val="tr-TR"/>
        </w:rPr>
      </w:pPr>
      <w:r w:rsidRPr="008F1795">
        <w:rPr>
          <w:lang w:val="tr-TR"/>
        </w:rPr>
        <w:t xml:space="preserve"> </w:t>
      </w:r>
      <w:bookmarkStart w:id="11" w:name="_bookmark11"/>
      <w:bookmarkEnd w:id="11"/>
    </w:p>
    <w:p w14:paraId="183B968B" w14:textId="78C494A1" w:rsidR="00B74CEA" w:rsidRPr="008F1795" w:rsidRDefault="00A15456">
      <w:pPr>
        <w:pStyle w:val="Balk1"/>
        <w:numPr>
          <w:ilvl w:val="1"/>
          <w:numId w:val="2"/>
        </w:numPr>
        <w:tabs>
          <w:tab w:val="left" w:pos="1638"/>
          <w:tab w:val="left" w:pos="1639"/>
        </w:tabs>
        <w:ind w:hanging="733"/>
        <w:rPr>
          <w:lang w:val="tr-TR"/>
        </w:rPr>
      </w:pPr>
      <w:r w:rsidRPr="008F1795">
        <w:rPr>
          <w:lang w:val="tr-TR"/>
        </w:rPr>
        <w:t>Silahl</w:t>
      </w:r>
      <w:r w:rsidR="00972A5E" w:rsidRPr="008F1795">
        <w:rPr>
          <w:lang w:val="tr-TR"/>
        </w:rPr>
        <w:t>ı</w:t>
      </w:r>
      <w:r w:rsidRPr="008F1795">
        <w:rPr>
          <w:lang w:val="tr-TR"/>
        </w:rPr>
        <w:t xml:space="preserve"> </w:t>
      </w:r>
      <w:r w:rsidR="00972A5E" w:rsidRPr="008F1795">
        <w:rPr>
          <w:lang w:val="tr-TR"/>
        </w:rPr>
        <w:t>örgüt üyeliği</w:t>
      </w:r>
      <w:r w:rsidR="00BE381E" w:rsidRPr="008F1795">
        <w:rPr>
          <w:lang w:val="tr-TR"/>
        </w:rPr>
        <w:t xml:space="preserve"> (314</w:t>
      </w:r>
      <w:r w:rsidRPr="008F1795">
        <w:rPr>
          <w:lang w:val="tr-TR"/>
        </w:rPr>
        <w:t xml:space="preserve">. </w:t>
      </w:r>
      <w:r w:rsidR="00241305" w:rsidRPr="008F1795">
        <w:rPr>
          <w:lang w:val="tr-TR"/>
        </w:rPr>
        <w:t>Madde</w:t>
      </w:r>
      <w:r w:rsidR="00BE381E" w:rsidRPr="008F1795">
        <w:rPr>
          <w:lang w:val="tr-TR"/>
        </w:rPr>
        <w:t>)</w:t>
      </w:r>
    </w:p>
    <w:p w14:paraId="410B17A8" w14:textId="77777777" w:rsidR="00B74CEA" w:rsidRPr="008F1795" w:rsidRDefault="00B74CEA">
      <w:pPr>
        <w:pStyle w:val="GvdeMetni"/>
        <w:spacing w:before="6"/>
        <w:rPr>
          <w:b/>
          <w:sz w:val="27"/>
          <w:lang w:val="tr-TR"/>
        </w:rPr>
      </w:pPr>
    </w:p>
    <w:p w14:paraId="539C7496" w14:textId="1B93BB6A" w:rsidR="00600DE6" w:rsidRPr="008F1795" w:rsidRDefault="00600DE6">
      <w:pPr>
        <w:pStyle w:val="ListeParagraf"/>
        <w:numPr>
          <w:ilvl w:val="0"/>
          <w:numId w:val="2"/>
        </w:numPr>
        <w:tabs>
          <w:tab w:val="left" w:pos="688"/>
        </w:tabs>
        <w:ind w:right="212" w:firstLine="0"/>
        <w:rPr>
          <w:lang w:val="tr-TR"/>
        </w:rPr>
      </w:pPr>
      <w:r w:rsidRPr="008F1795">
        <w:rPr>
          <w:lang w:val="tr-TR"/>
        </w:rPr>
        <w:t>Ceza Kanununda silahlı örgüt ya da silahlı grup tanımı bulunmamaktadır. Yargıtay Ceza Genel Kurulunun 3 Nisan 2007 tarihli ve E. 2006/10-253 K. 2007/80 sayılı kararında</w:t>
      </w:r>
      <w:r w:rsidR="00AA2266" w:rsidRPr="008F1795">
        <w:rPr>
          <w:lang w:val="tr-TR"/>
        </w:rPr>
        <w:t xml:space="preserve">, – Ceza Kanununun 220. </w:t>
      </w:r>
      <w:r w:rsidR="00241305" w:rsidRPr="008F1795">
        <w:rPr>
          <w:lang w:val="tr-TR"/>
        </w:rPr>
        <w:t>Madde</w:t>
      </w:r>
      <w:r w:rsidR="00AA2266" w:rsidRPr="008F1795">
        <w:rPr>
          <w:lang w:val="tr-TR"/>
        </w:rPr>
        <w:t>si</w:t>
      </w:r>
      <w:r w:rsidR="00B87B99" w:rsidRPr="008F1795">
        <w:rPr>
          <w:lang w:val="tr-TR"/>
        </w:rPr>
        <w:t xml:space="preserve"> bakımından – </w:t>
      </w:r>
      <w:r w:rsidR="00AA2266" w:rsidRPr="008F1795">
        <w:rPr>
          <w:lang w:val="tr-TR"/>
        </w:rPr>
        <w:t>suç örgütünün varlığından söz edebilmek için aranması gereken özellikler listelenmiştir.</w:t>
      </w:r>
      <w:r w:rsidR="00653601" w:rsidRPr="008F1795">
        <w:rPr>
          <w:lang w:val="tr-TR"/>
        </w:rPr>
        <w:t xml:space="preserve"> Örgütün </w:t>
      </w:r>
      <w:r w:rsidR="00BE4A71">
        <w:rPr>
          <w:lang w:val="tr-TR"/>
        </w:rPr>
        <w:t xml:space="preserve">varlığından söz edebilmek için </w:t>
      </w:r>
      <w:r w:rsidR="00653601" w:rsidRPr="008F1795">
        <w:rPr>
          <w:lang w:val="tr-TR"/>
        </w:rPr>
        <w:t xml:space="preserve">en az üç üyesi olması </w:t>
      </w:r>
      <w:bookmarkStart w:id="12" w:name="_Hlk63710586"/>
      <w:r w:rsidR="00653601" w:rsidRPr="008F1795">
        <w:rPr>
          <w:lang w:val="tr-TR"/>
        </w:rPr>
        <w:t>gerek</w:t>
      </w:r>
      <w:r w:rsidR="00274124">
        <w:rPr>
          <w:lang w:val="tr-TR"/>
        </w:rPr>
        <w:t>ir</w:t>
      </w:r>
      <w:bookmarkEnd w:id="12"/>
      <w:r w:rsidR="00653601" w:rsidRPr="008F1795">
        <w:rPr>
          <w:lang w:val="tr-TR"/>
        </w:rPr>
        <w:t xml:space="preserve">; </w:t>
      </w:r>
      <w:r w:rsidR="006D18EF" w:rsidRPr="008F1795">
        <w:rPr>
          <w:lang w:val="tr-TR"/>
        </w:rPr>
        <w:t xml:space="preserve">örgüt üyeleri arasında “soyut bir birleşme” yeterli olmayıp, </w:t>
      </w:r>
      <w:r w:rsidR="0099664B" w:rsidRPr="008F1795">
        <w:rPr>
          <w:lang w:val="tr-TR"/>
        </w:rPr>
        <w:t xml:space="preserve">üyeler arasında gevşek veya sıkı hiyerarşik bir ilişki </w:t>
      </w:r>
      <w:r w:rsidR="005B498E" w:rsidRPr="008F1795">
        <w:rPr>
          <w:lang w:val="tr-TR"/>
        </w:rPr>
        <w:t xml:space="preserve">olması </w:t>
      </w:r>
      <w:r w:rsidR="00274124" w:rsidRPr="00274124">
        <w:rPr>
          <w:lang w:val="tr-TR"/>
        </w:rPr>
        <w:t>gerekir</w:t>
      </w:r>
      <w:r w:rsidR="005B498E" w:rsidRPr="008F1795">
        <w:rPr>
          <w:lang w:val="tr-TR"/>
        </w:rPr>
        <w:t xml:space="preserve">; </w:t>
      </w:r>
      <w:r w:rsidR="003A57DD" w:rsidRPr="008F1795">
        <w:rPr>
          <w:lang w:val="tr-TR"/>
        </w:rPr>
        <w:t>üyelerin suç işleme</w:t>
      </w:r>
      <w:r w:rsidR="00AD621F" w:rsidRPr="008F1795">
        <w:rPr>
          <w:lang w:val="tr-TR"/>
        </w:rPr>
        <w:t xml:space="preserve"> yönünde ortak bir amacı olması </w:t>
      </w:r>
      <w:r w:rsidR="00274124" w:rsidRPr="00274124">
        <w:rPr>
          <w:lang w:val="tr-TR"/>
        </w:rPr>
        <w:t xml:space="preserve">gerekir </w:t>
      </w:r>
      <w:r w:rsidR="00AD621F" w:rsidRPr="008F1795">
        <w:rPr>
          <w:lang w:val="tr-TR"/>
        </w:rPr>
        <w:t>(</w:t>
      </w:r>
      <w:r w:rsidR="003E1D96" w:rsidRPr="008F1795">
        <w:rPr>
          <w:lang w:val="tr-TR"/>
        </w:rPr>
        <w:t>henüz hiçbir suç işlenmemiş olsa bile);</w:t>
      </w:r>
      <w:r w:rsidR="006C6C0A" w:rsidRPr="008F1795">
        <w:rPr>
          <w:lang w:val="tr-TR"/>
        </w:rPr>
        <w:t xml:space="preserve"> </w:t>
      </w:r>
      <w:r w:rsidR="00B47FDE" w:rsidRPr="008F1795">
        <w:rPr>
          <w:lang w:val="tr-TR"/>
        </w:rPr>
        <w:t xml:space="preserve">örgüt niteliği itibariyle devamlılık </w:t>
      </w:r>
      <w:r w:rsidR="00601295">
        <w:rPr>
          <w:lang w:val="tr-TR"/>
        </w:rPr>
        <w:t>göstermelidir</w:t>
      </w:r>
      <w:r w:rsidR="00C07013" w:rsidRPr="008F1795">
        <w:rPr>
          <w:lang w:val="tr-TR"/>
        </w:rPr>
        <w:t xml:space="preserve"> ve amaç</w:t>
      </w:r>
      <w:r w:rsidR="00FE0CA4" w:rsidRPr="008F1795">
        <w:rPr>
          <w:lang w:val="tr-TR"/>
        </w:rPr>
        <w:t>lanan</w:t>
      </w:r>
      <w:r w:rsidR="00C07013" w:rsidRPr="008F1795">
        <w:rPr>
          <w:lang w:val="tr-TR"/>
        </w:rPr>
        <w:t xml:space="preserve"> suçları işlemeye elverişli </w:t>
      </w:r>
      <w:r w:rsidR="00FE0CA4" w:rsidRPr="008F1795">
        <w:rPr>
          <w:lang w:val="tr-TR"/>
        </w:rPr>
        <w:t>üye,</w:t>
      </w:r>
      <w:r w:rsidR="006C6C0A" w:rsidRPr="008F1795">
        <w:rPr>
          <w:lang w:val="tr-TR"/>
        </w:rPr>
        <w:t xml:space="preserve"> </w:t>
      </w:r>
      <w:r w:rsidR="00C07013" w:rsidRPr="008F1795">
        <w:rPr>
          <w:lang w:val="tr-TR"/>
        </w:rPr>
        <w:t xml:space="preserve">araç ve gerece </w:t>
      </w:r>
      <w:r w:rsidR="00FE0CA4" w:rsidRPr="008F1795">
        <w:rPr>
          <w:lang w:val="tr-TR"/>
        </w:rPr>
        <w:t>sahip olunması</w:t>
      </w:r>
      <w:r w:rsidR="00C07013" w:rsidRPr="008F1795">
        <w:rPr>
          <w:lang w:val="tr-TR"/>
        </w:rPr>
        <w:t xml:space="preserve"> gerek</w:t>
      </w:r>
      <w:r w:rsidR="00601295">
        <w:rPr>
          <w:lang w:val="tr-TR"/>
        </w:rPr>
        <w:t>ir</w:t>
      </w:r>
      <w:r w:rsidR="006C6C0A" w:rsidRPr="008F1795">
        <w:rPr>
          <w:lang w:val="tr-TR"/>
        </w:rPr>
        <w:t>.</w:t>
      </w:r>
      <w:r w:rsidR="00274124">
        <w:rPr>
          <w:lang w:val="tr-TR"/>
        </w:rPr>
        <w:t xml:space="preserve"> </w:t>
      </w:r>
    </w:p>
    <w:p w14:paraId="7D4732A5" w14:textId="77777777" w:rsidR="002B632F" w:rsidRPr="008F1795" w:rsidRDefault="002B632F" w:rsidP="002B632F">
      <w:pPr>
        <w:pStyle w:val="ListeParagraf"/>
        <w:tabs>
          <w:tab w:val="left" w:pos="688"/>
        </w:tabs>
        <w:ind w:right="212"/>
        <w:rPr>
          <w:lang w:val="tr-TR"/>
        </w:rPr>
      </w:pPr>
    </w:p>
    <w:p w14:paraId="18C88DC6" w14:textId="709FBF21" w:rsidR="002B632F" w:rsidRPr="008F1795" w:rsidRDefault="002B632F">
      <w:pPr>
        <w:pStyle w:val="ListeParagraf"/>
        <w:numPr>
          <w:ilvl w:val="0"/>
          <w:numId w:val="2"/>
        </w:numPr>
        <w:tabs>
          <w:tab w:val="left" w:pos="688"/>
        </w:tabs>
        <w:ind w:right="212" w:firstLine="0"/>
        <w:rPr>
          <w:lang w:val="tr-TR"/>
        </w:rPr>
      </w:pPr>
      <w:r w:rsidRPr="008F1795">
        <w:rPr>
          <w:lang w:val="tr-TR"/>
        </w:rPr>
        <w:t xml:space="preserve">Ankara’daki görüşmeler sırasında yetkililer bir örgütün 314. </w:t>
      </w:r>
      <w:r w:rsidR="00241305" w:rsidRPr="008F1795">
        <w:rPr>
          <w:lang w:val="tr-TR"/>
        </w:rPr>
        <w:t>Madde</w:t>
      </w:r>
      <w:r w:rsidRPr="008F1795">
        <w:rPr>
          <w:lang w:val="tr-TR"/>
        </w:rPr>
        <w:t xml:space="preserve">ye göre “silahlı” sayılması için </w:t>
      </w:r>
      <w:r w:rsidR="001112BF" w:rsidRPr="008F1795">
        <w:rPr>
          <w:lang w:val="tr-TR"/>
        </w:rPr>
        <w:t xml:space="preserve">örgütün sahip olduğu silahların, Millete ve Devlete karşı </w:t>
      </w:r>
      <w:r w:rsidR="00056D07" w:rsidRPr="008F1795">
        <w:rPr>
          <w:lang w:val="tr-TR"/>
        </w:rPr>
        <w:t>suçları işlemek için</w:t>
      </w:r>
      <w:r w:rsidR="001112BF" w:rsidRPr="008F1795">
        <w:rPr>
          <w:lang w:val="tr-TR"/>
        </w:rPr>
        <w:t xml:space="preserve"> yeterli</w:t>
      </w:r>
      <w:r w:rsidR="00056D07" w:rsidRPr="008F1795">
        <w:rPr>
          <w:lang w:val="tr-TR"/>
        </w:rPr>
        <w:t xml:space="preserve"> ve uygun olması gerektiğini açıklamıştır. (Ceza Kanunu IV. Kısım-4. </w:t>
      </w:r>
      <w:r w:rsidR="00BE4A71">
        <w:rPr>
          <w:lang w:val="tr-TR"/>
        </w:rPr>
        <w:t>v</w:t>
      </w:r>
      <w:r w:rsidR="00056D07" w:rsidRPr="008F1795">
        <w:rPr>
          <w:lang w:val="tr-TR"/>
        </w:rPr>
        <w:t>e 5. Bölümler)</w:t>
      </w:r>
    </w:p>
    <w:p w14:paraId="139ED39F" w14:textId="4F292C70" w:rsidR="00EA0A0F" w:rsidRPr="008F1795" w:rsidRDefault="00EA0A0F" w:rsidP="00EA0A0F">
      <w:pPr>
        <w:pStyle w:val="ListeParagraf"/>
        <w:tabs>
          <w:tab w:val="left" w:pos="688"/>
        </w:tabs>
        <w:ind w:right="212"/>
        <w:rPr>
          <w:lang w:val="tr-TR"/>
        </w:rPr>
      </w:pPr>
    </w:p>
    <w:p w14:paraId="3C2931B9" w14:textId="01260A5C" w:rsidR="00B21CC6" w:rsidRPr="008F1795" w:rsidRDefault="005C7CE3" w:rsidP="00466004">
      <w:pPr>
        <w:pStyle w:val="ListeParagraf"/>
        <w:numPr>
          <w:ilvl w:val="0"/>
          <w:numId w:val="2"/>
        </w:numPr>
        <w:tabs>
          <w:tab w:val="left" w:pos="792"/>
        </w:tabs>
        <w:ind w:right="215" w:firstLine="0"/>
        <w:rPr>
          <w:lang w:val="tr-TR"/>
        </w:rPr>
      </w:pPr>
      <w:r w:rsidRPr="008F1795">
        <w:rPr>
          <w:lang w:val="tr-TR"/>
        </w:rPr>
        <w:t>Yargıtay</w:t>
      </w:r>
      <w:r w:rsidR="00FD2A81" w:rsidRPr="008F1795">
        <w:rPr>
          <w:lang w:val="tr-TR"/>
        </w:rPr>
        <w:t xml:space="preserve">, silahlı örgüt “üyesi olma” </w:t>
      </w:r>
      <w:r w:rsidR="008C27B7" w:rsidRPr="008F1795">
        <w:rPr>
          <w:lang w:val="tr-TR"/>
        </w:rPr>
        <w:t>kriterini</w:t>
      </w:r>
      <w:r w:rsidR="00FD2A81" w:rsidRPr="008F1795">
        <w:rPr>
          <w:lang w:val="tr-TR"/>
        </w:rPr>
        <w:t xml:space="preserve"> geliştirdiği zengin bir içtihata sahiptir. Yargıtay, </w:t>
      </w:r>
      <w:r w:rsidR="00497D39">
        <w:rPr>
          <w:lang w:val="tr-TR"/>
        </w:rPr>
        <w:t xml:space="preserve">ilgili </w:t>
      </w:r>
      <w:r w:rsidR="00E33A4C" w:rsidRPr="008F1795">
        <w:rPr>
          <w:lang w:val="tr-TR"/>
        </w:rPr>
        <w:t>ş</w:t>
      </w:r>
      <w:r w:rsidR="00FA4092" w:rsidRPr="008F1795">
        <w:rPr>
          <w:lang w:val="tr-TR"/>
        </w:rPr>
        <w:t>üphelinin örgüt ile “organik ilişkiye”</w:t>
      </w:r>
      <w:r w:rsidR="0076226A" w:rsidRPr="008F1795">
        <w:rPr>
          <w:rStyle w:val="DipnotBavurusu"/>
          <w:lang w:val="tr-TR"/>
        </w:rPr>
        <w:footnoteReference w:id="122"/>
      </w:r>
      <w:r w:rsidR="00FA4092" w:rsidRPr="008F1795">
        <w:rPr>
          <w:lang w:val="tr-TR"/>
        </w:rPr>
        <w:t xml:space="preserve"> sahip olup olmadığını ve şüphelinin </w:t>
      </w:r>
      <w:r w:rsidR="000C5A66" w:rsidRPr="008F1795">
        <w:rPr>
          <w:lang w:val="tr-TR"/>
        </w:rPr>
        <w:t xml:space="preserve">işlediği </w:t>
      </w:r>
      <w:r w:rsidR="00FA4092" w:rsidRPr="008F1795">
        <w:rPr>
          <w:lang w:val="tr-TR"/>
        </w:rPr>
        <w:t>fi</w:t>
      </w:r>
      <w:r w:rsidR="008175CD" w:rsidRPr="008F1795">
        <w:rPr>
          <w:lang w:val="tr-TR"/>
        </w:rPr>
        <w:t>i</w:t>
      </w:r>
      <w:r w:rsidR="00FA4092" w:rsidRPr="008F1795">
        <w:rPr>
          <w:lang w:val="tr-TR"/>
        </w:rPr>
        <w:t>llerin örgütün “hiyerarşik yapısı”</w:t>
      </w:r>
      <w:r w:rsidR="00C352FA" w:rsidRPr="008F1795">
        <w:rPr>
          <w:rStyle w:val="DipnotBavurusu"/>
          <w:lang w:val="tr-TR"/>
        </w:rPr>
        <w:footnoteReference w:id="123"/>
      </w:r>
      <w:r w:rsidR="00FA4092" w:rsidRPr="008F1795">
        <w:rPr>
          <w:lang w:val="tr-TR"/>
        </w:rPr>
        <w:t xml:space="preserve"> içinde bilerek </w:t>
      </w:r>
      <w:r w:rsidR="008175CD" w:rsidRPr="008F1795">
        <w:rPr>
          <w:lang w:val="tr-TR"/>
        </w:rPr>
        <w:t>ve isteyerek mi yapıldığını</w:t>
      </w:r>
      <w:r w:rsidR="00E33A4C" w:rsidRPr="008F1795">
        <w:rPr>
          <w:lang w:val="tr-TR"/>
        </w:rPr>
        <w:t xml:space="preserve"> anlamak için şüphelinin farklı fiillerini “devamlılık, çeşitlilik ve yoğunluk</w:t>
      </w:r>
      <w:r w:rsidR="000469E8" w:rsidRPr="008F1795">
        <w:rPr>
          <w:lang w:val="tr-TR"/>
        </w:rPr>
        <w:t>”</w:t>
      </w:r>
      <w:r w:rsidR="00F85102" w:rsidRPr="008F1795">
        <w:rPr>
          <w:rStyle w:val="DipnotBavurusu"/>
          <w:lang w:val="tr-TR"/>
        </w:rPr>
        <w:footnoteReference w:id="124"/>
      </w:r>
      <w:r w:rsidR="000469E8" w:rsidRPr="008F1795">
        <w:rPr>
          <w:lang w:val="tr-TR"/>
        </w:rPr>
        <w:t xml:space="preserve"> bakımından</w:t>
      </w:r>
      <w:r w:rsidR="00E33A4C" w:rsidRPr="008F1795">
        <w:rPr>
          <w:lang w:val="tr-TR"/>
        </w:rPr>
        <w:t xml:space="preserve"> dikkate alarak incelemiştir</w:t>
      </w:r>
      <w:r w:rsidR="000469E8" w:rsidRPr="008F1795">
        <w:rPr>
          <w:lang w:val="tr-TR"/>
        </w:rPr>
        <w:t>.</w:t>
      </w:r>
      <w:r w:rsidR="003A6FA8" w:rsidRPr="008F1795">
        <w:rPr>
          <w:lang w:val="tr-TR"/>
        </w:rPr>
        <w:t xml:space="preserve"> Yargıtay</w:t>
      </w:r>
      <w:r w:rsidR="00440D01" w:rsidRPr="008F1795">
        <w:rPr>
          <w:lang w:val="tr-TR"/>
        </w:rPr>
        <w:t>’</w:t>
      </w:r>
      <w:r w:rsidR="003A6FA8" w:rsidRPr="008F1795">
        <w:rPr>
          <w:lang w:val="tr-TR"/>
        </w:rPr>
        <w:t xml:space="preserve">ın 6 Şubat 2012 tarihli ve E. 2010/2839, K. 2012/1406 sayılı kararında, </w:t>
      </w:r>
      <w:r w:rsidR="0085707D" w:rsidRPr="008F1795">
        <w:rPr>
          <w:lang w:val="tr-TR"/>
        </w:rPr>
        <w:t>terör örgütünün üyesi olmaya istekli üye adaylarına sığınma yeri</w:t>
      </w:r>
      <w:r w:rsidR="007D585C" w:rsidRPr="008F1795">
        <w:rPr>
          <w:lang w:val="tr-TR"/>
        </w:rPr>
        <w:t xml:space="preserve"> ve sahte kimlik belgesi</w:t>
      </w:r>
      <w:r w:rsidR="0085707D" w:rsidRPr="008F1795">
        <w:rPr>
          <w:lang w:val="tr-TR"/>
        </w:rPr>
        <w:t xml:space="preserve"> sağlayan</w:t>
      </w:r>
      <w:r w:rsidR="007D585C" w:rsidRPr="008F1795">
        <w:rPr>
          <w:lang w:val="tr-TR"/>
        </w:rPr>
        <w:t>, onları örgüte tanıtan ve örgüt için yeni üyeler arayan şüpheliler</w:t>
      </w:r>
      <w:r w:rsidR="001B5D0E">
        <w:rPr>
          <w:lang w:val="tr-TR"/>
        </w:rPr>
        <w:t>,</w:t>
      </w:r>
      <w:r w:rsidR="007D585C" w:rsidRPr="008F1795">
        <w:rPr>
          <w:lang w:val="tr-TR"/>
        </w:rPr>
        <w:t xml:space="preserve"> silahlı örgüt üyesi olm</w:t>
      </w:r>
      <w:r w:rsidR="00440D01" w:rsidRPr="008F1795">
        <w:rPr>
          <w:lang w:val="tr-TR"/>
        </w:rPr>
        <w:t>a suçundan mahkum olmuştur.</w:t>
      </w:r>
      <w:r w:rsidR="00440D01" w:rsidRPr="008F1795">
        <w:rPr>
          <w:rStyle w:val="DipnotBavurusu"/>
          <w:lang w:val="tr-TR"/>
        </w:rPr>
        <w:footnoteReference w:id="125"/>
      </w:r>
      <w:r w:rsidR="00440D01" w:rsidRPr="008F1795">
        <w:rPr>
          <w:lang w:val="tr-TR"/>
        </w:rPr>
        <w:t xml:space="preserve"> </w:t>
      </w:r>
      <w:r w:rsidR="00CA77AC" w:rsidRPr="008F1795">
        <w:rPr>
          <w:lang w:val="tr-TR"/>
        </w:rPr>
        <w:t xml:space="preserve">Gerçek kimliğini saklamak için (örgüt içinde) kod adı almak, </w:t>
      </w:r>
      <w:r w:rsidR="00F86FCD" w:rsidRPr="008F1795">
        <w:rPr>
          <w:lang w:val="tr-TR"/>
        </w:rPr>
        <w:t>terör örgütünün üyeleri tarafından getirilen bir bombayı evinde saklamak</w:t>
      </w:r>
      <w:r w:rsidR="00AB4B3F" w:rsidRPr="008F1795">
        <w:rPr>
          <w:lang w:val="tr-TR"/>
        </w:rPr>
        <w:t>,</w:t>
      </w:r>
      <w:r w:rsidR="00F86FCD" w:rsidRPr="008F1795">
        <w:rPr>
          <w:rStyle w:val="DipnotBavurusu"/>
          <w:lang w:val="tr-TR"/>
        </w:rPr>
        <w:footnoteReference w:id="126"/>
      </w:r>
      <w:r w:rsidR="00AB4B3F" w:rsidRPr="008F1795">
        <w:rPr>
          <w:lang w:val="tr-TR"/>
        </w:rPr>
        <w:t xml:space="preserve"> yeni üyelere örgütü</w:t>
      </w:r>
      <w:r w:rsidR="00466004" w:rsidRPr="008F1795">
        <w:rPr>
          <w:lang w:val="tr-TR"/>
        </w:rPr>
        <w:t>n</w:t>
      </w:r>
      <w:r w:rsidR="00AB4B3F" w:rsidRPr="008F1795">
        <w:rPr>
          <w:lang w:val="tr-TR"/>
        </w:rPr>
        <w:t xml:space="preserve"> hedefleri ve yapısı hakkında ders vermek,</w:t>
      </w:r>
      <w:r w:rsidR="00AB4B3F" w:rsidRPr="008F1795">
        <w:rPr>
          <w:rStyle w:val="DipnotBavurusu"/>
          <w:lang w:val="tr-TR"/>
        </w:rPr>
        <w:footnoteReference w:id="127"/>
      </w:r>
      <w:r w:rsidR="00BC4BD8" w:rsidRPr="008F1795">
        <w:rPr>
          <w:lang w:val="tr-TR"/>
        </w:rPr>
        <w:t xml:space="preserve">cezaevinden </w:t>
      </w:r>
      <w:r w:rsidR="00BB5E0A" w:rsidRPr="008F1795">
        <w:rPr>
          <w:lang w:val="tr-TR"/>
        </w:rPr>
        <w:t>çıktıktan sonra</w:t>
      </w:r>
      <w:r w:rsidR="004D7542" w:rsidRPr="008F1795">
        <w:rPr>
          <w:lang w:val="tr-TR"/>
        </w:rPr>
        <w:t xml:space="preserve"> tekrar örgüt ile temas kurmak ve örgüt için para toplamaya ve yeni üyeler bulmaya çalışmak,</w:t>
      </w:r>
      <w:r w:rsidR="004D7542" w:rsidRPr="008F1795">
        <w:rPr>
          <w:rStyle w:val="DipnotBavurusu"/>
          <w:lang w:val="tr-TR"/>
        </w:rPr>
        <w:footnoteReference w:id="128"/>
      </w:r>
      <w:r w:rsidR="004D7542" w:rsidRPr="008F1795">
        <w:rPr>
          <w:lang w:val="tr-TR"/>
        </w:rPr>
        <w:t xml:space="preserve"> örgüte üye olmak için özgeçmişini</w:t>
      </w:r>
      <w:r w:rsidR="0066776F" w:rsidRPr="008F1795">
        <w:rPr>
          <w:lang w:val="tr-TR"/>
        </w:rPr>
        <w:t xml:space="preserve"> sunmak</w:t>
      </w:r>
      <w:r w:rsidR="00F82154" w:rsidRPr="008F1795">
        <w:rPr>
          <w:rStyle w:val="DipnotBavurusu"/>
          <w:lang w:val="tr-TR"/>
        </w:rPr>
        <w:footnoteReference w:id="129"/>
      </w:r>
      <w:r w:rsidR="0066776F" w:rsidRPr="008F1795">
        <w:rPr>
          <w:lang w:val="tr-TR"/>
        </w:rPr>
        <w:t xml:space="preserve"> ya da örgüt</w:t>
      </w:r>
      <w:r w:rsidR="00C95160" w:rsidRPr="008F1795">
        <w:rPr>
          <w:lang w:val="tr-TR"/>
        </w:rPr>
        <w:t>e</w:t>
      </w:r>
      <w:r w:rsidR="0066776F" w:rsidRPr="008F1795">
        <w:rPr>
          <w:lang w:val="tr-TR"/>
        </w:rPr>
        <w:t xml:space="preserve"> üye olmaya istekli yeni kişileri örgütün kamp yerine araçla getirmek</w:t>
      </w:r>
      <w:r w:rsidR="00C95160" w:rsidRPr="008F1795">
        <w:rPr>
          <w:lang w:val="tr-TR"/>
        </w:rPr>
        <w:t>,</w:t>
      </w:r>
      <w:r w:rsidR="00FD58E8" w:rsidRPr="008F1795">
        <w:rPr>
          <w:rStyle w:val="DipnotBavurusu"/>
          <w:lang w:val="tr-TR"/>
        </w:rPr>
        <w:footnoteReference w:id="130"/>
      </w:r>
      <w:r w:rsidR="0066776F" w:rsidRPr="008F1795">
        <w:rPr>
          <w:lang w:val="tr-TR"/>
        </w:rPr>
        <w:t xml:space="preserve"> </w:t>
      </w:r>
      <w:r w:rsidR="00931063" w:rsidRPr="008F1795">
        <w:rPr>
          <w:lang w:val="tr-TR"/>
        </w:rPr>
        <w:t xml:space="preserve">örgüt için vergi toplama </w:t>
      </w:r>
      <w:r w:rsidR="00B73E2C" w:rsidRPr="008F1795">
        <w:rPr>
          <w:lang w:val="tr-TR"/>
        </w:rPr>
        <w:t>bahanesiyle örgüt için para toplamak</w:t>
      </w:r>
      <w:r w:rsidR="00FA6A4F" w:rsidRPr="008F1795">
        <w:rPr>
          <w:rStyle w:val="DipnotBavurusu"/>
          <w:lang w:val="tr-TR"/>
        </w:rPr>
        <w:footnoteReference w:id="131"/>
      </w:r>
      <w:r w:rsidR="00B73E2C" w:rsidRPr="008F1795">
        <w:rPr>
          <w:lang w:val="tr-TR"/>
        </w:rPr>
        <w:t xml:space="preserve"> ya da </w:t>
      </w:r>
      <w:r w:rsidR="00D014EE" w:rsidRPr="008F1795">
        <w:rPr>
          <w:lang w:val="tr-TR"/>
        </w:rPr>
        <w:t xml:space="preserve">örgütün yeni üyeleri örgütün kamp yerine gönderilmeden önce sağlık </w:t>
      </w:r>
      <w:r w:rsidR="007932F1" w:rsidRPr="008F1795">
        <w:rPr>
          <w:lang w:val="tr-TR"/>
        </w:rPr>
        <w:t>işlemleri ve tedavilerini ayarlamak</w:t>
      </w:r>
      <w:r w:rsidR="00FA6A4F" w:rsidRPr="008F1795">
        <w:rPr>
          <w:rStyle w:val="DipnotBavurusu"/>
          <w:lang w:val="tr-TR"/>
        </w:rPr>
        <w:footnoteReference w:id="132"/>
      </w:r>
      <w:r w:rsidR="0024515A" w:rsidRPr="008F1795">
        <w:rPr>
          <w:lang w:val="tr-TR"/>
        </w:rPr>
        <w:t xml:space="preserve"> vs. gibi eylemler</w:t>
      </w:r>
      <w:r w:rsidR="001A2BFB" w:rsidRPr="008F1795">
        <w:rPr>
          <w:lang w:val="tr-TR"/>
        </w:rPr>
        <w:t>i değerlendiren</w:t>
      </w:r>
      <w:r w:rsidR="0024515A" w:rsidRPr="008F1795">
        <w:rPr>
          <w:lang w:val="tr-TR"/>
        </w:rPr>
        <w:t xml:space="preserve"> Yargıtay</w:t>
      </w:r>
      <w:r w:rsidR="00887DDD" w:rsidRPr="008F1795">
        <w:rPr>
          <w:lang w:val="tr-TR"/>
        </w:rPr>
        <w:t>,</w:t>
      </w:r>
      <w:r w:rsidR="0024515A" w:rsidRPr="008F1795">
        <w:rPr>
          <w:lang w:val="tr-TR"/>
        </w:rPr>
        <w:t xml:space="preserve"> </w:t>
      </w:r>
      <w:r w:rsidR="005E7940" w:rsidRPr="008F1795">
        <w:rPr>
          <w:lang w:val="tr-TR"/>
        </w:rPr>
        <w:t>şüphelilerin fiillerinin dev</w:t>
      </w:r>
      <w:r w:rsidR="003A2892" w:rsidRPr="008F1795">
        <w:rPr>
          <w:lang w:val="tr-TR"/>
        </w:rPr>
        <w:t>a</w:t>
      </w:r>
      <w:r w:rsidR="005E7940" w:rsidRPr="008F1795">
        <w:rPr>
          <w:lang w:val="tr-TR"/>
        </w:rPr>
        <w:t>mlılık, çeşitlilik ve yoğunluk bakımında</w:t>
      </w:r>
      <w:r w:rsidR="00C71E9F" w:rsidRPr="008F1795">
        <w:rPr>
          <w:lang w:val="tr-TR"/>
        </w:rPr>
        <w:t>n</w:t>
      </w:r>
      <w:r w:rsidR="00C95160" w:rsidRPr="008F1795">
        <w:rPr>
          <w:lang w:val="tr-TR"/>
        </w:rPr>
        <w:t xml:space="preserve"> incelendiğinde</w:t>
      </w:r>
      <w:r w:rsidR="00C71E9F" w:rsidRPr="008F1795">
        <w:rPr>
          <w:lang w:val="tr-TR"/>
        </w:rPr>
        <w:t>, silahlı örgütün hiyerarşik yapısı için</w:t>
      </w:r>
      <w:r w:rsidR="00C95160" w:rsidRPr="008F1795">
        <w:rPr>
          <w:lang w:val="tr-TR"/>
        </w:rPr>
        <w:t>d</w:t>
      </w:r>
      <w:r w:rsidR="00C71E9F" w:rsidRPr="008F1795">
        <w:rPr>
          <w:lang w:val="tr-TR"/>
        </w:rPr>
        <w:t>e bilerek ve isteyerek hareket ettiklerini</w:t>
      </w:r>
      <w:r w:rsidR="00C95160" w:rsidRPr="008F1795">
        <w:rPr>
          <w:lang w:val="tr-TR"/>
        </w:rPr>
        <w:t>n</w:t>
      </w:r>
      <w:r w:rsidR="00C71E9F" w:rsidRPr="008F1795">
        <w:rPr>
          <w:lang w:val="tr-TR"/>
        </w:rPr>
        <w:t xml:space="preserve"> </w:t>
      </w:r>
      <w:r w:rsidR="00C95160" w:rsidRPr="008F1795">
        <w:rPr>
          <w:lang w:val="tr-TR"/>
        </w:rPr>
        <w:t>görüldüğünü</w:t>
      </w:r>
      <w:r w:rsidR="00466004" w:rsidRPr="008F1795">
        <w:rPr>
          <w:lang w:val="tr-TR"/>
        </w:rPr>
        <w:t xml:space="preserve">, bu nedenle </w:t>
      </w:r>
      <w:r w:rsidR="0024515A" w:rsidRPr="008F1795">
        <w:rPr>
          <w:lang w:val="tr-TR"/>
        </w:rPr>
        <w:t xml:space="preserve">Ceza Kanununun 314. </w:t>
      </w:r>
      <w:r w:rsidR="00241305" w:rsidRPr="008F1795">
        <w:rPr>
          <w:lang w:val="tr-TR"/>
        </w:rPr>
        <w:t>Madde</w:t>
      </w:r>
      <w:r w:rsidR="0024515A" w:rsidRPr="008F1795">
        <w:rPr>
          <w:lang w:val="tr-TR"/>
        </w:rPr>
        <w:t xml:space="preserve">sine göre </w:t>
      </w:r>
      <w:r w:rsidR="00887DDD" w:rsidRPr="008F1795">
        <w:rPr>
          <w:lang w:val="tr-TR"/>
        </w:rPr>
        <w:t xml:space="preserve">şüphelilerin </w:t>
      </w:r>
      <w:r w:rsidR="0024515A" w:rsidRPr="008F1795">
        <w:rPr>
          <w:lang w:val="tr-TR"/>
        </w:rPr>
        <w:t>silahl</w:t>
      </w:r>
      <w:r w:rsidR="008C35B9" w:rsidRPr="008F1795">
        <w:rPr>
          <w:lang w:val="tr-TR"/>
        </w:rPr>
        <w:t>ı</w:t>
      </w:r>
      <w:r w:rsidR="0024515A" w:rsidRPr="008F1795">
        <w:rPr>
          <w:lang w:val="tr-TR"/>
        </w:rPr>
        <w:t xml:space="preserve"> örgüt</w:t>
      </w:r>
      <w:r w:rsidR="008C35B9" w:rsidRPr="008F1795">
        <w:rPr>
          <w:lang w:val="tr-TR"/>
        </w:rPr>
        <w:t xml:space="preserve"> üyeliğinin kanıtla</w:t>
      </w:r>
      <w:r w:rsidR="00466004" w:rsidRPr="008F1795">
        <w:rPr>
          <w:lang w:val="tr-TR"/>
        </w:rPr>
        <w:t>nd</w:t>
      </w:r>
      <w:r w:rsidR="008C35B9" w:rsidRPr="008F1795">
        <w:rPr>
          <w:lang w:val="tr-TR"/>
        </w:rPr>
        <w:t xml:space="preserve">ığına karar vermiştir. </w:t>
      </w:r>
    </w:p>
    <w:p w14:paraId="4DB36E9A" w14:textId="77777777" w:rsidR="00A568DB" w:rsidRPr="008F1795" w:rsidRDefault="00A568DB" w:rsidP="00042C7E">
      <w:pPr>
        <w:pStyle w:val="ListeParagraf"/>
        <w:tabs>
          <w:tab w:val="left" w:pos="792"/>
        </w:tabs>
        <w:ind w:right="215"/>
        <w:rPr>
          <w:lang w:val="tr-TR"/>
        </w:rPr>
      </w:pPr>
    </w:p>
    <w:p w14:paraId="2F02266B" w14:textId="77777777" w:rsidR="00B74CEA" w:rsidRPr="008F1795" w:rsidRDefault="00B74CEA">
      <w:pPr>
        <w:pStyle w:val="GvdeMetni"/>
        <w:rPr>
          <w:lang w:val="tr-TR"/>
        </w:rPr>
      </w:pPr>
    </w:p>
    <w:p w14:paraId="02E44DCF" w14:textId="398373F1" w:rsidR="001A2BFB" w:rsidRPr="008F1795" w:rsidRDefault="0086397B">
      <w:pPr>
        <w:pStyle w:val="ListeParagraf"/>
        <w:numPr>
          <w:ilvl w:val="0"/>
          <w:numId w:val="2"/>
        </w:numPr>
        <w:tabs>
          <w:tab w:val="left" w:pos="758"/>
        </w:tabs>
        <w:spacing w:before="1"/>
        <w:ind w:firstLine="0"/>
        <w:rPr>
          <w:lang w:val="tr-TR"/>
        </w:rPr>
      </w:pPr>
      <w:r w:rsidRPr="008F1795">
        <w:rPr>
          <w:lang w:val="tr-TR"/>
        </w:rPr>
        <w:t>S</w:t>
      </w:r>
      <w:r w:rsidR="0084445F" w:rsidRPr="008F1795">
        <w:rPr>
          <w:lang w:val="tr-TR"/>
        </w:rPr>
        <w:t>anığa atfedilen</w:t>
      </w:r>
      <w:r w:rsidR="003713F7" w:rsidRPr="008F1795">
        <w:rPr>
          <w:lang w:val="tr-TR"/>
        </w:rPr>
        <w:t xml:space="preserve"> ancak “devamlılık, çeşitlilik ya da yoğunluk” </w:t>
      </w:r>
      <w:r w:rsidRPr="008F1795">
        <w:rPr>
          <w:lang w:val="tr-TR"/>
        </w:rPr>
        <w:t>içermeyen</w:t>
      </w:r>
      <w:r w:rsidR="0084445F" w:rsidRPr="008F1795">
        <w:rPr>
          <w:lang w:val="tr-TR"/>
        </w:rPr>
        <w:t xml:space="preserve"> </w:t>
      </w:r>
      <w:r w:rsidR="0023668F" w:rsidRPr="008F1795">
        <w:rPr>
          <w:lang w:val="tr-TR"/>
        </w:rPr>
        <w:t>fiiller</w:t>
      </w:r>
      <w:r w:rsidR="004D1B9F" w:rsidRPr="008F1795">
        <w:rPr>
          <w:lang w:val="tr-TR"/>
        </w:rPr>
        <w:t>e dayalı olarak s</w:t>
      </w:r>
      <w:r w:rsidRPr="008F1795">
        <w:rPr>
          <w:lang w:val="tr-TR"/>
        </w:rPr>
        <w:t>anığın örgüt ile “organik ilişkisi”</w:t>
      </w:r>
      <w:r w:rsidR="004D1B9F" w:rsidRPr="008F1795">
        <w:rPr>
          <w:lang w:val="tr-TR"/>
        </w:rPr>
        <w:t xml:space="preserve"> </w:t>
      </w:r>
      <w:r w:rsidR="0023668F" w:rsidRPr="008F1795">
        <w:rPr>
          <w:lang w:val="tr-TR"/>
        </w:rPr>
        <w:t xml:space="preserve">kanıtlanamıyor ise, </w:t>
      </w:r>
      <w:r w:rsidR="004D1B9F" w:rsidRPr="008F1795">
        <w:rPr>
          <w:lang w:val="tr-TR"/>
        </w:rPr>
        <w:t xml:space="preserve">220. </w:t>
      </w:r>
      <w:r w:rsidR="00241305" w:rsidRPr="008F1795">
        <w:rPr>
          <w:lang w:val="tr-TR"/>
        </w:rPr>
        <w:t>Madde</w:t>
      </w:r>
      <w:r w:rsidR="004D1B9F" w:rsidRPr="008F1795">
        <w:rPr>
          <w:lang w:val="tr-TR"/>
        </w:rPr>
        <w:t>nin “</w:t>
      </w:r>
      <w:r w:rsidR="00BF78C5" w:rsidRPr="008F1795">
        <w:rPr>
          <w:lang w:val="tr-TR"/>
        </w:rPr>
        <w:t>silahlı örgüte</w:t>
      </w:r>
      <w:r w:rsidR="00F05BB5" w:rsidRPr="008F1795">
        <w:rPr>
          <w:lang w:val="tr-TR"/>
        </w:rPr>
        <w:t xml:space="preserve"> yardım eden” ya da “silahlı örgüt adına suç işleyen” kişiler ile ilgili </w:t>
      </w:r>
      <w:r w:rsidR="00EC6225" w:rsidRPr="008F1795">
        <w:rPr>
          <w:lang w:val="tr-TR"/>
        </w:rPr>
        <w:t>fıkra</w:t>
      </w:r>
      <w:r w:rsidR="00F05BB5" w:rsidRPr="008F1795">
        <w:rPr>
          <w:lang w:val="tr-TR"/>
        </w:rPr>
        <w:t>ları</w:t>
      </w:r>
      <w:r w:rsidR="00896DCF" w:rsidRPr="008F1795">
        <w:rPr>
          <w:lang w:val="tr-TR"/>
        </w:rPr>
        <w:t xml:space="preserve"> uygulanabilir (bakınız aşağıda)</w:t>
      </w:r>
      <w:r w:rsidR="00E0200C" w:rsidRPr="008F1795">
        <w:rPr>
          <w:lang w:val="tr-TR"/>
        </w:rPr>
        <w:t>.</w:t>
      </w:r>
      <w:r w:rsidR="00896DCF" w:rsidRPr="008F1795">
        <w:rPr>
          <w:rStyle w:val="DipnotBavurusu"/>
          <w:lang w:val="tr-TR"/>
        </w:rPr>
        <w:footnoteReference w:id="133"/>
      </w:r>
      <w:r w:rsidR="008E5C38" w:rsidRPr="008F1795">
        <w:rPr>
          <w:lang w:val="tr-TR"/>
        </w:rPr>
        <w:t xml:space="preserve"> Örgüte sempati duyan ancak örgüte katılmak üzere sınırı geçerken yakalanan bir kişi</w:t>
      </w:r>
      <w:r w:rsidR="0047102C" w:rsidRPr="008F1795">
        <w:rPr>
          <w:rStyle w:val="DipnotBavurusu"/>
          <w:lang w:val="tr-TR"/>
        </w:rPr>
        <w:footnoteReference w:id="134"/>
      </w:r>
      <w:r w:rsidR="008E5C38" w:rsidRPr="008F1795">
        <w:rPr>
          <w:lang w:val="tr-TR"/>
        </w:rPr>
        <w:t xml:space="preserve"> ya da </w:t>
      </w:r>
      <w:r w:rsidR="00DF2274" w:rsidRPr="008F1795">
        <w:rPr>
          <w:lang w:val="tr-TR"/>
        </w:rPr>
        <w:t>üye olmak amacıyla örgüt üyeleri ile temas kurmaya çalışan bir kişi</w:t>
      </w:r>
      <w:r w:rsidR="00C952DC" w:rsidRPr="008F1795">
        <w:rPr>
          <w:rStyle w:val="DipnotBavurusu"/>
          <w:lang w:val="tr-TR"/>
        </w:rPr>
        <w:footnoteReference w:id="135"/>
      </w:r>
      <w:r w:rsidR="007F323B" w:rsidRPr="008F1795">
        <w:rPr>
          <w:lang w:val="tr-TR"/>
        </w:rPr>
        <w:t>, yakalama sırasında organik ilişki henüz kurulmamış olduğu için</w:t>
      </w:r>
      <w:r w:rsidR="00DF2274" w:rsidRPr="008F1795">
        <w:rPr>
          <w:lang w:val="tr-TR"/>
        </w:rPr>
        <w:t xml:space="preserve"> silahlı örgüt üyesi </w:t>
      </w:r>
      <w:r w:rsidR="007F323B" w:rsidRPr="008F1795">
        <w:rPr>
          <w:lang w:val="tr-TR"/>
        </w:rPr>
        <w:t>sayılmamıştır.</w:t>
      </w:r>
      <w:r w:rsidR="00DF2274" w:rsidRPr="008F1795">
        <w:rPr>
          <w:lang w:val="tr-TR"/>
        </w:rPr>
        <w:t xml:space="preserve"> </w:t>
      </w:r>
      <w:r w:rsidR="00C952DC" w:rsidRPr="008F1795">
        <w:rPr>
          <w:lang w:val="tr-TR"/>
        </w:rPr>
        <w:t xml:space="preserve">Ayrıca, </w:t>
      </w:r>
      <w:r w:rsidR="0025393A" w:rsidRPr="008F1795">
        <w:rPr>
          <w:lang w:val="tr-TR"/>
        </w:rPr>
        <w:t>“PKK yanlısı medya kuruluşlarınca yapılan genel bir çağrıyı takiben</w:t>
      </w:r>
      <w:r w:rsidR="00073226" w:rsidRPr="008F1795">
        <w:rPr>
          <w:lang w:val="tr-TR"/>
        </w:rPr>
        <w:t xml:space="preserve"> bir </w:t>
      </w:r>
      <w:r w:rsidR="00121F93" w:rsidRPr="008F1795">
        <w:rPr>
          <w:lang w:val="tr-TR"/>
        </w:rPr>
        <w:t xml:space="preserve">sokak </w:t>
      </w:r>
      <w:r w:rsidR="005B1B15" w:rsidRPr="008F1795">
        <w:rPr>
          <w:lang w:val="tr-TR"/>
        </w:rPr>
        <w:t>eylemine</w:t>
      </w:r>
      <w:r w:rsidR="009C6A25" w:rsidRPr="008F1795">
        <w:rPr>
          <w:lang w:val="tr-TR"/>
        </w:rPr>
        <w:t xml:space="preserve"> </w:t>
      </w:r>
      <w:r w:rsidR="009C6A25" w:rsidRPr="008F1795">
        <w:rPr>
          <w:lang w:val="tr-TR"/>
        </w:rPr>
        <w:lastRenderedPageBreak/>
        <w:t xml:space="preserve">katılmak, </w:t>
      </w:r>
      <w:r w:rsidR="00ED1A30" w:rsidRPr="008F1795">
        <w:rPr>
          <w:lang w:val="tr-TR"/>
        </w:rPr>
        <w:t>zafer işareti yapıp</w:t>
      </w:r>
      <w:r w:rsidR="009A6E0D" w:rsidRPr="008F1795">
        <w:rPr>
          <w:lang w:val="tr-TR"/>
        </w:rPr>
        <w:t xml:space="preserve"> terör örgütünün liderini destekleyen sloganlar atmak,</w:t>
      </w:r>
      <w:r w:rsidR="005658EA" w:rsidRPr="008F1795">
        <w:rPr>
          <w:lang w:val="tr-TR"/>
        </w:rPr>
        <w:t xml:space="preserve"> emniyet kuvvetleri ile çatışarak </w:t>
      </w:r>
      <w:r w:rsidR="005E2796" w:rsidRPr="008F1795">
        <w:rPr>
          <w:lang w:val="tr-TR"/>
        </w:rPr>
        <w:t xml:space="preserve">barikat kurmak” </w:t>
      </w:r>
      <w:r w:rsidR="00B3556C" w:rsidRPr="008F1795">
        <w:rPr>
          <w:lang w:val="tr-TR"/>
        </w:rPr>
        <w:t xml:space="preserve">gibi </w:t>
      </w:r>
      <w:r w:rsidR="005E2796" w:rsidRPr="008F1795">
        <w:rPr>
          <w:lang w:val="tr-TR"/>
        </w:rPr>
        <w:t>fiil</w:t>
      </w:r>
      <w:r w:rsidR="00B3556C" w:rsidRPr="008F1795">
        <w:rPr>
          <w:lang w:val="tr-TR"/>
        </w:rPr>
        <w:t xml:space="preserve">ler örgüt üyeliği değil, örgüt adına işlenen suçlar olarak değerlendirilmektedir. </w:t>
      </w:r>
      <w:r w:rsidR="00B14D2E" w:rsidRPr="008F1795">
        <w:rPr>
          <w:rStyle w:val="DipnotBavurusu"/>
          <w:lang w:val="tr-TR"/>
        </w:rPr>
        <w:footnoteReference w:id="136"/>
      </w:r>
      <w:r w:rsidR="00B3556C" w:rsidRPr="008F1795">
        <w:rPr>
          <w:lang w:val="tr-TR"/>
        </w:rPr>
        <w:t xml:space="preserve"> </w:t>
      </w:r>
    </w:p>
    <w:p w14:paraId="60E4107C" w14:textId="77777777" w:rsidR="00B14D2E" w:rsidRPr="008F1795" w:rsidRDefault="00B14D2E" w:rsidP="00B14D2E">
      <w:pPr>
        <w:pStyle w:val="ListeParagraf"/>
        <w:tabs>
          <w:tab w:val="left" w:pos="758"/>
        </w:tabs>
        <w:spacing w:before="1"/>
        <w:rPr>
          <w:lang w:val="tr-TR"/>
        </w:rPr>
      </w:pPr>
    </w:p>
    <w:p w14:paraId="07003E48" w14:textId="456A2F94" w:rsidR="00B14D2E" w:rsidRPr="008F1795" w:rsidRDefault="007E6B62">
      <w:pPr>
        <w:pStyle w:val="ListeParagraf"/>
        <w:numPr>
          <w:ilvl w:val="0"/>
          <w:numId w:val="2"/>
        </w:numPr>
        <w:tabs>
          <w:tab w:val="left" w:pos="758"/>
        </w:tabs>
        <w:spacing w:before="1"/>
        <w:ind w:firstLine="0"/>
        <w:rPr>
          <w:lang w:val="tr-TR"/>
        </w:rPr>
      </w:pPr>
      <w:r w:rsidRPr="008F1795">
        <w:rPr>
          <w:lang w:val="tr-TR"/>
        </w:rPr>
        <w:t xml:space="preserve">Hükümet dışı kaynaklara göre, </w:t>
      </w:r>
      <w:r w:rsidR="00B7396D" w:rsidRPr="008F1795">
        <w:rPr>
          <w:lang w:val="tr-TR"/>
        </w:rPr>
        <w:t xml:space="preserve">yerel mahkemeler </w:t>
      </w:r>
      <w:r w:rsidRPr="008F1795">
        <w:rPr>
          <w:lang w:val="tr-TR"/>
        </w:rPr>
        <w:t xml:space="preserve">314. </w:t>
      </w:r>
      <w:r w:rsidR="00241305" w:rsidRPr="008F1795">
        <w:rPr>
          <w:lang w:val="tr-TR"/>
        </w:rPr>
        <w:t>Madde</w:t>
      </w:r>
      <w:r w:rsidR="00B7396D" w:rsidRPr="008F1795">
        <w:rPr>
          <w:lang w:val="tr-TR"/>
        </w:rPr>
        <w:t>yi</w:t>
      </w:r>
      <w:r w:rsidRPr="008F1795">
        <w:rPr>
          <w:lang w:val="tr-TR"/>
        </w:rPr>
        <w:t xml:space="preserve"> uygula</w:t>
      </w:r>
      <w:r w:rsidR="00B7396D" w:rsidRPr="008F1795">
        <w:rPr>
          <w:lang w:val="tr-TR"/>
        </w:rPr>
        <w:t xml:space="preserve">rken pek çok davada silahlı örgüt üyeliği tespitini çok zayıf delillere dayalı olarak </w:t>
      </w:r>
      <w:r w:rsidR="00E85FAB" w:rsidRPr="008F1795">
        <w:rPr>
          <w:lang w:val="tr-TR"/>
        </w:rPr>
        <w:t xml:space="preserve">yapmaktadır, bu nedenle 314. </w:t>
      </w:r>
      <w:r w:rsidR="00241305" w:rsidRPr="008F1795">
        <w:rPr>
          <w:lang w:val="tr-TR"/>
        </w:rPr>
        <w:t>Madde</w:t>
      </w:r>
      <w:r w:rsidR="00E85FAB" w:rsidRPr="008F1795">
        <w:rPr>
          <w:lang w:val="tr-TR"/>
        </w:rPr>
        <w:t xml:space="preserve">nin uygulanışının “öngörülebilirliğine” ilişkin sorular gündeme gelmektedir. Benzer şekilde, </w:t>
      </w:r>
      <w:proofErr w:type="spellStart"/>
      <w:r w:rsidR="00277E65" w:rsidRPr="008F1795">
        <w:rPr>
          <w:lang w:val="tr-TR"/>
        </w:rPr>
        <w:t>Freedom</w:t>
      </w:r>
      <w:proofErr w:type="spellEnd"/>
      <w:r w:rsidR="00277E65" w:rsidRPr="008F1795">
        <w:rPr>
          <w:lang w:val="tr-TR"/>
        </w:rPr>
        <w:t xml:space="preserve"> House, 2015 tarihli Türkiye’de Basın Özgürlüğü adlı raporunda </w:t>
      </w:r>
      <w:r w:rsidR="007E1940" w:rsidRPr="008F1795">
        <w:rPr>
          <w:lang w:val="tr-TR"/>
        </w:rPr>
        <w:t>“</w:t>
      </w:r>
      <w:r w:rsidR="007E1940" w:rsidRPr="008F1795">
        <w:rPr>
          <w:i/>
          <w:iCs/>
          <w:lang w:val="tr-TR"/>
        </w:rPr>
        <w:t>silahlı bir örgüte üyeliği</w:t>
      </w:r>
      <w:r w:rsidR="00100F44" w:rsidRPr="008F1795">
        <w:rPr>
          <w:i/>
          <w:iCs/>
          <w:lang w:val="tr-TR"/>
        </w:rPr>
        <w:t xml:space="preserve"> çok geniş tanımlayan </w:t>
      </w:r>
      <w:r w:rsidR="007E1940" w:rsidRPr="008F1795">
        <w:rPr>
          <w:i/>
          <w:iCs/>
          <w:lang w:val="tr-TR"/>
        </w:rPr>
        <w:t xml:space="preserve">Ceza Kanununun 314. </w:t>
      </w:r>
      <w:r w:rsidR="00241305" w:rsidRPr="008F1795">
        <w:rPr>
          <w:i/>
          <w:iCs/>
          <w:lang w:val="tr-TR"/>
        </w:rPr>
        <w:t>Madde</w:t>
      </w:r>
      <w:r w:rsidR="00FA39D1" w:rsidRPr="008F1795">
        <w:rPr>
          <w:i/>
          <w:iCs/>
          <w:lang w:val="tr-TR"/>
        </w:rPr>
        <w:t>si</w:t>
      </w:r>
      <w:r w:rsidR="00666DA9">
        <w:rPr>
          <w:i/>
          <w:iCs/>
          <w:lang w:val="tr-TR"/>
        </w:rPr>
        <w:t>,</w:t>
      </w:r>
      <w:r w:rsidR="00FA39D1" w:rsidRPr="008F1795">
        <w:rPr>
          <w:i/>
          <w:iCs/>
          <w:lang w:val="tr-TR"/>
        </w:rPr>
        <w:t xml:space="preserve"> gazetecilere, özellikle Kürtlere ve siyasi sol ile özdeşleşmiş kişilere karşı uygulanmaya devam etmektedir</w:t>
      </w:r>
      <w:r w:rsidR="00FA39D1" w:rsidRPr="008F1795">
        <w:rPr>
          <w:lang w:val="tr-TR"/>
        </w:rPr>
        <w:t>”</w:t>
      </w:r>
      <w:r w:rsidR="00912DFB" w:rsidRPr="008F1795">
        <w:rPr>
          <w:lang w:val="tr-TR"/>
        </w:rPr>
        <w:t xml:space="preserve"> diye kaydetmiştir.</w:t>
      </w:r>
      <w:r w:rsidR="00912DFB" w:rsidRPr="008F1795">
        <w:rPr>
          <w:rStyle w:val="DipnotBavurusu"/>
          <w:lang w:val="tr-TR"/>
        </w:rPr>
        <w:footnoteReference w:id="137"/>
      </w:r>
      <w:r w:rsidR="00FA39D1" w:rsidRPr="008F1795">
        <w:rPr>
          <w:lang w:val="tr-TR"/>
        </w:rPr>
        <w:t xml:space="preserve"> </w:t>
      </w:r>
      <w:r w:rsidR="00703563" w:rsidRPr="008F1795">
        <w:rPr>
          <w:lang w:val="tr-TR"/>
        </w:rPr>
        <w:t>Ayrıca, Uluslararası Af Örgütü, 2013 tarihli Türkiye ile ilgili Raporunda</w:t>
      </w:r>
      <w:r w:rsidR="00F66401" w:rsidRPr="008F1795">
        <w:rPr>
          <w:lang w:val="tr-TR"/>
        </w:rPr>
        <w:t>,</w:t>
      </w:r>
      <w:r w:rsidR="00703563" w:rsidRPr="008F1795">
        <w:rPr>
          <w:rStyle w:val="DipnotBavurusu"/>
          <w:lang w:val="tr-TR"/>
        </w:rPr>
        <w:footnoteReference w:id="138"/>
      </w:r>
      <w:r w:rsidR="00703563" w:rsidRPr="008F1795">
        <w:rPr>
          <w:lang w:val="tr-TR"/>
        </w:rPr>
        <w:t xml:space="preserve"> </w:t>
      </w:r>
      <w:r w:rsidR="008B5C92" w:rsidRPr="008F1795">
        <w:rPr>
          <w:lang w:val="tr-TR"/>
        </w:rPr>
        <w:t>kendi başına suç teşkil etmeyen bir davranış</w:t>
      </w:r>
      <w:r w:rsidR="00A65AB4">
        <w:rPr>
          <w:lang w:val="tr-TR"/>
        </w:rPr>
        <w:t>ın</w:t>
      </w:r>
      <w:r w:rsidR="008B5C92" w:rsidRPr="008F1795">
        <w:rPr>
          <w:lang w:val="tr-TR"/>
        </w:rPr>
        <w:t xml:space="preserve">, örneğin </w:t>
      </w:r>
      <w:r w:rsidR="00F66401" w:rsidRPr="008F1795">
        <w:rPr>
          <w:lang w:val="tr-TR"/>
        </w:rPr>
        <w:t>toplanma, örgütlenme ve ifade özgürlükleri hakkının kullanılması ile ilgili bir faaliyet</w:t>
      </w:r>
      <w:r w:rsidR="00A65AB4">
        <w:rPr>
          <w:lang w:val="tr-TR"/>
        </w:rPr>
        <w:t>in</w:t>
      </w:r>
      <w:r w:rsidR="001945EE" w:rsidRPr="008F1795">
        <w:rPr>
          <w:lang w:val="tr-TR"/>
        </w:rPr>
        <w:t xml:space="preserve">, sanığın silahlı örgüt üyesi olduğuna dair kanıt olarak değerlendirildiğini belirtmiştir. Rapora göre bu yaklaşımın nedeni, </w:t>
      </w:r>
      <w:r w:rsidR="00371429" w:rsidRPr="008F1795">
        <w:rPr>
          <w:lang w:val="tr-TR"/>
        </w:rPr>
        <w:t>savcılığın bu faaliyetleri</w:t>
      </w:r>
      <w:r w:rsidR="00F775D9" w:rsidRPr="008F1795">
        <w:rPr>
          <w:lang w:val="tr-TR"/>
        </w:rPr>
        <w:t>n</w:t>
      </w:r>
      <w:r w:rsidR="00371429" w:rsidRPr="008F1795">
        <w:rPr>
          <w:lang w:val="tr-TR"/>
        </w:rPr>
        <w:t xml:space="preserve"> terör grubu ile </w:t>
      </w:r>
      <w:r w:rsidR="00EC4C5E" w:rsidRPr="008F1795">
        <w:rPr>
          <w:lang w:val="tr-TR"/>
        </w:rPr>
        <w:t xml:space="preserve">genel olarak </w:t>
      </w:r>
      <w:r w:rsidR="00371429" w:rsidRPr="008F1795">
        <w:rPr>
          <w:lang w:val="tr-TR"/>
        </w:rPr>
        <w:t>aynı hedef</w:t>
      </w:r>
      <w:r w:rsidR="00EC4C5E" w:rsidRPr="008F1795">
        <w:rPr>
          <w:lang w:val="tr-TR"/>
        </w:rPr>
        <w:t xml:space="preserve">lere </w:t>
      </w:r>
      <w:r w:rsidR="00371429" w:rsidRPr="008F1795">
        <w:rPr>
          <w:lang w:val="tr-TR"/>
        </w:rPr>
        <w:t>sahip olduğu yönündeki algısı</w:t>
      </w:r>
      <w:r w:rsidR="00EC4C5E" w:rsidRPr="008F1795">
        <w:rPr>
          <w:lang w:val="tr-TR"/>
        </w:rPr>
        <w:t>dır</w:t>
      </w:r>
      <w:r w:rsidR="00371429" w:rsidRPr="008F1795">
        <w:rPr>
          <w:lang w:val="tr-TR"/>
        </w:rPr>
        <w:t xml:space="preserve"> ve bunun sonucunda, “</w:t>
      </w:r>
      <w:r w:rsidR="00F775D9" w:rsidRPr="008F1795">
        <w:rPr>
          <w:i/>
          <w:iCs/>
          <w:lang w:val="tr-TR"/>
        </w:rPr>
        <w:t xml:space="preserve">bireyler, </w:t>
      </w:r>
      <w:r w:rsidR="00FC6AC1" w:rsidRPr="008F1795">
        <w:rPr>
          <w:i/>
          <w:iCs/>
          <w:lang w:val="tr-TR"/>
        </w:rPr>
        <w:t xml:space="preserve">sadece </w:t>
      </w:r>
      <w:r w:rsidR="00A841C3" w:rsidRPr="008F1795">
        <w:rPr>
          <w:i/>
          <w:iCs/>
          <w:lang w:val="tr-TR"/>
        </w:rPr>
        <w:t xml:space="preserve">barışçıl </w:t>
      </w:r>
      <w:r w:rsidR="00FC6AC1" w:rsidRPr="008F1795">
        <w:rPr>
          <w:i/>
          <w:iCs/>
          <w:lang w:val="tr-TR"/>
        </w:rPr>
        <w:t>ve yasal olan</w:t>
      </w:r>
      <w:r w:rsidR="00A841C3" w:rsidRPr="008F1795">
        <w:rPr>
          <w:i/>
          <w:iCs/>
          <w:lang w:val="tr-TR"/>
        </w:rPr>
        <w:t xml:space="preserve"> Kürt yanlısı </w:t>
      </w:r>
      <w:r w:rsidR="00FC6AC1" w:rsidRPr="008F1795">
        <w:rPr>
          <w:i/>
          <w:iCs/>
          <w:lang w:val="tr-TR"/>
        </w:rPr>
        <w:t>faaliyetler</w:t>
      </w:r>
      <w:r w:rsidR="00360AC3" w:rsidRPr="008F1795">
        <w:rPr>
          <w:i/>
          <w:iCs/>
          <w:lang w:val="tr-TR"/>
        </w:rPr>
        <w:t>e katılmış oldukları için terör örgütü üye</w:t>
      </w:r>
      <w:r w:rsidR="00F775D9" w:rsidRPr="008F1795">
        <w:rPr>
          <w:i/>
          <w:iCs/>
          <w:lang w:val="tr-TR"/>
        </w:rPr>
        <w:t>si olmakla yargılanmıştır</w:t>
      </w:r>
      <w:r w:rsidR="00F775D9" w:rsidRPr="008F1795">
        <w:rPr>
          <w:lang w:val="tr-TR"/>
        </w:rPr>
        <w:t>”</w:t>
      </w:r>
      <w:r w:rsidR="00481428" w:rsidRPr="008F1795">
        <w:rPr>
          <w:lang w:val="tr-TR"/>
        </w:rPr>
        <w:t>.</w:t>
      </w:r>
      <w:r w:rsidR="00F775D9" w:rsidRPr="008F1795">
        <w:rPr>
          <w:rStyle w:val="DipnotBavurusu"/>
          <w:lang w:val="tr-TR"/>
        </w:rPr>
        <w:footnoteReference w:id="139"/>
      </w:r>
      <w:r w:rsidR="000C28E2" w:rsidRPr="008F1795">
        <w:rPr>
          <w:lang w:val="tr-TR"/>
        </w:rPr>
        <w:t xml:space="preserve"> </w:t>
      </w:r>
      <w:r w:rsidR="003C7BF3" w:rsidRPr="008F1795">
        <w:rPr>
          <w:lang w:val="tr-TR"/>
        </w:rPr>
        <w:t>Uluslararası Af Örgütünün sunduğu somut örneklerde, s</w:t>
      </w:r>
      <w:r w:rsidR="00233015" w:rsidRPr="008F1795">
        <w:rPr>
          <w:lang w:val="tr-TR"/>
        </w:rPr>
        <w:t xml:space="preserve">anıkların terör örgütü ile bağlantılı olduğuna dair kanıt olarak sayılan </w:t>
      </w:r>
      <w:r w:rsidR="003C7BF3" w:rsidRPr="008F1795">
        <w:rPr>
          <w:lang w:val="tr-TR"/>
        </w:rPr>
        <w:t xml:space="preserve">eylemler arasında terör örgütü tarafından düzenlendiği iddia edilen altı farklı </w:t>
      </w:r>
      <w:r w:rsidR="00806E4E" w:rsidRPr="008F1795">
        <w:rPr>
          <w:lang w:val="tr-TR"/>
        </w:rPr>
        <w:t xml:space="preserve">sokak gösterisine katılmak ve bu gösterilerden birinde konuşma yapmak, ya da başka bir davada sanığın Barış ve Demokrasi Partisinin </w:t>
      </w:r>
      <w:r w:rsidR="00875F4F" w:rsidRPr="008F1795">
        <w:rPr>
          <w:lang w:val="tr-TR"/>
        </w:rPr>
        <w:t>(BDP-</w:t>
      </w:r>
      <w:r w:rsidR="009A3922" w:rsidRPr="008F1795">
        <w:rPr>
          <w:lang w:val="tr-TR"/>
        </w:rPr>
        <w:t xml:space="preserve">Kürt yanlısı olarak bilinen bir siyasi parti) </w:t>
      </w:r>
      <w:r w:rsidR="00806E4E" w:rsidRPr="008F1795">
        <w:rPr>
          <w:lang w:val="tr-TR"/>
        </w:rPr>
        <w:t>düzenlediği “Politik Akademi</w:t>
      </w:r>
      <w:r w:rsidR="00875F4F" w:rsidRPr="008F1795">
        <w:rPr>
          <w:lang w:val="tr-TR"/>
        </w:rPr>
        <w:t>ye</w:t>
      </w:r>
      <w:r w:rsidR="00806E4E" w:rsidRPr="008F1795">
        <w:rPr>
          <w:lang w:val="tr-TR"/>
        </w:rPr>
        <w:t>”</w:t>
      </w:r>
      <w:r w:rsidR="00875F4F" w:rsidRPr="008F1795">
        <w:rPr>
          <w:lang w:val="tr-TR"/>
        </w:rPr>
        <w:t xml:space="preserve"> katılmış olması ve bu Akademi bünyesinde çeşitli faaliyetlerde bulunması </w:t>
      </w:r>
      <w:r w:rsidR="0086367A" w:rsidRPr="008F1795">
        <w:rPr>
          <w:lang w:val="tr-TR"/>
        </w:rPr>
        <w:t xml:space="preserve">yer almaktadır. </w:t>
      </w:r>
    </w:p>
    <w:p w14:paraId="11C9F03A" w14:textId="77777777" w:rsidR="00B14D2E" w:rsidRPr="008F1795" w:rsidRDefault="00B14D2E" w:rsidP="00B14D2E">
      <w:pPr>
        <w:pStyle w:val="ListeParagraf"/>
        <w:tabs>
          <w:tab w:val="left" w:pos="758"/>
        </w:tabs>
        <w:spacing w:before="1"/>
        <w:rPr>
          <w:lang w:val="tr-TR"/>
        </w:rPr>
      </w:pPr>
    </w:p>
    <w:p w14:paraId="07EA6F35" w14:textId="123BDB97" w:rsidR="00D00871" w:rsidRPr="008F1795" w:rsidRDefault="0086367A" w:rsidP="0086367A">
      <w:pPr>
        <w:pStyle w:val="ListeParagraf"/>
        <w:numPr>
          <w:ilvl w:val="0"/>
          <w:numId w:val="2"/>
        </w:numPr>
        <w:tabs>
          <w:tab w:val="left" w:pos="844"/>
        </w:tabs>
        <w:ind w:firstLine="0"/>
        <w:rPr>
          <w:lang w:val="tr-TR"/>
        </w:rPr>
      </w:pPr>
      <w:r w:rsidRPr="008F1795">
        <w:rPr>
          <w:lang w:val="tr-TR"/>
        </w:rPr>
        <w:t>Venedik Komisyonu</w:t>
      </w:r>
      <w:r w:rsidR="009D08F5" w:rsidRPr="008F1795">
        <w:rPr>
          <w:lang w:val="tr-TR"/>
        </w:rPr>
        <w:t xml:space="preserve">, </w:t>
      </w:r>
      <w:r w:rsidR="00411B82" w:rsidRPr="008F1795">
        <w:rPr>
          <w:lang w:val="tr-TR"/>
        </w:rPr>
        <w:t xml:space="preserve">silahlı örgüt üyesi olmak suçuyla </w:t>
      </w:r>
      <w:r w:rsidR="001B20EF">
        <w:rPr>
          <w:lang w:val="tr-TR"/>
        </w:rPr>
        <w:t>eski</w:t>
      </w:r>
      <w:r w:rsidR="00411B82" w:rsidRPr="008F1795">
        <w:rPr>
          <w:lang w:val="tr-TR"/>
        </w:rPr>
        <w:t xml:space="preserve"> Ceza Kanununun 168. </w:t>
      </w:r>
      <w:r w:rsidR="00241305" w:rsidRPr="008F1795">
        <w:rPr>
          <w:lang w:val="tr-TR"/>
        </w:rPr>
        <w:t>Madde</w:t>
      </w:r>
      <w:r w:rsidR="00411B82" w:rsidRPr="008F1795">
        <w:rPr>
          <w:lang w:val="tr-TR"/>
        </w:rPr>
        <w:t>si</w:t>
      </w:r>
      <w:r w:rsidR="00994D17" w:rsidRPr="008F1795">
        <w:rPr>
          <w:lang w:val="tr-TR"/>
        </w:rPr>
        <w:t xml:space="preserve"> uyarınca </w:t>
      </w:r>
      <w:r w:rsidR="001B20EF">
        <w:rPr>
          <w:lang w:val="tr-TR"/>
        </w:rPr>
        <w:t>hüküm giyen</w:t>
      </w:r>
      <w:r w:rsidR="00994D17" w:rsidRPr="008F1795">
        <w:rPr>
          <w:lang w:val="tr-TR"/>
        </w:rPr>
        <w:t xml:space="preserve"> bazı kişilerin AİHM’ye başvurularının kabul edilebilirliğine dair kararlarda</w:t>
      </w:r>
      <w:r w:rsidR="00D06492">
        <w:rPr>
          <w:lang w:val="tr-TR"/>
        </w:rPr>
        <w:t>,</w:t>
      </w:r>
      <w:r w:rsidR="00994D17" w:rsidRPr="008F1795">
        <w:rPr>
          <w:lang w:val="tr-TR"/>
        </w:rPr>
        <w:t xml:space="preserve"> </w:t>
      </w:r>
      <w:r w:rsidR="00395386" w:rsidRPr="008F1795">
        <w:rPr>
          <w:lang w:val="tr-TR"/>
        </w:rPr>
        <w:t>AİHM’nin başvurucular</w:t>
      </w:r>
      <w:r w:rsidR="00673832" w:rsidRPr="008F1795">
        <w:rPr>
          <w:lang w:val="tr-TR"/>
        </w:rPr>
        <w:t>a</w:t>
      </w:r>
      <w:r w:rsidR="00395386" w:rsidRPr="008F1795">
        <w:rPr>
          <w:lang w:val="tr-TR"/>
        </w:rPr>
        <w:t xml:space="preserve"> fikirlerini ifade ettikleri ya da bir toplantıya katılmış oldukları için değil, silahlı örgüt üyesi olmaktan ötür</w:t>
      </w:r>
      <w:r w:rsidR="00673832" w:rsidRPr="008F1795">
        <w:rPr>
          <w:lang w:val="tr-TR"/>
        </w:rPr>
        <w:t xml:space="preserve">ü mahkumiyet verildiğini gözlemlediğini ve </w:t>
      </w:r>
      <w:r w:rsidR="00CC1383" w:rsidRPr="008F1795">
        <w:rPr>
          <w:lang w:val="tr-TR"/>
        </w:rPr>
        <w:t xml:space="preserve">başvurucuların </w:t>
      </w:r>
      <w:r w:rsidR="00673832" w:rsidRPr="008F1795">
        <w:rPr>
          <w:lang w:val="tr-TR"/>
        </w:rPr>
        <w:t xml:space="preserve">ifade özgürlüğü </w:t>
      </w:r>
      <w:r w:rsidR="00CC1383" w:rsidRPr="008F1795">
        <w:rPr>
          <w:lang w:val="tr-TR"/>
        </w:rPr>
        <w:t>haklarına müdahale edilmemiş olduğu sonucuna vardığını öncelikle kaydetmektedir.</w:t>
      </w:r>
      <w:r w:rsidR="002D36AC" w:rsidRPr="008F1795">
        <w:rPr>
          <w:rStyle w:val="DipnotBavurusu"/>
          <w:lang w:val="tr-TR"/>
        </w:rPr>
        <w:footnoteReference w:id="140"/>
      </w:r>
      <w:r w:rsidR="00CC1383" w:rsidRPr="008F1795">
        <w:rPr>
          <w:lang w:val="tr-TR"/>
        </w:rPr>
        <w:t xml:space="preserve"> </w:t>
      </w:r>
      <w:r w:rsidR="00E216DE" w:rsidRPr="008F1795">
        <w:rPr>
          <w:lang w:val="tr-TR"/>
        </w:rPr>
        <w:t xml:space="preserve">Bu davalarda yerel mahkemelerin </w:t>
      </w:r>
      <w:r w:rsidR="00C7401F" w:rsidRPr="008F1795">
        <w:rPr>
          <w:lang w:val="tr-TR"/>
        </w:rPr>
        <w:t xml:space="preserve">elindeki delillerin sadece ifade biçimlerinden ibaret olmadığı </w:t>
      </w:r>
      <w:r w:rsidR="00EF349F" w:rsidRPr="008F1795">
        <w:rPr>
          <w:lang w:val="tr-TR"/>
        </w:rPr>
        <w:t xml:space="preserve">anlaşılmaktadır: Örneğin </w:t>
      </w:r>
      <w:r w:rsidR="00EF349F" w:rsidRPr="008F1795">
        <w:rPr>
          <w:i/>
          <w:iCs/>
          <w:lang w:val="tr-TR"/>
        </w:rPr>
        <w:t>Kızılöz davasında</w:t>
      </w:r>
      <w:r w:rsidR="00EF349F" w:rsidRPr="008F1795">
        <w:rPr>
          <w:lang w:val="tr-TR"/>
        </w:rPr>
        <w:t>, yerel mahkemeler, başvurucu</w:t>
      </w:r>
      <w:r w:rsidR="00360474" w:rsidRPr="008F1795">
        <w:rPr>
          <w:lang w:val="tr-TR"/>
        </w:rPr>
        <w:t>nun</w:t>
      </w:r>
      <w:r w:rsidR="007A45C3" w:rsidRPr="008F1795">
        <w:rPr>
          <w:lang w:val="tr-TR"/>
        </w:rPr>
        <w:t xml:space="preserve"> örgüt için para topla</w:t>
      </w:r>
      <w:r w:rsidR="00360474" w:rsidRPr="008F1795">
        <w:rPr>
          <w:lang w:val="tr-TR"/>
        </w:rPr>
        <w:t>ması</w:t>
      </w:r>
      <w:r w:rsidR="007A45C3" w:rsidRPr="008F1795">
        <w:rPr>
          <w:lang w:val="tr-TR"/>
        </w:rPr>
        <w:t xml:space="preserve">, örgüt üyelerine </w:t>
      </w:r>
      <w:r w:rsidR="00407393" w:rsidRPr="008F1795">
        <w:rPr>
          <w:lang w:val="tr-TR"/>
        </w:rPr>
        <w:t xml:space="preserve">iş binası ve </w:t>
      </w:r>
      <w:r w:rsidR="007A45C3" w:rsidRPr="008F1795">
        <w:rPr>
          <w:lang w:val="tr-TR"/>
        </w:rPr>
        <w:t xml:space="preserve">konaklama </w:t>
      </w:r>
      <w:r w:rsidR="00407393" w:rsidRPr="008F1795">
        <w:rPr>
          <w:lang w:val="tr-TR"/>
        </w:rPr>
        <w:t>ayarlaması</w:t>
      </w:r>
      <w:r w:rsidR="004E3450" w:rsidRPr="008F1795">
        <w:rPr>
          <w:lang w:val="tr-TR"/>
        </w:rPr>
        <w:t>, sahte kimlik belgesi, sürücü ehliyeti ve resmi belgeler</w:t>
      </w:r>
      <w:r w:rsidR="00A0213D" w:rsidRPr="008F1795">
        <w:rPr>
          <w:lang w:val="tr-TR"/>
        </w:rPr>
        <w:t>in tasdiki</w:t>
      </w:r>
      <w:r w:rsidR="001F47FA" w:rsidRPr="008F1795">
        <w:rPr>
          <w:lang w:val="tr-TR"/>
        </w:rPr>
        <w:t xml:space="preserve"> için sahte damga sağlaması nedeniyle silahlı örgüt üyesi olduğu</w:t>
      </w:r>
      <w:r w:rsidR="00360474" w:rsidRPr="008F1795">
        <w:rPr>
          <w:lang w:val="tr-TR"/>
        </w:rPr>
        <w:t>na</w:t>
      </w:r>
      <w:r w:rsidR="001F47FA" w:rsidRPr="008F1795">
        <w:rPr>
          <w:lang w:val="tr-TR"/>
        </w:rPr>
        <w:t xml:space="preserve"> karar vermiştir. </w:t>
      </w:r>
    </w:p>
    <w:p w14:paraId="1E3AE1B6" w14:textId="77777777" w:rsidR="00B74CEA" w:rsidRPr="008F1795" w:rsidRDefault="00B74CEA">
      <w:pPr>
        <w:pStyle w:val="GvdeMetni"/>
        <w:spacing w:before="2"/>
        <w:rPr>
          <w:lang w:val="tr-TR"/>
        </w:rPr>
      </w:pPr>
    </w:p>
    <w:p w14:paraId="27C5C464" w14:textId="6C5812CD" w:rsidR="00A522F4" w:rsidRPr="008F1795" w:rsidRDefault="00A522F4">
      <w:pPr>
        <w:pStyle w:val="ListeParagraf"/>
        <w:numPr>
          <w:ilvl w:val="0"/>
          <w:numId w:val="2"/>
        </w:numPr>
        <w:tabs>
          <w:tab w:val="left" w:pos="792"/>
        </w:tabs>
        <w:ind w:firstLine="0"/>
        <w:rPr>
          <w:lang w:val="tr-TR"/>
        </w:rPr>
      </w:pPr>
      <w:r w:rsidRPr="008F1795">
        <w:rPr>
          <w:lang w:val="tr-TR"/>
        </w:rPr>
        <w:t xml:space="preserve">Bununla birlikte Mahkeme, </w:t>
      </w:r>
      <w:r w:rsidRPr="008F1795">
        <w:rPr>
          <w:i/>
          <w:lang w:val="tr-TR"/>
        </w:rPr>
        <w:t xml:space="preserve">Yılmaz </w:t>
      </w:r>
      <w:r w:rsidR="001D339A" w:rsidRPr="008F1795">
        <w:rPr>
          <w:i/>
          <w:lang w:val="tr-TR"/>
        </w:rPr>
        <w:t>ve</w:t>
      </w:r>
      <w:r w:rsidRPr="008F1795">
        <w:rPr>
          <w:i/>
          <w:lang w:val="tr-TR"/>
        </w:rPr>
        <w:t xml:space="preserve"> Kılıç – Türkiye davasında </w:t>
      </w:r>
      <w:r w:rsidRPr="008F1795">
        <w:rPr>
          <w:lang w:val="tr-TR"/>
        </w:rPr>
        <w:t>(68514/01),</w:t>
      </w:r>
      <w:r w:rsidR="008D5EDD" w:rsidRPr="008F1795">
        <w:rPr>
          <w:lang w:val="tr-TR"/>
        </w:rPr>
        <w:t xml:space="preserve"> </w:t>
      </w:r>
      <w:r w:rsidR="00920F6B" w:rsidRPr="008F1795">
        <w:rPr>
          <w:lang w:val="tr-TR"/>
        </w:rPr>
        <w:t xml:space="preserve">169. </w:t>
      </w:r>
      <w:r w:rsidR="00241305" w:rsidRPr="008F1795">
        <w:rPr>
          <w:lang w:val="tr-TR"/>
        </w:rPr>
        <w:t>Madde</w:t>
      </w:r>
      <w:r w:rsidR="00920F6B" w:rsidRPr="008F1795">
        <w:rPr>
          <w:lang w:val="tr-TR"/>
        </w:rPr>
        <w:t xml:space="preserve"> uyarınca </w:t>
      </w:r>
      <w:r w:rsidR="00D571ED" w:rsidRPr="008F1795">
        <w:rPr>
          <w:lang w:val="tr-TR"/>
        </w:rPr>
        <w:t>başvurucular</w:t>
      </w:r>
      <w:r w:rsidR="00920F6B" w:rsidRPr="008F1795">
        <w:rPr>
          <w:lang w:val="tr-TR"/>
        </w:rPr>
        <w:t xml:space="preserve"> hakkında ceza</w:t>
      </w:r>
      <w:r w:rsidR="005D1E5B">
        <w:rPr>
          <w:lang w:val="tr-TR"/>
        </w:rPr>
        <w:t>i</w:t>
      </w:r>
      <w:r w:rsidR="00920F6B" w:rsidRPr="008F1795">
        <w:rPr>
          <w:lang w:val="tr-TR"/>
        </w:rPr>
        <w:t xml:space="preserve"> hük</w:t>
      </w:r>
      <w:r w:rsidR="00E06FBE">
        <w:rPr>
          <w:lang w:val="tr-TR"/>
        </w:rPr>
        <w:t>üm</w:t>
      </w:r>
      <w:r w:rsidR="00920F6B" w:rsidRPr="008F1795">
        <w:rPr>
          <w:lang w:val="tr-TR"/>
        </w:rPr>
        <w:t xml:space="preserve"> verilmesine neden olan </w:t>
      </w:r>
      <w:r w:rsidR="005D1E5B">
        <w:rPr>
          <w:lang w:val="tr-TR"/>
        </w:rPr>
        <w:t>delilin</w:t>
      </w:r>
      <w:r w:rsidR="001D339A" w:rsidRPr="008F1795">
        <w:rPr>
          <w:lang w:val="tr-TR"/>
        </w:rPr>
        <w:t xml:space="preserve"> sadece</w:t>
      </w:r>
      <w:r w:rsidR="00920F6B" w:rsidRPr="008F1795">
        <w:rPr>
          <w:lang w:val="tr-TR"/>
        </w:rPr>
        <w:t xml:space="preserve"> </w:t>
      </w:r>
      <w:r w:rsidR="0052788E" w:rsidRPr="008F1795">
        <w:rPr>
          <w:lang w:val="tr-TR"/>
        </w:rPr>
        <w:t xml:space="preserve">ifade biçimleri olduğu hallerde (başvurucuların beyanları, sokak </w:t>
      </w:r>
      <w:r w:rsidR="002E4FE4" w:rsidRPr="008F1795">
        <w:rPr>
          <w:lang w:val="tr-TR"/>
        </w:rPr>
        <w:t>gösteri</w:t>
      </w:r>
      <w:r w:rsidR="001D339A" w:rsidRPr="008F1795">
        <w:rPr>
          <w:lang w:val="tr-TR"/>
        </w:rPr>
        <w:t xml:space="preserve">lerinde </w:t>
      </w:r>
      <w:r w:rsidR="002E4FE4" w:rsidRPr="008F1795">
        <w:rPr>
          <w:lang w:val="tr-TR"/>
        </w:rPr>
        <w:t>attıkları sloganları</w:t>
      </w:r>
      <w:r w:rsidR="00B07A8E" w:rsidRPr="008F1795">
        <w:rPr>
          <w:lang w:val="tr-TR"/>
        </w:rPr>
        <w:t>n</w:t>
      </w:r>
      <w:r w:rsidR="002E4FE4" w:rsidRPr="008F1795">
        <w:rPr>
          <w:lang w:val="tr-TR"/>
        </w:rPr>
        <w:t xml:space="preserve"> içeriği vs.), başvurucuların ifade özgürlüğü hakkına müdahale </w:t>
      </w:r>
      <w:r w:rsidR="00B07A8E" w:rsidRPr="008F1795">
        <w:rPr>
          <w:lang w:val="tr-TR"/>
        </w:rPr>
        <w:t>edildiği</w:t>
      </w:r>
      <w:r w:rsidR="00B4341B" w:rsidRPr="008F1795">
        <w:rPr>
          <w:lang w:val="tr-TR"/>
        </w:rPr>
        <w:t xml:space="preserve"> sonucuna (</w:t>
      </w:r>
      <w:r w:rsidR="00FB3E82">
        <w:rPr>
          <w:lang w:val="tr-TR"/>
        </w:rPr>
        <w:t>K</w:t>
      </w:r>
      <w:r w:rsidR="00B4341B" w:rsidRPr="008F1795">
        <w:rPr>
          <w:lang w:val="tr-TR"/>
        </w:rPr>
        <w:t>ararın 58. Paragrafı)</w:t>
      </w:r>
      <w:r w:rsidR="00B07A8E" w:rsidRPr="008F1795">
        <w:rPr>
          <w:lang w:val="tr-TR"/>
        </w:rPr>
        <w:t xml:space="preserve"> </w:t>
      </w:r>
      <w:r w:rsidR="00B4341B" w:rsidRPr="008F1795">
        <w:rPr>
          <w:lang w:val="tr-TR"/>
        </w:rPr>
        <w:t>varılması gerektiği</w:t>
      </w:r>
      <w:r w:rsidR="00FB3E82">
        <w:rPr>
          <w:lang w:val="tr-TR"/>
        </w:rPr>
        <w:t>ne</w:t>
      </w:r>
      <w:r w:rsidR="00B4341B" w:rsidRPr="008F1795">
        <w:rPr>
          <w:lang w:val="tr-TR"/>
        </w:rPr>
        <w:t xml:space="preserve"> karar vermiştir (</w:t>
      </w:r>
      <w:r w:rsidR="00C55486" w:rsidRPr="008F1795">
        <w:rPr>
          <w:lang w:val="tr-TR"/>
        </w:rPr>
        <w:t xml:space="preserve">bu karar, </w:t>
      </w:r>
      <w:r w:rsidR="00D61821" w:rsidRPr="008F1795">
        <w:rPr>
          <w:lang w:val="tr-TR"/>
        </w:rPr>
        <w:t xml:space="preserve">terör örgütüne barınacak yer göstermek ve yardım etmek ile ilgili olan </w:t>
      </w:r>
      <w:r w:rsidR="00B1465D">
        <w:rPr>
          <w:lang w:val="tr-TR"/>
        </w:rPr>
        <w:t>eski</w:t>
      </w:r>
      <w:r w:rsidR="00466108" w:rsidRPr="008F1795">
        <w:rPr>
          <w:lang w:val="tr-TR"/>
        </w:rPr>
        <w:t xml:space="preserve"> Ceza Kanununun 169. </w:t>
      </w:r>
      <w:r w:rsidR="00241305" w:rsidRPr="008F1795">
        <w:rPr>
          <w:lang w:val="tr-TR"/>
        </w:rPr>
        <w:t>Madde</w:t>
      </w:r>
      <w:r w:rsidR="00466108" w:rsidRPr="008F1795">
        <w:rPr>
          <w:lang w:val="tr-TR"/>
        </w:rPr>
        <w:t xml:space="preserve">si bağlamında </w:t>
      </w:r>
      <w:r w:rsidR="00C55486" w:rsidRPr="008F1795">
        <w:rPr>
          <w:lang w:val="tr-TR"/>
        </w:rPr>
        <w:t>verilmiştir</w:t>
      </w:r>
      <w:r w:rsidR="00466108" w:rsidRPr="008F1795">
        <w:rPr>
          <w:lang w:val="tr-TR"/>
        </w:rPr>
        <w:t>)</w:t>
      </w:r>
      <w:r w:rsidR="00D61821" w:rsidRPr="008F1795">
        <w:rPr>
          <w:lang w:val="tr-TR"/>
        </w:rPr>
        <w:t>.</w:t>
      </w:r>
      <w:r w:rsidR="00942334" w:rsidRPr="008F1795">
        <w:rPr>
          <w:lang w:val="tr-TR"/>
        </w:rPr>
        <w:t xml:space="preserve"> Mahkeme daha sonra, bu müdahalenin demokratik bir toplumda gerekli olduğunu haklı kılan bir gerekçenin olup olmadığını incelemiştir. Mahkeme, </w:t>
      </w:r>
      <w:r w:rsidR="00A764A8" w:rsidRPr="008F1795">
        <w:rPr>
          <w:lang w:val="tr-TR"/>
        </w:rPr>
        <w:t xml:space="preserve">aynı ilkeyi </w:t>
      </w:r>
      <w:r w:rsidR="00A764A8" w:rsidRPr="008F1795">
        <w:rPr>
          <w:i/>
          <w:lang w:val="tr-TR"/>
        </w:rPr>
        <w:t xml:space="preserve">Gül ve diğerleri – Türkiye davasında </w:t>
      </w:r>
      <w:r w:rsidR="00A764A8" w:rsidRPr="008F1795">
        <w:rPr>
          <w:lang w:val="tr-TR"/>
        </w:rPr>
        <w:t xml:space="preserve">(4870/02) da uygulamıştır ve </w:t>
      </w:r>
      <w:r w:rsidR="0073633E" w:rsidRPr="008F1795">
        <w:rPr>
          <w:lang w:val="tr-TR"/>
        </w:rPr>
        <w:t xml:space="preserve">başvurucular aleyhlerine kullanılan tek </w:t>
      </w:r>
      <w:r w:rsidR="00EA563F" w:rsidRPr="008F1795">
        <w:rPr>
          <w:lang w:val="tr-TR"/>
        </w:rPr>
        <w:t>delilin</w:t>
      </w:r>
      <w:r w:rsidR="0073633E" w:rsidRPr="008F1795">
        <w:rPr>
          <w:lang w:val="tr-TR"/>
        </w:rPr>
        <w:t xml:space="preserve"> sokak gösterisi sırasında attıkları sloganların içeriği olması nedeniyle, </w:t>
      </w:r>
      <w:r w:rsidR="00B1465D">
        <w:rPr>
          <w:lang w:val="tr-TR"/>
        </w:rPr>
        <w:t>eski</w:t>
      </w:r>
      <w:r w:rsidR="00A764A8" w:rsidRPr="008F1795">
        <w:rPr>
          <w:lang w:val="tr-TR"/>
        </w:rPr>
        <w:t xml:space="preserve"> Ceza Kanununun 169. </w:t>
      </w:r>
      <w:r w:rsidR="00241305" w:rsidRPr="008F1795">
        <w:rPr>
          <w:lang w:val="tr-TR"/>
        </w:rPr>
        <w:t>Madde</w:t>
      </w:r>
      <w:r w:rsidR="00A764A8" w:rsidRPr="008F1795">
        <w:rPr>
          <w:lang w:val="tr-TR"/>
        </w:rPr>
        <w:t xml:space="preserve">si temelinde </w:t>
      </w:r>
      <w:r w:rsidR="0073633E" w:rsidRPr="008F1795">
        <w:rPr>
          <w:lang w:val="tr-TR"/>
        </w:rPr>
        <w:t>haklarında</w:t>
      </w:r>
      <w:r w:rsidR="00A764A8" w:rsidRPr="008F1795">
        <w:rPr>
          <w:lang w:val="tr-TR"/>
        </w:rPr>
        <w:t xml:space="preserve"> verilen ceza hükmünün</w:t>
      </w:r>
      <w:r w:rsidR="0091704E" w:rsidRPr="008F1795">
        <w:rPr>
          <w:lang w:val="tr-TR"/>
        </w:rPr>
        <w:t xml:space="preserve">, </w:t>
      </w:r>
      <w:r w:rsidR="00184FB9" w:rsidRPr="008F1795">
        <w:rPr>
          <w:lang w:val="tr-TR"/>
        </w:rPr>
        <w:t xml:space="preserve">başvurucuların </w:t>
      </w:r>
      <w:r w:rsidR="0091704E" w:rsidRPr="008F1795">
        <w:rPr>
          <w:lang w:val="tr-TR"/>
        </w:rPr>
        <w:t xml:space="preserve">ifade özgürlüğü hakkına müdahale </w:t>
      </w:r>
      <w:r w:rsidR="00754FC3" w:rsidRPr="008F1795">
        <w:rPr>
          <w:lang w:val="tr-TR"/>
        </w:rPr>
        <w:t>teşkil ettiğine</w:t>
      </w:r>
      <w:r w:rsidR="0091704E" w:rsidRPr="008F1795">
        <w:rPr>
          <w:lang w:val="tr-TR"/>
        </w:rPr>
        <w:t xml:space="preserve"> karar vermiştir. </w:t>
      </w:r>
    </w:p>
    <w:p w14:paraId="12B9B2A6" w14:textId="77777777" w:rsidR="00184FB9" w:rsidRPr="008F1795" w:rsidRDefault="00184FB9" w:rsidP="00184FB9">
      <w:pPr>
        <w:pStyle w:val="ListeParagraf"/>
        <w:tabs>
          <w:tab w:val="left" w:pos="792"/>
        </w:tabs>
        <w:rPr>
          <w:lang w:val="tr-TR"/>
        </w:rPr>
      </w:pPr>
    </w:p>
    <w:p w14:paraId="0AA4AB30" w14:textId="43F58E1B" w:rsidR="00A522F4" w:rsidRPr="008F1795" w:rsidRDefault="00184FB9" w:rsidP="00A522F4">
      <w:pPr>
        <w:pStyle w:val="ListeParagraf"/>
        <w:numPr>
          <w:ilvl w:val="0"/>
          <w:numId w:val="2"/>
        </w:numPr>
        <w:tabs>
          <w:tab w:val="left" w:pos="792"/>
        </w:tabs>
        <w:ind w:firstLine="0"/>
        <w:rPr>
          <w:lang w:val="tr-TR"/>
        </w:rPr>
      </w:pPr>
      <w:r w:rsidRPr="008F1795">
        <w:rPr>
          <w:lang w:val="tr-TR"/>
        </w:rPr>
        <w:t xml:space="preserve">İkinci olarak Komisyon, </w:t>
      </w:r>
      <w:r w:rsidR="00EA563F" w:rsidRPr="008F1795">
        <w:rPr>
          <w:lang w:val="tr-TR"/>
        </w:rPr>
        <w:t xml:space="preserve">314. </w:t>
      </w:r>
      <w:r w:rsidR="00241305" w:rsidRPr="008F1795">
        <w:rPr>
          <w:lang w:val="tr-TR"/>
        </w:rPr>
        <w:t>Madde</w:t>
      </w:r>
      <w:r w:rsidR="00EA563F" w:rsidRPr="008F1795">
        <w:rPr>
          <w:lang w:val="tr-TR"/>
        </w:rPr>
        <w:t xml:space="preserve"> uyarınca </w:t>
      </w:r>
      <w:r w:rsidR="00487B25" w:rsidRPr="008F1795">
        <w:rPr>
          <w:lang w:val="tr-TR"/>
        </w:rPr>
        <w:t xml:space="preserve">zayıf deliller temelinde </w:t>
      </w:r>
      <w:r w:rsidR="00EA563F" w:rsidRPr="008F1795">
        <w:rPr>
          <w:lang w:val="tr-TR"/>
        </w:rPr>
        <w:t xml:space="preserve">verilen mahkumiyetlerin </w:t>
      </w:r>
      <w:r w:rsidR="008753E9" w:rsidRPr="008F1795">
        <w:rPr>
          <w:lang w:val="tr-TR"/>
        </w:rPr>
        <w:t xml:space="preserve">AİHS 7. </w:t>
      </w:r>
      <w:r w:rsidR="00241305" w:rsidRPr="008F1795">
        <w:rPr>
          <w:lang w:val="tr-TR"/>
        </w:rPr>
        <w:t>Madde</w:t>
      </w:r>
      <w:r w:rsidR="008753E9" w:rsidRPr="008F1795">
        <w:rPr>
          <w:lang w:val="tr-TR"/>
        </w:rPr>
        <w:t>si</w:t>
      </w:r>
      <w:r w:rsidR="001E5DD3" w:rsidRPr="008F1795">
        <w:rPr>
          <w:rStyle w:val="DipnotBavurusu"/>
          <w:lang w:val="tr-TR"/>
        </w:rPr>
        <w:footnoteReference w:id="141"/>
      </w:r>
      <w:r w:rsidR="0068308E" w:rsidRPr="008F1795">
        <w:rPr>
          <w:lang w:val="tr-TR"/>
        </w:rPr>
        <w:t xml:space="preserve"> bakımından problem yaratabileceğini tekrarlamaktadır; </w:t>
      </w:r>
      <w:r w:rsidR="0068308E" w:rsidRPr="008F1795">
        <w:rPr>
          <w:lang w:val="tr-TR"/>
        </w:rPr>
        <w:lastRenderedPageBreak/>
        <w:t xml:space="preserve">zira </w:t>
      </w:r>
      <w:r w:rsidR="00861FA0" w:rsidRPr="008F1795">
        <w:rPr>
          <w:lang w:val="tr-TR"/>
        </w:rPr>
        <w:t xml:space="preserve">7. </w:t>
      </w:r>
      <w:r w:rsidR="00241305" w:rsidRPr="008F1795">
        <w:rPr>
          <w:lang w:val="tr-TR"/>
        </w:rPr>
        <w:t>madde</w:t>
      </w:r>
      <w:r w:rsidR="005E21F8" w:rsidRPr="008F1795">
        <w:rPr>
          <w:lang w:val="tr-TR"/>
        </w:rPr>
        <w:t xml:space="preserve">, </w:t>
      </w:r>
      <w:r w:rsidR="005E21F8" w:rsidRPr="008F1795">
        <w:rPr>
          <w:i/>
          <w:iCs/>
          <w:lang w:val="tr-TR"/>
        </w:rPr>
        <w:t>diğer hususların yanı sıra</w:t>
      </w:r>
      <w:r w:rsidR="005E21F8" w:rsidRPr="008F1795">
        <w:rPr>
          <w:lang w:val="tr-TR"/>
        </w:rPr>
        <w:t xml:space="preserve">, </w:t>
      </w:r>
      <w:r w:rsidR="00805490" w:rsidRPr="008F1795">
        <w:rPr>
          <w:lang w:val="tr-TR"/>
        </w:rPr>
        <w:t>ceza hukukunun sanığın zararına</w:t>
      </w:r>
      <w:r w:rsidR="003C6204" w:rsidRPr="008F1795">
        <w:rPr>
          <w:lang w:val="tr-TR"/>
        </w:rPr>
        <w:t xml:space="preserve"> </w:t>
      </w:r>
      <w:r w:rsidR="00861FA0" w:rsidRPr="008F1795">
        <w:rPr>
          <w:lang w:val="tr-TR"/>
        </w:rPr>
        <w:t xml:space="preserve">olacak şekilde </w:t>
      </w:r>
      <w:r w:rsidR="00BD547A" w:rsidRPr="008F1795">
        <w:rPr>
          <w:lang w:val="tr-TR"/>
        </w:rPr>
        <w:t>geniş anlamda</w:t>
      </w:r>
      <w:r w:rsidR="00487B25" w:rsidRPr="008F1795">
        <w:rPr>
          <w:lang w:val="tr-TR"/>
        </w:rPr>
        <w:t>,</w:t>
      </w:r>
      <w:r w:rsidR="00BD547A" w:rsidRPr="008F1795">
        <w:rPr>
          <w:lang w:val="tr-TR"/>
        </w:rPr>
        <w:t xml:space="preserve"> </w:t>
      </w:r>
      <w:r w:rsidR="00487B25" w:rsidRPr="008F1795">
        <w:rPr>
          <w:lang w:val="tr-TR"/>
        </w:rPr>
        <w:t xml:space="preserve">örneğin benzetme yaparak, </w:t>
      </w:r>
      <w:r w:rsidR="00BD547A" w:rsidRPr="008F1795">
        <w:rPr>
          <w:lang w:val="tr-TR"/>
        </w:rPr>
        <w:t>yorumlanmaması</w:t>
      </w:r>
      <w:r w:rsidR="00161E6E" w:rsidRPr="008F1795">
        <w:rPr>
          <w:lang w:val="tr-TR"/>
        </w:rPr>
        <w:t xml:space="preserve"> gerektiği yönündeki ilkeyi </w:t>
      </w:r>
      <w:r w:rsidR="00861FA0" w:rsidRPr="008F1795">
        <w:rPr>
          <w:lang w:val="tr-TR"/>
        </w:rPr>
        <w:t>de kapsamaktadır.</w:t>
      </w:r>
      <w:r w:rsidR="003536D1" w:rsidRPr="008F1795">
        <w:rPr>
          <w:rStyle w:val="DipnotBavurusu"/>
          <w:lang w:val="tr-TR"/>
        </w:rPr>
        <w:footnoteReference w:id="142"/>
      </w:r>
      <w:r w:rsidR="00B83921" w:rsidRPr="008F1795">
        <w:rPr>
          <w:lang w:val="tr-TR"/>
        </w:rPr>
        <w:t xml:space="preserve"> Yukarıda bahsedilen </w:t>
      </w:r>
      <w:r w:rsidR="00B83921" w:rsidRPr="008F1795">
        <w:rPr>
          <w:i/>
          <w:lang w:val="tr-TR"/>
        </w:rPr>
        <w:t xml:space="preserve">Yılmaz ve Kılıç </w:t>
      </w:r>
      <w:r w:rsidR="00B83921" w:rsidRPr="008F1795">
        <w:rPr>
          <w:lang w:val="tr-TR"/>
        </w:rPr>
        <w:t xml:space="preserve">davasında olduğu gibi, </w:t>
      </w:r>
      <w:r w:rsidR="00BD2C1D" w:rsidRPr="008F1795">
        <w:rPr>
          <w:lang w:val="tr-TR"/>
        </w:rPr>
        <w:t>yerel mahkemelerin sa</w:t>
      </w:r>
      <w:r w:rsidR="00941289" w:rsidRPr="008F1795">
        <w:rPr>
          <w:lang w:val="tr-TR"/>
        </w:rPr>
        <w:t>n</w:t>
      </w:r>
      <w:r w:rsidR="00BD2C1D" w:rsidRPr="008F1795">
        <w:rPr>
          <w:lang w:val="tr-TR"/>
        </w:rPr>
        <w:t xml:space="preserve">ığı </w:t>
      </w:r>
      <w:r w:rsidR="00941289" w:rsidRPr="008F1795">
        <w:rPr>
          <w:lang w:val="tr-TR"/>
        </w:rPr>
        <w:t xml:space="preserve">silahlı örgüt üyesi olma suçundan mahkum etmesine yol açan tek </w:t>
      </w:r>
      <w:r w:rsidR="00C0246F">
        <w:rPr>
          <w:lang w:val="tr-TR"/>
        </w:rPr>
        <w:t>delilin</w:t>
      </w:r>
      <w:r w:rsidR="00941289" w:rsidRPr="008F1795">
        <w:rPr>
          <w:lang w:val="tr-TR"/>
        </w:rPr>
        <w:t xml:space="preserve"> ifade biçimleri olduğu davalarda</w:t>
      </w:r>
      <w:r w:rsidR="00E13CAE" w:rsidRPr="008F1795">
        <w:rPr>
          <w:lang w:val="tr-TR"/>
        </w:rPr>
        <w:t xml:space="preserve"> zayıf delilere</w:t>
      </w:r>
      <w:r w:rsidR="00F35A56" w:rsidRPr="008F1795">
        <w:rPr>
          <w:lang w:val="tr-TR"/>
        </w:rPr>
        <w:t xml:space="preserve"> bağlı alınan kararlar, </w:t>
      </w:r>
      <w:r w:rsidR="00E13CAE" w:rsidRPr="008F1795">
        <w:rPr>
          <w:lang w:val="tr-TR"/>
        </w:rPr>
        <w:t xml:space="preserve">sanığın ifade özgürlüğü hakkına yapılan müdahalenin “öngörülebilirliği” ile ilgili problemlere de neden olabilir. </w:t>
      </w:r>
      <w:r w:rsidR="00F35A56" w:rsidRPr="008F1795">
        <w:rPr>
          <w:i/>
          <w:lang w:val="tr-TR"/>
        </w:rPr>
        <w:t xml:space="preserve">Güler ve Uğur – Türkiye davasında </w:t>
      </w:r>
      <w:r w:rsidR="00F35A56" w:rsidRPr="008F1795">
        <w:rPr>
          <w:iCs/>
          <w:lang w:val="tr-TR"/>
        </w:rPr>
        <w:t>başvurucular</w:t>
      </w:r>
      <w:r w:rsidR="002D12C0" w:rsidRPr="008F1795">
        <w:rPr>
          <w:iCs/>
          <w:lang w:val="tr-TR"/>
        </w:rPr>
        <w:t>, emniyet kuvvetleri tarafından öldürülen iki PKK üyesi</w:t>
      </w:r>
      <w:r w:rsidR="007319E9" w:rsidRPr="008F1795">
        <w:rPr>
          <w:iCs/>
          <w:lang w:val="tr-TR"/>
        </w:rPr>
        <w:t xml:space="preserve">nin anısına düzenlenen dini törene katılmaları nedeniyle terör örgütü propagandası yayma suçundan dolayı hüküm giymiştir. AİHM, </w:t>
      </w:r>
      <w:r w:rsidR="00061A99" w:rsidRPr="008F1795">
        <w:rPr>
          <w:iCs/>
          <w:lang w:val="tr-TR"/>
        </w:rPr>
        <w:t>başvurucuların</w:t>
      </w:r>
      <w:r w:rsidR="00204C59">
        <w:rPr>
          <w:iCs/>
          <w:lang w:val="tr-TR"/>
        </w:rPr>
        <w:t>,</w:t>
      </w:r>
      <w:r w:rsidR="00061A99" w:rsidRPr="008F1795">
        <w:rPr>
          <w:iCs/>
          <w:lang w:val="tr-TR"/>
        </w:rPr>
        <w:t xml:space="preserve"> sadece bir dini törene katılmanın terör örgütü </w:t>
      </w:r>
      <w:r w:rsidR="00DD27F0" w:rsidRPr="008F1795">
        <w:rPr>
          <w:iCs/>
          <w:lang w:val="tr-TR"/>
        </w:rPr>
        <w:t xml:space="preserve">propagandası yapmaya ilişkin kanun hükmünün kapsamına gireceğini öngörmelerinin mümkün olmadığı kararını vermiştir. </w:t>
      </w:r>
      <w:r w:rsidR="00DB2AD0" w:rsidRPr="008F1795">
        <w:rPr>
          <w:iCs/>
          <w:lang w:val="tr-TR"/>
        </w:rPr>
        <w:t>Dolayısıyla b</w:t>
      </w:r>
      <w:r w:rsidR="002B78E3" w:rsidRPr="008F1795">
        <w:rPr>
          <w:iCs/>
          <w:lang w:val="tr-TR"/>
        </w:rPr>
        <w:t>aşvurucuların din özgürlüğüne yapılan müdahale “kanunla öngörülmüş” olarak kabul edilemez</w:t>
      </w:r>
      <w:r w:rsidR="00F6252D" w:rsidRPr="008F1795">
        <w:rPr>
          <w:iCs/>
          <w:lang w:val="tr-TR"/>
        </w:rPr>
        <w:t xml:space="preserve">, çünkü açıklık ve öngörülebilirlik </w:t>
      </w:r>
      <w:r w:rsidR="006646B6" w:rsidRPr="008F1795">
        <w:rPr>
          <w:iCs/>
          <w:lang w:val="tr-TR"/>
        </w:rPr>
        <w:t>şartları</w:t>
      </w:r>
      <w:r w:rsidR="00DB2AD0" w:rsidRPr="008F1795">
        <w:rPr>
          <w:iCs/>
          <w:lang w:val="tr-TR"/>
        </w:rPr>
        <w:t xml:space="preserve"> yerine getirilmemiştir</w:t>
      </w:r>
      <w:r w:rsidR="0096195F" w:rsidRPr="008F1795">
        <w:rPr>
          <w:iCs/>
          <w:lang w:val="tr-TR"/>
        </w:rPr>
        <w:t>.</w:t>
      </w:r>
      <w:r w:rsidR="007C1AD4" w:rsidRPr="008F1795">
        <w:rPr>
          <w:iCs/>
          <w:lang w:val="tr-TR"/>
        </w:rPr>
        <w:t xml:space="preserve"> AİHM’nin </w:t>
      </w:r>
      <w:r w:rsidR="0096195F" w:rsidRPr="008F1795">
        <w:rPr>
          <w:iCs/>
          <w:lang w:val="tr-TR"/>
        </w:rPr>
        <w:t xml:space="preserve">bu </w:t>
      </w:r>
      <w:r w:rsidR="007C1AD4" w:rsidRPr="008F1795">
        <w:rPr>
          <w:iCs/>
          <w:lang w:val="tr-TR"/>
        </w:rPr>
        <w:t>kararını</w:t>
      </w:r>
      <w:r w:rsidR="0096195F" w:rsidRPr="008F1795">
        <w:rPr>
          <w:iCs/>
          <w:lang w:val="tr-TR"/>
        </w:rPr>
        <w:t>n</w:t>
      </w:r>
      <w:r w:rsidR="007C1AD4" w:rsidRPr="008F1795">
        <w:rPr>
          <w:iCs/>
          <w:lang w:val="tr-TR"/>
        </w:rPr>
        <w:t xml:space="preserve"> davaya özel</w:t>
      </w:r>
      <w:r w:rsidR="0096195F" w:rsidRPr="008F1795">
        <w:rPr>
          <w:iCs/>
          <w:lang w:val="tr-TR"/>
        </w:rPr>
        <w:t xml:space="preserve"> olduğunu bilmekle birlikte Venedik Komisyonu, </w:t>
      </w:r>
      <w:r w:rsidR="005C3DCE" w:rsidRPr="008F1795">
        <w:rPr>
          <w:iCs/>
          <w:lang w:val="tr-TR"/>
        </w:rPr>
        <w:t xml:space="preserve">kararın </w:t>
      </w:r>
      <w:r w:rsidR="0096195F" w:rsidRPr="008F1795">
        <w:rPr>
          <w:iCs/>
          <w:lang w:val="tr-TR"/>
        </w:rPr>
        <w:t xml:space="preserve">Ceza Kanununun 314. </w:t>
      </w:r>
      <w:r w:rsidR="00241305" w:rsidRPr="008F1795">
        <w:rPr>
          <w:iCs/>
          <w:lang w:val="tr-TR"/>
        </w:rPr>
        <w:t>Madde</w:t>
      </w:r>
      <w:r w:rsidR="0096195F" w:rsidRPr="008F1795">
        <w:rPr>
          <w:iCs/>
          <w:lang w:val="tr-TR"/>
        </w:rPr>
        <w:t>si</w:t>
      </w:r>
      <w:r w:rsidR="00402664" w:rsidRPr="008F1795">
        <w:rPr>
          <w:iCs/>
          <w:lang w:val="tr-TR"/>
        </w:rPr>
        <w:t xml:space="preserve"> bakımından daha büyük </w:t>
      </w:r>
      <w:r w:rsidR="005C3DCE" w:rsidRPr="008F1795">
        <w:rPr>
          <w:iCs/>
          <w:lang w:val="tr-TR"/>
        </w:rPr>
        <w:t xml:space="preserve">çıkarımları olduğu kanaatindedir. </w:t>
      </w:r>
      <w:r w:rsidR="000F08B2" w:rsidRPr="008F1795">
        <w:rPr>
          <w:iCs/>
          <w:lang w:val="tr-TR"/>
        </w:rPr>
        <w:t>Silahlı örgüte üyelik iddialarının</w:t>
      </w:r>
      <w:r w:rsidR="00830E59" w:rsidRPr="008F1795">
        <w:rPr>
          <w:iCs/>
          <w:lang w:val="tr-TR"/>
        </w:rPr>
        <w:t xml:space="preserve">, </w:t>
      </w:r>
      <w:r w:rsidR="000F08B2" w:rsidRPr="008F1795">
        <w:rPr>
          <w:iCs/>
          <w:lang w:val="tr-TR"/>
        </w:rPr>
        <w:t>ikna edici delil</w:t>
      </w:r>
      <w:r w:rsidR="00C66753" w:rsidRPr="008F1795">
        <w:rPr>
          <w:iCs/>
          <w:lang w:val="tr-TR"/>
        </w:rPr>
        <w:t xml:space="preserve"> ile ve makul şüpheye yer bırakmadan tespit edilmesi gerekmektedir. </w:t>
      </w:r>
    </w:p>
    <w:p w14:paraId="724EF27C" w14:textId="77777777" w:rsidR="007C1AD4" w:rsidRPr="008F1795" w:rsidRDefault="007C1AD4" w:rsidP="002D36AC">
      <w:pPr>
        <w:ind w:left="198" w:right="215"/>
        <w:jc w:val="both"/>
        <w:rPr>
          <w:lang w:val="tr-TR"/>
        </w:rPr>
      </w:pPr>
    </w:p>
    <w:p w14:paraId="2E636AD3" w14:textId="0C9EE041" w:rsidR="00AB310B" w:rsidRPr="008F1795" w:rsidRDefault="00E90A06" w:rsidP="00AB310B">
      <w:pPr>
        <w:pStyle w:val="ListeParagraf"/>
        <w:numPr>
          <w:ilvl w:val="0"/>
          <w:numId w:val="2"/>
        </w:numPr>
        <w:tabs>
          <w:tab w:val="left" w:pos="787"/>
        </w:tabs>
        <w:ind w:right="211" w:firstLine="0"/>
        <w:rPr>
          <w:lang w:val="tr-TR"/>
        </w:rPr>
      </w:pPr>
      <w:r w:rsidRPr="008F1795">
        <w:rPr>
          <w:lang w:val="tr-TR"/>
        </w:rPr>
        <w:t xml:space="preserve">Sonuç olarak Venedik Komisyonu, öncelikle, </w:t>
      </w:r>
      <w:r w:rsidR="005F2784" w:rsidRPr="008F1795">
        <w:rPr>
          <w:lang w:val="tr-TR"/>
        </w:rPr>
        <w:t>s</w:t>
      </w:r>
      <w:r w:rsidR="00AB310B" w:rsidRPr="008F1795">
        <w:rPr>
          <w:lang w:val="tr-TR"/>
        </w:rPr>
        <w:t xml:space="preserve">anığa atfedilen fiillerin “devamlılık, çeşitlilik ve yoğunluk” bakımında </w:t>
      </w:r>
      <w:r w:rsidR="00B569AD" w:rsidRPr="008F1795">
        <w:rPr>
          <w:lang w:val="tr-TR"/>
        </w:rPr>
        <w:t xml:space="preserve">örgüt ile “organik ilişkisi” olduğunu göstermesi ya da sanığın </w:t>
      </w:r>
      <w:r w:rsidR="001F25AD" w:rsidRPr="008F1795">
        <w:rPr>
          <w:lang w:val="tr-TR"/>
        </w:rPr>
        <w:t xml:space="preserve">örgütün hiyerarşik yapısı içinde </w:t>
      </w:r>
      <w:r w:rsidR="00B569AD" w:rsidRPr="008F1795">
        <w:rPr>
          <w:lang w:val="tr-TR"/>
        </w:rPr>
        <w:t xml:space="preserve">bilerek ve isteyerek </w:t>
      </w:r>
      <w:r w:rsidR="001F25AD" w:rsidRPr="008F1795">
        <w:rPr>
          <w:lang w:val="tr-TR"/>
        </w:rPr>
        <w:t xml:space="preserve">hareket ettiğini ispat etmesi gerektiğine dair Yargıtay içtihatlarına yer alan yerleşik </w:t>
      </w:r>
      <w:r w:rsidR="00731611" w:rsidRPr="008F1795">
        <w:rPr>
          <w:lang w:val="tr-TR"/>
        </w:rPr>
        <w:t>kriter</w:t>
      </w:r>
      <w:r w:rsidR="00780B2E">
        <w:rPr>
          <w:lang w:val="tr-TR"/>
        </w:rPr>
        <w:t>ler</w:t>
      </w:r>
      <w:r w:rsidR="001A50D3" w:rsidRPr="008F1795">
        <w:rPr>
          <w:lang w:val="tr-TR"/>
        </w:rPr>
        <w:t>in</w:t>
      </w:r>
      <w:r w:rsidR="005F2784" w:rsidRPr="008F1795">
        <w:rPr>
          <w:lang w:val="tr-TR"/>
        </w:rPr>
        <w:t xml:space="preserve"> sıkı bir şekilde uygulanmasını tavsiye etmektedir. </w:t>
      </w:r>
      <w:r w:rsidR="00731611" w:rsidRPr="008F1795">
        <w:rPr>
          <w:lang w:val="tr-TR"/>
        </w:rPr>
        <w:t>Bu kriter</w:t>
      </w:r>
      <w:r w:rsidR="00780B2E">
        <w:rPr>
          <w:lang w:val="tr-TR"/>
        </w:rPr>
        <w:t>ler</w:t>
      </w:r>
      <w:r w:rsidR="00630F04">
        <w:rPr>
          <w:lang w:val="tr-TR"/>
        </w:rPr>
        <w:t>in</w:t>
      </w:r>
      <w:r w:rsidR="00731611" w:rsidRPr="008F1795">
        <w:rPr>
          <w:lang w:val="tr-TR"/>
        </w:rPr>
        <w:t xml:space="preserve"> </w:t>
      </w:r>
      <w:r w:rsidR="003971DE" w:rsidRPr="008F1795">
        <w:rPr>
          <w:lang w:val="tr-TR"/>
        </w:rPr>
        <w:t xml:space="preserve">gevşek biçimde uygulanması, özellikle AİHS 7. </w:t>
      </w:r>
      <w:r w:rsidR="00241305" w:rsidRPr="008F1795">
        <w:rPr>
          <w:lang w:val="tr-TR"/>
        </w:rPr>
        <w:t>Madde</w:t>
      </w:r>
      <w:r w:rsidR="003971DE" w:rsidRPr="008F1795">
        <w:rPr>
          <w:lang w:val="tr-TR"/>
        </w:rPr>
        <w:t xml:space="preserve">sinde yer alan anlamıyla </w:t>
      </w:r>
      <w:r w:rsidR="002F4554">
        <w:rPr>
          <w:lang w:val="tr-TR"/>
        </w:rPr>
        <w:t>yasallık</w:t>
      </w:r>
      <w:r w:rsidR="003971DE" w:rsidRPr="008F1795">
        <w:rPr>
          <w:lang w:val="tr-TR"/>
        </w:rPr>
        <w:t xml:space="preserve"> ilkesi açısında</w:t>
      </w:r>
      <w:r w:rsidR="00630F04">
        <w:rPr>
          <w:lang w:val="tr-TR"/>
        </w:rPr>
        <w:t>n</w:t>
      </w:r>
      <w:r w:rsidR="003971DE" w:rsidRPr="008F1795">
        <w:rPr>
          <w:lang w:val="tr-TR"/>
        </w:rPr>
        <w:t xml:space="preserve"> sorunlara yol açabilir. </w:t>
      </w:r>
    </w:p>
    <w:p w14:paraId="7853E8E1" w14:textId="77777777" w:rsidR="00AB310B" w:rsidRPr="008F1795" w:rsidRDefault="00AB310B" w:rsidP="00AB310B">
      <w:pPr>
        <w:pStyle w:val="ListeParagraf"/>
        <w:tabs>
          <w:tab w:val="left" w:pos="787"/>
        </w:tabs>
        <w:ind w:right="211"/>
        <w:rPr>
          <w:lang w:val="tr-TR"/>
        </w:rPr>
      </w:pPr>
    </w:p>
    <w:p w14:paraId="6551EB37" w14:textId="33D09819" w:rsidR="003971DE" w:rsidRPr="008F1795" w:rsidRDefault="003971DE">
      <w:pPr>
        <w:pStyle w:val="ListeParagraf"/>
        <w:numPr>
          <w:ilvl w:val="0"/>
          <w:numId w:val="2"/>
        </w:numPr>
        <w:tabs>
          <w:tab w:val="left" w:pos="835"/>
        </w:tabs>
        <w:ind w:right="214" w:firstLine="0"/>
        <w:rPr>
          <w:lang w:val="tr-TR"/>
        </w:rPr>
      </w:pPr>
      <w:r w:rsidRPr="008F1795">
        <w:rPr>
          <w:lang w:val="tr-TR"/>
        </w:rPr>
        <w:t xml:space="preserve">İkinci olarak, </w:t>
      </w:r>
      <w:r w:rsidR="00E63AC1" w:rsidRPr="008F1795">
        <w:rPr>
          <w:lang w:val="tr-TR"/>
        </w:rPr>
        <w:t>yerel mahkemelerin sanığın silahlı örgüt üyesi olduğuna dair karar vermesi için önlerindeki tek delil</w:t>
      </w:r>
      <w:r w:rsidR="003842F8">
        <w:rPr>
          <w:lang w:val="tr-TR"/>
        </w:rPr>
        <w:t xml:space="preserve"> </w:t>
      </w:r>
      <w:r w:rsidR="00E63AC1" w:rsidRPr="008F1795">
        <w:rPr>
          <w:lang w:val="tr-TR"/>
        </w:rPr>
        <w:t>bir fikrin farklı biçimlerde ifade</w:t>
      </w:r>
      <w:r w:rsidR="001A13D3" w:rsidRPr="008F1795">
        <w:rPr>
          <w:lang w:val="tr-TR"/>
        </w:rPr>
        <w:t xml:space="preserve"> edilmesi</w:t>
      </w:r>
      <w:r w:rsidR="009B7A49" w:rsidRPr="008F1795">
        <w:rPr>
          <w:lang w:val="tr-TR"/>
        </w:rPr>
        <w:t xml:space="preserve"> </w:t>
      </w:r>
      <w:r w:rsidR="00E63AC1" w:rsidRPr="008F1795">
        <w:rPr>
          <w:lang w:val="tr-TR"/>
        </w:rPr>
        <w:t xml:space="preserve">olmamalıdır. </w:t>
      </w:r>
      <w:r w:rsidR="001A13D3" w:rsidRPr="008F1795">
        <w:rPr>
          <w:lang w:val="tr-TR"/>
        </w:rPr>
        <w:t xml:space="preserve">İfade biçimlerinin tek delil </w:t>
      </w:r>
      <w:r w:rsidR="009B3CC2" w:rsidRPr="008F1795">
        <w:rPr>
          <w:lang w:val="tr-TR"/>
        </w:rPr>
        <w:t>olduğu</w:t>
      </w:r>
      <w:r w:rsidR="001A13D3" w:rsidRPr="008F1795">
        <w:rPr>
          <w:lang w:val="tr-TR"/>
        </w:rPr>
        <w:t xml:space="preserve"> hallerde, silahlı örgüt üyesi suçundan dolayı verilen </w:t>
      </w:r>
      <w:proofErr w:type="gramStart"/>
      <w:r w:rsidR="001A13D3" w:rsidRPr="008F1795">
        <w:rPr>
          <w:lang w:val="tr-TR"/>
        </w:rPr>
        <w:t>mahkumiyet</w:t>
      </w:r>
      <w:proofErr w:type="gramEnd"/>
      <w:r w:rsidR="001A13D3" w:rsidRPr="008F1795">
        <w:rPr>
          <w:lang w:val="tr-TR"/>
        </w:rPr>
        <w:t xml:space="preserve"> kararı, </w:t>
      </w:r>
      <w:r w:rsidR="009B3CC2" w:rsidRPr="008F1795">
        <w:rPr>
          <w:lang w:val="tr-TR"/>
        </w:rPr>
        <w:t>sa</w:t>
      </w:r>
      <w:r w:rsidR="00D5186D" w:rsidRPr="008F1795">
        <w:rPr>
          <w:lang w:val="tr-TR"/>
        </w:rPr>
        <w:t>n</w:t>
      </w:r>
      <w:r w:rsidR="009B3CC2" w:rsidRPr="008F1795">
        <w:rPr>
          <w:lang w:val="tr-TR"/>
        </w:rPr>
        <w:t xml:space="preserve">ıkların ifade özgürlüğüne müdahale teşkil edecektir ve </w:t>
      </w:r>
      <w:r w:rsidR="0047087D" w:rsidRPr="008F1795">
        <w:rPr>
          <w:lang w:val="tr-TR"/>
        </w:rPr>
        <w:t xml:space="preserve">“şiddete </w:t>
      </w:r>
      <w:r w:rsidR="00235D33">
        <w:rPr>
          <w:lang w:val="tr-TR"/>
        </w:rPr>
        <w:t>tahrik</w:t>
      </w:r>
      <w:r w:rsidR="0047087D" w:rsidRPr="008F1795">
        <w:rPr>
          <w:lang w:val="tr-TR"/>
        </w:rPr>
        <w:t xml:space="preserve">” </w:t>
      </w:r>
      <w:r w:rsidR="003842F8">
        <w:rPr>
          <w:lang w:val="tr-TR"/>
        </w:rPr>
        <w:t>ile ilgili</w:t>
      </w:r>
      <w:r w:rsidR="0047087D" w:rsidRPr="008F1795">
        <w:rPr>
          <w:lang w:val="tr-TR"/>
        </w:rPr>
        <w:t xml:space="preserve"> kriterler başta olmak üzere, </w:t>
      </w:r>
      <w:r w:rsidR="00716E81" w:rsidRPr="008F1795">
        <w:rPr>
          <w:lang w:val="tr-TR"/>
        </w:rPr>
        <w:t xml:space="preserve">AİHM içtihat </w:t>
      </w:r>
      <w:r w:rsidR="00D5186D" w:rsidRPr="008F1795">
        <w:rPr>
          <w:lang w:val="tr-TR"/>
        </w:rPr>
        <w:t>hukukunda</w:t>
      </w:r>
      <w:r w:rsidR="00716E81" w:rsidRPr="008F1795">
        <w:rPr>
          <w:lang w:val="tr-TR"/>
        </w:rPr>
        <w:t xml:space="preserve"> belirlenen kriterlere göre bu müdahale</w:t>
      </w:r>
      <w:r w:rsidR="00421FD3">
        <w:rPr>
          <w:lang w:val="tr-TR"/>
        </w:rPr>
        <w:t>,</w:t>
      </w:r>
      <w:r w:rsidR="00716E81" w:rsidRPr="008F1795">
        <w:rPr>
          <w:lang w:val="tr-TR"/>
        </w:rPr>
        <w:t xml:space="preserve"> her dava</w:t>
      </w:r>
      <w:r w:rsidR="00D5186D" w:rsidRPr="008F1795">
        <w:rPr>
          <w:lang w:val="tr-TR"/>
        </w:rPr>
        <w:t xml:space="preserve">nın somut koşulları dikkate alınarak </w:t>
      </w:r>
      <w:r w:rsidR="00421FD3" w:rsidRPr="008F1795">
        <w:rPr>
          <w:lang w:val="tr-TR"/>
        </w:rPr>
        <w:t xml:space="preserve">gereklilik açısından </w:t>
      </w:r>
      <w:r w:rsidR="00D5186D" w:rsidRPr="008F1795">
        <w:rPr>
          <w:lang w:val="tr-TR"/>
        </w:rPr>
        <w:t xml:space="preserve">incelenmelidir. </w:t>
      </w:r>
    </w:p>
    <w:p w14:paraId="74B9124A" w14:textId="77777777" w:rsidR="003971DE" w:rsidRPr="008F1795" w:rsidRDefault="003971DE" w:rsidP="003971DE">
      <w:pPr>
        <w:pStyle w:val="ListeParagraf"/>
        <w:tabs>
          <w:tab w:val="left" w:pos="835"/>
        </w:tabs>
        <w:ind w:right="214"/>
        <w:rPr>
          <w:lang w:val="tr-TR"/>
        </w:rPr>
      </w:pPr>
    </w:p>
    <w:p w14:paraId="0CA1E2FD" w14:textId="77777777" w:rsidR="00B74CEA" w:rsidRPr="008F1795" w:rsidRDefault="00B74CEA">
      <w:pPr>
        <w:pStyle w:val="GvdeMetni"/>
        <w:spacing w:before="6"/>
        <w:rPr>
          <w:sz w:val="20"/>
          <w:lang w:val="tr-TR"/>
        </w:rPr>
      </w:pPr>
    </w:p>
    <w:p w14:paraId="398DB07E" w14:textId="7A3A6845" w:rsidR="00B74CEA" w:rsidRPr="008F1795" w:rsidRDefault="00BE381E">
      <w:pPr>
        <w:pStyle w:val="Balk1"/>
        <w:tabs>
          <w:tab w:val="left" w:pos="2358"/>
        </w:tabs>
        <w:ind w:left="1638" w:firstLine="0"/>
        <w:rPr>
          <w:lang w:val="tr-TR"/>
        </w:rPr>
      </w:pPr>
      <w:bookmarkStart w:id="13" w:name="_bookmark12"/>
      <w:bookmarkEnd w:id="13"/>
      <w:r w:rsidRPr="008F1795">
        <w:rPr>
          <w:lang w:val="tr-TR"/>
        </w:rPr>
        <w:t>2.</w:t>
      </w:r>
      <w:r w:rsidRPr="008F1795">
        <w:rPr>
          <w:lang w:val="tr-TR"/>
        </w:rPr>
        <w:tab/>
      </w:r>
      <w:r w:rsidR="00811D71" w:rsidRPr="008F1795">
        <w:rPr>
          <w:lang w:val="tr-TR"/>
        </w:rPr>
        <w:t xml:space="preserve">314. </w:t>
      </w:r>
      <w:r w:rsidR="00241305" w:rsidRPr="008F1795">
        <w:rPr>
          <w:lang w:val="tr-TR"/>
        </w:rPr>
        <w:t>Madde</w:t>
      </w:r>
      <w:r w:rsidR="00811D71" w:rsidRPr="008F1795">
        <w:rPr>
          <w:lang w:val="tr-TR"/>
        </w:rPr>
        <w:t xml:space="preserve">nin 220. </w:t>
      </w:r>
      <w:r w:rsidR="00241305" w:rsidRPr="008F1795">
        <w:rPr>
          <w:lang w:val="tr-TR"/>
        </w:rPr>
        <w:t>Madde</w:t>
      </w:r>
      <w:r w:rsidR="00811D71" w:rsidRPr="008F1795">
        <w:rPr>
          <w:lang w:val="tr-TR"/>
        </w:rPr>
        <w:t xml:space="preserve"> ile </w:t>
      </w:r>
      <w:r w:rsidR="00421FD3">
        <w:rPr>
          <w:lang w:val="tr-TR"/>
        </w:rPr>
        <w:t>B</w:t>
      </w:r>
      <w:r w:rsidR="00811D71" w:rsidRPr="008F1795">
        <w:rPr>
          <w:lang w:val="tr-TR"/>
        </w:rPr>
        <w:t xml:space="preserve">irlikte Uygulanması </w:t>
      </w:r>
    </w:p>
    <w:p w14:paraId="0BB8AE8A" w14:textId="77170A71" w:rsidR="00B74CEA" w:rsidRPr="008F1795" w:rsidRDefault="00B74CEA">
      <w:pPr>
        <w:pStyle w:val="GvdeMetni"/>
        <w:spacing w:before="11"/>
        <w:rPr>
          <w:b/>
          <w:sz w:val="28"/>
          <w:lang w:val="tr-TR"/>
        </w:rPr>
      </w:pPr>
    </w:p>
    <w:p w14:paraId="5006E9D7" w14:textId="29935F3C" w:rsidR="008B093E" w:rsidRPr="008F1795" w:rsidRDefault="00BB54A2" w:rsidP="008B093E">
      <w:pPr>
        <w:pStyle w:val="ListeParagraf"/>
        <w:numPr>
          <w:ilvl w:val="0"/>
          <w:numId w:val="2"/>
        </w:numPr>
        <w:tabs>
          <w:tab w:val="left" w:pos="787"/>
        </w:tabs>
        <w:ind w:right="216" w:firstLine="0"/>
        <w:rPr>
          <w:iCs/>
          <w:lang w:val="tr-TR"/>
        </w:rPr>
      </w:pPr>
      <w:r w:rsidRPr="008F1795">
        <w:rPr>
          <w:lang w:val="tr-TR"/>
        </w:rPr>
        <w:t xml:space="preserve">314. </w:t>
      </w:r>
      <w:r w:rsidR="00241305" w:rsidRPr="008F1795">
        <w:rPr>
          <w:lang w:val="tr-TR"/>
        </w:rPr>
        <w:t>Madde</w:t>
      </w:r>
      <w:r w:rsidRPr="008F1795">
        <w:rPr>
          <w:lang w:val="tr-TR"/>
        </w:rPr>
        <w:t xml:space="preserve">nin (3). </w:t>
      </w:r>
      <w:proofErr w:type="gramStart"/>
      <w:r w:rsidR="00EC6225" w:rsidRPr="008F1795">
        <w:rPr>
          <w:lang w:val="tr-TR"/>
        </w:rPr>
        <w:t>fıkra</w:t>
      </w:r>
      <w:r w:rsidRPr="008F1795">
        <w:rPr>
          <w:lang w:val="tr-TR"/>
        </w:rPr>
        <w:t>sın</w:t>
      </w:r>
      <w:r w:rsidR="00202E10" w:rsidRPr="008F1795">
        <w:rPr>
          <w:lang w:val="tr-TR"/>
        </w:rPr>
        <w:t>a</w:t>
      </w:r>
      <w:proofErr w:type="gramEnd"/>
      <w:r w:rsidR="00202E10" w:rsidRPr="008F1795">
        <w:rPr>
          <w:lang w:val="tr-TR"/>
        </w:rPr>
        <w:t xml:space="preserve"> göre</w:t>
      </w:r>
      <w:r w:rsidRPr="008F1795">
        <w:rPr>
          <w:lang w:val="tr-TR"/>
        </w:rPr>
        <w:t xml:space="preserve"> </w:t>
      </w:r>
      <w:r w:rsidR="002F21B7" w:rsidRPr="008F1795">
        <w:rPr>
          <w:lang w:val="tr-TR"/>
        </w:rPr>
        <w:t>“</w:t>
      </w:r>
      <w:r w:rsidR="002F21B7" w:rsidRPr="008F1795">
        <w:rPr>
          <w:i/>
          <w:iCs/>
          <w:lang w:val="tr-TR"/>
        </w:rPr>
        <w:t>Suç işlemek amacıyla örgüt kurma suçuna ilişkin diğer hükümler, bu suç açısından aynen uygulanır</w:t>
      </w:r>
      <w:r w:rsidR="002F21B7" w:rsidRPr="008F1795">
        <w:rPr>
          <w:lang w:val="tr-TR"/>
        </w:rPr>
        <w:t>.</w:t>
      </w:r>
      <w:r w:rsidR="00202E10" w:rsidRPr="008F1795">
        <w:rPr>
          <w:lang w:val="tr-TR"/>
        </w:rPr>
        <w:t xml:space="preserve">” </w:t>
      </w:r>
      <w:r w:rsidR="0025784C" w:rsidRPr="008F1795">
        <w:rPr>
          <w:lang w:val="tr-TR"/>
        </w:rPr>
        <w:t xml:space="preserve">Bu </w:t>
      </w:r>
      <w:r w:rsidR="00EC6225" w:rsidRPr="008F1795">
        <w:rPr>
          <w:lang w:val="tr-TR"/>
        </w:rPr>
        <w:t>fıkra</w:t>
      </w:r>
      <w:r w:rsidR="0025784C" w:rsidRPr="008F1795">
        <w:rPr>
          <w:lang w:val="tr-TR"/>
        </w:rPr>
        <w:t>da “</w:t>
      </w:r>
      <w:r w:rsidR="00D7251B" w:rsidRPr="008F1795">
        <w:rPr>
          <w:lang w:val="tr-TR"/>
        </w:rPr>
        <w:t xml:space="preserve">suç örgütü kurma suçuna ilişkin diğer hükümlere” yapılan atıf nedeniyle, </w:t>
      </w:r>
      <w:r w:rsidR="008B093E" w:rsidRPr="008F1795">
        <w:rPr>
          <w:lang w:val="tr-TR"/>
        </w:rPr>
        <w:t>Yargıtay</w:t>
      </w:r>
      <w:r w:rsidR="00E53165" w:rsidRPr="008F1795">
        <w:rPr>
          <w:lang w:val="tr-TR"/>
        </w:rPr>
        <w:t>’</w:t>
      </w:r>
      <w:r w:rsidR="008B093E" w:rsidRPr="008F1795">
        <w:rPr>
          <w:lang w:val="tr-TR"/>
        </w:rPr>
        <w:t>ın yakın tarihli pek çok karar</w:t>
      </w:r>
      <w:r w:rsidR="00E53165" w:rsidRPr="008F1795">
        <w:rPr>
          <w:lang w:val="tr-TR"/>
        </w:rPr>
        <w:t>ı</w:t>
      </w:r>
      <w:r w:rsidR="008B093E" w:rsidRPr="008F1795">
        <w:rPr>
          <w:lang w:val="tr-TR"/>
        </w:rPr>
        <w:t xml:space="preserve">nda 314. </w:t>
      </w:r>
      <w:r w:rsidR="00241305" w:rsidRPr="008F1795">
        <w:rPr>
          <w:lang w:val="tr-TR"/>
        </w:rPr>
        <w:t>Madde</w:t>
      </w:r>
      <w:r w:rsidR="008B093E" w:rsidRPr="008F1795">
        <w:rPr>
          <w:lang w:val="tr-TR"/>
        </w:rPr>
        <w:t xml:space="preserve">, 220. </w:t>
      </w:r>
      <w:r w:rsidR="00241305" w:rsidRPr="008F1795">
        <w:rPr>
          <w:lang w:val="tr-TR"/>
        </w:rPr>
        <w:t>Madde</w:t>
      </w:r>
      <w:r w:rsidR="008B093E" w:rsidRPr="008F1795">
        <w:rPr>
          <w:lang w:val="tr-TR"/>
        </w:rPr>
        <w:t xml:space="preserve">nin (6). </w:t>
      </w:r>
      <w:proofErr w:type="gramStart"/>
      <w:r w:rsidR="0014215F" w:rsidRPr="008F1795">
        <w:rPr>
          <w:lang w:val="tr-TR"/>
        </w:rPr>
        <w:t>v</w:t>
      </w:r>
      <w:r w:rsidR="008B093E" w:rsidRPr="008F1795">
        <w:rPr>
          <w:lang w:val="tr-TR"/>
        </w:rPr>
        <w:t>e</w:t>
      </w:r>
      <w:proofErr w:type="gramEnd"/>
      <w:r w:rsidR="008B093E" w:rsidRPr="008F1795">
        <w:rPr>
          <w:lang w:val="tr-TR"/>
        </w:rPr>
        <w:t xml:space="preserve"> (7). </w:t>
      </w:r>
      <w:proofErr w:type="gramStart"/>
      <w:r w:rsidR="00EC6225" w:rsidRPr="008F1795">
        <w:rPr>
          <w:lang w:val="tr-TR"/>
        </w:rPr>
        <w:t>fıkra</w:t>
      </w:r>
      <w:r w:rsidR="008B093E" w:rsidRPr="008F1795">
        <w:rPr>
          <w:lang w:val="tr-TR"/>
        </w:rPr>
        <w:t>ları</w:t>
      </w:r>
      <w:proofErr w:type="gramEnd"/>
      <w:r w:rsidR="008B093E" w:rsidRPr="008F1795">
        <w:rPr>
          <w:lang w:val="tr-TR"/>
        </w:rPr>
        <w:t xml:space="preserve"> ile birlikte</w:t>
      </w:r>
      <w:r w:rsidR="00E53165" w:rsidRPr="008F1795">
        <w:rPr>
          <w:lang w:val="tr-TR"/>
        </w:rPr>
        <w:t xml:space="preserve"> uygulandığı için Ceza Kanununun 220. </w:t>
      </w:r>
      <w:r w:rsidR="00241305" w:rsidRPr="008F1795">
        <w:rPr>
          <w:lang w:val="tr-TR"/>
        </w:rPr>
        <w:t>Madde</w:t>
      </w:r>
      <w:r w:rsidR="00E53165" w:rsidRPr="008F1795">
        <w:rPr>
          <w:lang w:val="tr-TR"/>
        </w:rPr>
        <w:t xml:space="preserve">si bilhassa önemlidir. </w:t>
      </w:r>
      <w:r w:rsidR="0014215F" w:rsidRPr="008F1795">
        <w:rPr>
          <w:lang w:val="tr-TR"/>
        </w:rPr>
        <w:t xml:space="preserve">220. </w:t>
      </w:r>
      <w:r w:rsidR="00241305" w:rsidRPr="008F1795">
        <w:rPr>
          <w:lang w:val="tr-TR"/>
        </w:rPr>
        <w:t>Madde</w:t>
      </w:r>
      <w:r w:rsidR="0014215F" w:rsidRPr="008F1795">
        <w:rPr>
          <w:lang w:val="tr-TR"/>
        </w:rPr>
        <w:t xml:space="preserve">nin (6). </w:t>
      </w:r>
      <w:proofErr w:type="gramStart"/>
      <w:r w:rsidR="0014215F" w:rsidRPr="008F1795">
        <w:rPr>
          <w:lang w:val="tr-TR"/>
        </w:rPr>
        <w:t>ve</w:t>
      </w:r>
      <w:proofErr w:type="gramEnd"/>
      <w:r w:rsidR="0014215F" w:rsidRPr="008F1795">
        <w:rPr>
          <w:lang w:val="tr-TR"/>
        </w:rPr>
        <w:t xml:space="preserve"> (7). </w:t>
      </w:r>
      <w:proofErr w:type="gramStart"/>
      <w:r w:rsidR="00EC6225" w:rsidRPr="008F1795">
        <w:rPr>
          <w:lang w:val="tr-TR"/>
        </w:rPr>
        <w:t>fıkra</w:t>
      </w:r>
      <w:r w:rsidR="0014215F" w:rsidRPr="008F1795">
        <w:rPr>
          <w:lang w:val="tr-TR"/>
        </w:rPr>
        <w:t>ları</w:t>
      </w:r>
      <w:r w:rsidR="00EC6225" w:rsidRPr="008F1795">
        <w:rPr>
          <w:lang w:val="tr-TR"/>
        </w:rPr>
        <w:t>na</w:t>
      </w:r>
      <w:proofErr w:type="gramEnd"/>
      <w:r w:rsidR="00EC6225" w:rsidRPr="008F1795">
        <w:rPr>
          <w:lang w:val="tr-TR"/>
        </w:rPr>
        <w:t xml:space="preserve"> göre </w:t>
      </w:r>
      <w:r w:rsidR="00E117BE" w:rsidRPr="008F1795">
        <w:rPr>
          <w:i/>
          <w:lang w:val="tr-TR"/>
        </w:rPr>
        <w:t xml:space="preserve">Örgüte üye olmamakla birlikte </w:t>
      </w:r>
      <w:r w:rsidR="00E117BE" w:rsidRPr="008F1795">
        <w:rPr>
          <w:iCs/>
          <w:lang w:val="tr-TR"/>
        </w:rPr>
        <w:t xml:space="preserve">örgüt adına suç işleyen kişi (6. fıkra) ve örgüte bilerek ve isteyerek yardım eden kişi (7. fıkra) </w:t>
      </w:r>
      <w:r w:rsidR="00DA25F7" w:rsidRPr="008F1795">
        <w:rPr>
          <w:iCs/>
          <w:lang w:val="tr-TR"/>
        </w:rPr>
        <w:t xml:space="preserve">ayrıca örgüte üye olmak suçundan da cezalandırılır (314. </w:t>
      </w:r>
      <w:r w:rsidR="00241305" w:rsidRPr="008F1795">
        <w:rPr>
          <w:iCs/>
          <w:lang w:val="tr-TR"/>
        </w:rPr>
        <w:t>Madde</w:t>
      </w:r>
      <w:r w:rsidR="00DA25F7" w:rsidRPr="008F1795">
        <w:rPr>
          <w:iCs/>
          <w:lang w:val="tr-TR"/>
        </w:rPr>
        <w:t>).</w:t>
      </w:r>
    </w:p>
    <w:p w14:paraId="6D579B35" w14:textId="77777777" w:rsidR="00BB54A2" w:rsidRPr="008F1795" w:rsidRDefault="00BB54A2" w:rsidP="00BB54A2">
      <w:pPr>
        <w:pStyle w:val="ListeParagraf"/>
        <w:tabs>
          <w:tab w:val="left" w:pos="787"/>
        </w:tabs>
        <w:ind w:right="216"/>
        <w:rPr>
          <w:lang w:val="tr-TR"/>
        </w:rPr>
      </w:pPr>
    </w:p>
    <w:p w14:paraId="13A47E80" w14:textId="4E91FBE2" w:rsidR="00453A47" w:rsidRPr="008F1795" w:rsidRDefault="007F0FA0" w:rsidP="006E5CA2">
      <w:pPr>
        <w:pStyle w:val="ListeParagraf"/>
        <w:numPr>
          <w:ilvl w:val="0"/>
          <w:numId w:val="1"/>
        </w:numPr>
        <w:tabs>
          <w:tab w:val="left" w:pos="753"/>
        </w:tabs>
        <w:ind w:right="215" w:hanging="56"/>
        <w:rPr>
          <w:lang w:val="tr-TR"/>
        </w:rPr>
      </w:pPr>
      <w:r w:rsidRPr="008F1795">
        <w:rPr>
          <w:lang w:val="tr-TR"/>
        </w:rPr>
        <w:t>Yargıtay Ceza Genel Kurulu, 4 Mart 2008 tarihli kararında</w:t>
      </w:r>
      <w:r w:rsidR="00C80275" w:rsidRPr="008F1795">
        <w:rPr>
          <w:rStyle w:val="DipnotBavurusu"/>
          <w:lang w:val="tr-TR"/>
        </w:rPr>
        <w:footnoteReference w:id="143"/>
      </w:r>
      <w:r w:rsidRPr="008F1795">
        <w:rPr>
          <w:lang w:val="tr-TR"/>
        </w:rPr>
        <w:t xml:space="preserve"> </w:t>
      </w:r>
      <w:r w:rsidR="00C27866" w:rsidRPr="008F1795">
        <w:rPr>
          <w:lang w:val="tr-TR"/>
        </w:rPr>
        <w:t>PKK yanlısı medya kuruluşların</w:t>
      </w:r>
      <w:r w:rsidR="006D2D04" w:rsidRPr="008F1795">
        <w:rPr>
          <w:lang w:val="tr-TR"/>
        </w:rPr>
        <w:t>ın genel çağrısı üzerine sokak eylemine katılmak, terör örgütü liderini destekleyen sloganlar atarak zafer işareti yapmak</w:t>
      </w:r>
      <w:r w:rsidR="00BC3395" w:rsidRPr="008F1795">
        <w:rPr>
          <w:lang w:val="tr-TR"/>
        </w:rPr>
        <w:t xml:space="preserve"> ve emniyet kuvvetleri ile çarpışmak gibi fiillerin terör </w:t>
      </w:r>
      <w:r w:rsidR="00071098" w:rsidRPr="008F1795">
        <w:rPr>
          <w:lang w:val="tr-TR"/>
        </w:rPr>
        <w:t>örgütü adına işlenen suçlar olarak değerlendirildiğin</w:t>
      </w:r>
      <w:r w:rsidR="00130AEE" w:rsidRPr="008F1795">
        <w:rPr>
          <w:lang w:val="tr-TR"/>
        </w:rPr>
        <w:t xml:space="preserve">i belirtmiştir. Bu davada, sanığın </w:t>
      </w:r>
      <w:r w:rsidR="00466508" w:rsidRPr="008F1795">
        <w:rPr>
          <w:lang w:val="tr-TR"/>
        </w:rPr>
        <w:t>silahlı suç örgütü</w:t>
      </w:r>
      <w:r w:rsidR="008D561D" w:rsidRPr="008F1795">
        <w:rPr>
          <w:lang w:val="tr-TR"/>
        </w:rPr>
        <w:t xml:space="preserve"> ile</w:t>
      </w:r>
      <w:r w:rsidR="00466508" w:rsidRPr="008F1795">
        <w:rPr>
          <w:lang w:val="tr-TR"/>
        </w:rPr>
        <w:t xml:space="preserve"> üyeli</w:t>
      </w:r>
      <w:r w:rsidR="008D561D" w:rsidRPr="008F1795">
        <w:rPr>
          <w:lang w:val="tr-TR"/>
        </w:rPr>
        <w:t xml:space="preserve">k ilişkisi kurulmamış olsa bile, 314. </w:t>
      </w:r>
      <w:r w:rsidR="00241305" w:rsidRPr="008F1795">
        <w:rPr>
          <w:lang w:val="tr-TR"/>
        </w:rPr>
        <w:t>Madde</w:t>
      </w:r>
      <w:r w:rsidR="008D561D" w:rsidRPr="008F1795">
        <w:rPr>
          <w:lang w:val="tr-TR"/>
        </w:rPr>
        <w:t xml:space="preserve"> ile birlikte uygulanan 220. </w:t>
      </w:r>
      <w:r w:rsidR="00241305" w:rsidRPr="008F1795">
        <w:rPr>
          <w:lang w:val="tr-TR"/>
        </w:rPr>
        <w:t>Madde</w:t>
      </w:r>
      <w:r w:rsidR="008D561D" w:rsidRPr="008F1795">
        <w:rPr>
          <w:lang w:val="tr-TR"/>
        </w:rPr>
        <w:t xml:space="preserve">nin 6. </w:t>
      </w:r>
      <w:r w:rsidR="002E2D95">
        <w:rPr>
          <w:lang w:val="tr-TR"/>
        </w:rPr>
        <w:t>f</w:t>
      </w:r>
      <w:r w:rsidR="008D561D" w:rsidRPr="008F1795">
        <w:rPr>
          <w:lang w:val="tr-TR"/>
        </w:rPr>
        <w:t>ıkrası</w:t>
      </w:r>
      <w:r w:rsidR="00A915DB" w:rsidRPr="008F1795">
        <w:rPr>
          <w:lang w:val="tr-TR"/>
        </w:rPr>
        <w:t xml:space="preserve">na göre </w:t>
      </w:r>
      <w:r w:rsidR="006A198E">
        <w:rPr>
          <w:lang w:val="tr-TR"/>
        </w:rPr>
        <w:t xml:space="preserve">sanığa </w:t>
      </w:r>
      <w:r w:rsidR="00A915DB" w:rsidRPr="008F1795">
        <w:rPr>
          <w:lang w:val="tr-TR"/>
        </w:rPr>
        <w:t>suç örgütü üyes</w:t>
      </w:r>
      <w:r w:rsidR="00C80275" w:rsidRPr="008F1795">
        <w:rPr>
          <w:lang w:val="tr-TR"/>
        </w:rPr>
        <w:t>i</w:t>
      </w:r>
      <w:r w:rsidR="00A915DB" w:rsidRPr="008F1795">
        <w:rPr>
          <w:lang w:val="tr-TR"/>
        </w:rPr>
        <w:t xml:space="preserve"> olmaktan dolayı hüküm </w:t>
      </w:r>
      <w:r w:rsidR="006A198E">
        <w:rPr>
          <w:lang w:val="tr-TR"/>
        </w:rPr>
        <w:t>verilmiştir</w:t>
      </w:r>
      <w:r w:rsidR="00A915DB" w:rsidRPr="008F1795">
        <w:rPr>
          <w:lang w:val="tr-TR"/>
        </w:rPr>
        <w:t>.</w:t>
      </w:r>
      <w:r w:rsidR="00D267EF" w:rsidRPr="008F1795">
        <w:rPr>
          <w:lang w:val="tr-TR"/>
        </w:rPr>
        <w:t xml:space="preserve"> Bir mahkemenin bir suçun bir örgüt adına işlenmiş olduğu kanaatine varabilmesi için, </w:t>
      </w:r>
      <w:r w:rsidR="00675E9D" w:rsidRPr="008F1795">
        <w:rPr>
          <w:lang w:val="tr-TR"/>
        </w:rPr>
        <w:t>“</w:t>
      </w:r>
      <w:r w:rsidR="00AB1028" w:rsidRPr="008F1795">
        <w:rPr>
          <w:lang w:val="tr-TR"/>
        </w:rPr>
        <w:t>söz konusu örgütün belirsiz bir topluluğa eylem çağrısı yapmaktan ziyade, söz konusu eylemi doğrudan yerine getirebilme yetisine sahip bir bireye eylem çağrısında bulunmuş olması gerekir</w:t>
      </w:r>
      <w:r w:rsidR="00F64043" w:rsidRPr="008F1795">
        <w:rPr>
          <w:lang w:val="tr-TR"/>
        </w:rPr>
        <w:t>” değerlend</w:t>
      </w:r>
      <w:r w:rsidR="0071639E" w:rsidRPr="008F1795">
        <w:rPr>
          <w:lang w:val="tr-TR"/>
        </w:rPr>
        <w:t>irmesini yapan Diyarbakır Ağır Ceza Mahkemesinin kararı</w:t>
      </w:r>
      <w:r w:rsidR="00D87FFC" w:rsidRPr="008F1795">
        <w:rPr>
          <w:lang w:val="tr-TR"/>
        </w:rPr>
        <w:t>,</w:t>
      </w:r>
      <w:r w:rsidR="0071639E" w:rsidRPr="008F1795">
        <w:rPr>
          <w:lang w:val="tr-TR"/>
        </w:rPr>
        <w:t xml:space="preserve"> </w:t>
      </w:r>
      <w:r w:rsidR="0027392B" w:rsidRPr="008F1795">
        <w:rPr>
          <w:lang w:val="tr-TR"/>
        </w:rPr>
        <w:t xml:space="preserve">Yargıtay’ın bu kararı ile </w:t>
      </w:r>
      <w:r w:rsidR="0071639E" w:rsidRPr="008F1795">
        <w:rPr>
          <w:lang w:val="tr-TR"/>
        </w:rPr>
        <w:t>boz</w:t>
      </w:r>
      <w:r w:rsidR="00D267EF" w:rsidRPr="008F1795">
        <w:rPr>
          <w:lang w:val="tr-TR"/>
        </w:rPr>
        <w:t>ul</w:t>
      </w:r>
      <w:r w:rsidR="0071639E" w:rsidRPr="008F1795">
        <w:rPr>
          <w:lang w:val="tr-TR"/>
        </w:rPr>
        <w:t>muştur.</w:t>
      </w:r>
      <w:r w:rsidR="0071639E" w:rsidRPr="008F1795">
        <w:rPr>
          <w:rStyle w:val="DipnotBavurusu"/>
          <w:lang w:val="tr-TR"/>
        </w:rPr>
        <w:t xml:space="preserve"> </w:t>
      </w:r>
      <w:r w:rsidR="0071639E" w:rsidRPr="008F1795">
        <w:rPr>
          <w:rStyle w:val="DipnotBavurusu"/>
          <w:lang w:val="tr-TR"/>
        </w:rPr>
        <w:footnoteReference w:id="144"/>
      </w:r>
      <w:r w:rsidR="0071639E" w:rsidRPr="008F1795">
        <w:rPr>
          <w:lang w:val="tr-TR"/>
        </w:rPr>
        <w:t xml:space="preserve"> </w:t>
      </w:r>
    </w:p>
    <w:p w14:paraId="109370E9" w14:textId="52CC3BF9" w:rsidR="00453A47" w:rsidRPr="008F1795" w:rsidRDefault="00D267EF" w:rsidP="00453A47">
      <w:pPr>
        <w:pStyle w:val="ListeParagraf"/>
        <w:tabs>
          <w:tab w:val="left" w:pos="753"/>
        </w:tabs>
        <w:ind w:right="215"/>
        <w:rPr>
          <w:lang w:val="tr-TR"/>
        </w:rPr>
      </w:pPr>
      <w:r w:rsidRPr="008F1795">
        <w:rPr>
          <w:lang w:val="tr-TR"/>
        </w:rPr>
        <w:t xml:space="preserve"> </w:t>
      </w:r>
    </w:p>
    <w:p w14:paraId="0438D93E" w14:textId="2EBB3CF0" w:rsidR="00D87FFC" w:rsidRPr="008F1795" w:rsidRDefault="00D87FFC">
      <w:pPr>
        <w:pStyle w:val="ListeParagraf"/>
        <w:numPr>
          <w:ilvl w:val="0"/>
          <w:numId w:val="1"/>
        </w:numPr>
        <w:tabs>
          <w:tab w:val="left" w:pos="753"/>
        </w:tabs>
        <w:ind w:right="215" w:firstLine="0"/>
        <w:rPr>
          <w:lang w:val="tr-TR"/>
        </w:rPr>
      </w:pPr>
      <w:r w:rsidRPr="008F1795">
        <w:rPr>
          <w:lang w:val="tr-TR"/>
        </w:rPr>
        <w:lastRenderedPageBreak/>
        <w:t>Yargıtay 9. Ceza Dairesi, 24 Mart 2011 tarihli kararında</w:t>
      </w:r>
      <w:r w:rsidRPr="008F1795">
        <w:rPr>
          <w:rStyle w:val="DipnotBavurusu"/>
          <w:lang w:val="tr-TR"/>
        </w:rPr>
        <w:footnoteReference w:id="145"/>
      </w:r>
      <w:r w:rsidRPr="008F1795">
        <w:rPr>
          <w:lang w:val="tr-TR"/>
        </w:rPr>
        <w:t xml:space="preserve">, </w:t>
      </w:r>
      <w:r w:rsidR="00845DFA" w:rsidRPr="008F1795">
        <w:rPr>
          <w:lang w:val="tr-TR"/>
        </w:rPr>
        <w:t>silahlı</w:t>
      </w:r>
      <w:r w:rsidR="00FB229E" w:rsidRPr="008F1795">
        <w:rPr>
          <w:lang w:val="tr-TR"/>
        </w:rPr>
        <w:t xml:space="preserve"> örgütün internet sitesinde </w:t>
      </w:r>
      <w:r w:rsidR="009A7F71" w:rsidRPr="008F1795">
        <w:rPr>
          <w:lang w:val="tr-TR"/>
        </w:rPr>
        <w:t>yaptığı genel çağrı üzerine yasadışı bir sokak eylemine katılma</w:t>
      </w:r>
      <w:r w:rsidR="003A2AF3">
        <w:rPr>
          <w:lang w:val="tr-TR"/>
        </w:rPr>
        <w:t>yı</w:t>
      </w:r>
      <w:r w:rsidR="009A7F71" w:rsidRPr="008F1795">
        <w:rPr>
          <w:lang w:val="tr-TR"/>
        </w:rPr>
        <w:t>, eylem sırasında kimliğini gizlemek için yüzünü kapa</w:t>
      </w:r>
      <w:r w:rsidR="003A2AF3">
        <w:rPr>
          <w:lang w:val="tr-TR"/>
        </w:rPr>
        <w:t>mayı</w:t>
      </w:r>
      <w:r w:rsidR="009A7F71" w:rsidRPr="008F1795">
        <w:rPr>
          <w:lang w:val="tr-TR"/>
        </w:rPr>
        <w:t xml:space="preserve"> ve silahlı örgüt</w:t>
      </w:r>
      <w:r w:rsidR="00845DFA" w:rsidRPr="008F1795">
        <w:rPr>
          <w:lang w:val="tr-TR"/>
        </w:rPr>
        <w:t>ü destekleyen sloganlar atma</w:t>
      </w:r>
      <w:r w:rsidR="003A2AF3">
        <w:rPr>
          <w:lang w:val="tr-TR"/>
        </w:rPr>
        <w:t>yı</w:t>
      </w:r>
      <w:r w:rsidR="00845DFA" w:rsidRPr="008F1795">
        <w:rPr>
          <w:lang w:val="tr-TR"/>
        </w:rPr>
        <w:t xml:space="preserve">, silahlı örgüt adına </w:t>
      </w:r>
      <w:r w:rsidR="0062306C" w:rsidRPr="008F1795">
        <w:rPr>
          <w:lang w:val="tr-TR"/>
        </w:rPr>
        <w:t>suç işlemek olarak değerlendirmiş ve sanığın örgüte üyeliği kanıtlanmamasına rağmen silahl</w:t>
      </w:r>
      <w:r w:rsidR="004474FB" w:rsidRPr="008F1795">
        <w:rPr>
          <w:lang w:val="tr-TR"/>
        </w:rPr>
        <w:t>ı</w:t>
      </w:r>
      <w:r w:rsidR="0062306C" w:rsidRPr="008F1795">
        <w:rPr>
          <w:lang w:val="tr-TR"/>
        </w:rPr>
        <w:t xml:space="preserve"> örgüt üyesi olmaktan dolayı </w:t>
      </w:r>
      <w:r w:rsidR="00955D38">
        <w:rPr>
          <w:lang w:val="tr-TR"/>
        </w:rPr>
        <w:t xml:space="preserve">hakkında </w:t>
      </w:r>
      <w:proofErr w:type="gramStart"/>
      <w:r w:rsidR="004474FB" w:rsidRPr="008F1795">
        <w:rPr>
          <w:lang w:val="tr-TR"/>
        </w:rPr>
        <w:t>mahkumiyet</w:t>
      </w:r>
      <w:proofErr w:type="gramEnd"/>
      <w:r w:rsidR="004474FB" w:rsidRPr="008F1795">
        <w:rPr>
          <w:lang w:val="tr-TR"/>
        </w:rPr>
        <w:t xml:space="preserve"> kararı verilmiştir (314. </w:t>
      </w:r>
      <w:r w:rsidR="00241305" w:rsidRPr="008F1795">
        <w:rPr>
          <w:lang w:val="tr-TR"/>
        </w:rPr>
        <w:t>Madde</w:t>
      </w:r>
      <w:r w:rsidR="004474FB" w:rsidRPr="008F1795">
        <w:rPr>
          <w:lang w:val="tr-TR"/>
        </w:rPr>
        <w:t xml:space="preserve"> ile birlikte uygulanan 220(6). </w:t>
      </w:r>
      <w:r w:rsidR="00241305" w:rsidRPr="008F1795">
        <w:rPr>
          <w:lang w:val="tr-TR"/>
        </w:rPr>
        <w:t>Madde</w:t>
      </w:r>
      <w:r w:rsidR="004474FB" w:rsidRPr="008F1795">
        <w:rPr>
          <w:lang w:val="tr-TR"/>
        </w:rPr>
        <w:t>).</w:t>
      </w:r>
    </w:p>
    <w:p w14:paraId="64BDE25F" w14:textId="77777777" w:rsidR="00D87FFC" w:rsidRPr="008F1795" w:rsidRDefault="00D87FFC" w:rsidP="00D87FFC">
      <w:pPr>
        <w:pStyle w:val="ListeParagraf"/>
        <w:tabs>
          <w:tab w:val="left" w:pos="753"/>
        </w:tabs>
        <w:ind w:right="215"/>
        <w:rPr>
          <w:lang w:val="tr-TR"/>
        </w:rPr>
      </w:pPr>
    </w:p>
    <w:p w14:paraId="2AF288F6" w14:textId="3B300E99" w:rsidR="00D47E74" w:rsidRPr="008F1795" w:rsidRDefault="00876132" w:rsidP="00D47E74">
      <w:pPr>
        <w:pStyle w:val="ListeParagraf"/>
        <w:numPr>
          <w:ilvl w:val="0"/>
          <w:numId w:val="1"/>
        </w:numPr>
        <w:tabs>
          <w:tab w:val="left" w:pos="777"/>
        </w:tabs>
        <w:ind w:right="215" w:firstLine="0"/>
        <w:rPr>
          <w:lang w:val="tr-TR"/>
        </w:rPr>
      </w:pPr>
      <w:r w:rsidRPr="008F1795">
        <w:rPr>
          <w:lang w:val="tr-TR"/>
        </w:rPr>
        <w:t xml:space="preserve">Örgüte bilerek ve isteyerek yardım eden kişilere ilişkin 220(7). </w:t>
      </w:r>
      <w:r w:rsidR="00241305" w:rsidRPr="008F1795">
        <w:rPr>
          <w:lang w:val="tr-TR"/>
        </w:rPr>
        <w:t>Madde</w:t>
      </w:r>
      <w:r w:rsidR="008E5C7D" w:rsidRPr="008F1795">
        <w:rPr>
          <w:lang w:val="tr-TR"/>
        </w:rPr>
        <w:t xml:space="preserve">, ifade özgürlüğü ile ilgili davalara da uygulanmıştır. </w:t>
      </w:r>
      <w:r w:rsidR="008E5C7D" w:rsidRPr="008F1795">
        <w:rPr>
          <w:i/>
          <w:lang w:val="tr-TR"/>
        </w:rPr>
        <w:t>Nedim Şener davasında</w:t>
      </w:r>
      <w:r w:rsidR="006F2996" w:rsidRPr="008F1795">
        <w:rPr>
          <w:rStyle w:val="DipnotBavurusu"/>
          <w:i/>
          <w:lang w:val="tr-TR"/>
        </w:rPr>
        <w:footnoteReference w:id="146"/>
      </w:r>
      <w:r w:rsidR="008E5C7D" w:rsidRPr="008F1795">
        <w:rPr>
          <w:i/>
          <w:lang w:val="tr-TR"/>
        </w:rPr>
        <w:t xml:space="preserve"> </w:t>
      </w:r>
      <w:r w:rsidR="008E5C7D" w:rsidRPr="008F1795">
        <w:rPr>
          <w:iCs/>
          <w:lang w:val="tr-TR"/>
        </w:rPr>
        <w:t>başvurucu</w:t>
      </w:r>
      <w:r w:rsidR="001A437D" w:rsidRPr="008F1795">
        <w:rPr>
          <w:iCs/>
          <w:lang w:val="tr-TR"/>
        </w:rPr>
        <w:t>,</w:t>
      </w:r>
      <w:r w:rsidR="00D32763" w:rsidRPr="008F1795">
        <w:rPr>
          <w:iCs/>
          <w:lang w:val="tr-TR"/>
        </w:rPr>
        <w:t xml:space="preserve"> suç örgütünün </w:t>
      </w:r>
      <w:r w:rsidR="005E65F5" w:rsidRPr="008F1795">
        <w:rPr>
          <w:iCs/>
          <w:lang w:val="tr-TR"/>
        </w:rPr>
        <w:t>üyesi olduğundan şüphelenilen</w:t>
      </w:r>
      <w:r w:rsidR="005F0329" w:rsidRPr="008F1795">
        <w:rPr>
          <w:iCs/>
          <w:lang w:val="tr-TR"/>
        </w:rPr>
        <w:t xml:space="preserve"> kişilerin talebi üzerine</w:t>
      </w:r>
      <w:r w:rsidR="005E65F5" w:rsidRPr="008F1795">
        <w:rPr>
          <w:iCs/>
          <w:lang w:val="tr-TR"/>
        </w:rPr>
        <w:t xml:space="preserve"> </w:t>
      </w:r>
      <w:r w:rsidR="008D62FB" w:rsidRPr="008F1795">
        <w:rPr>
          <w:iCs/>
          <w:lang w:val="tr-TR"/>
        </w:rPr>
        <w:t>hükümetin eylemlerini</w:t>
      </w:r>
      <w:r w:rsidR="00D32763" w:rsidRPr="008F1795">
        <w:rPr>
          <w:iCs/>
          <w:lang w:val="tr-TR"/>
        </w:rPr>
        <w:t xml:space="preserve"> </w:t>
      </w:r>
      <w:r w:rsidR="008D62FB" w:rsidRPr="008F1795">
        <w:rPr>
          <w:iCs/>
          <w:lang w:val="tr-TR"/>
        </w:rPr>
        <w:t xml:space="preserve">eleştiren </w:t>
      </w:r>
      <w:r w:rsidR="005E65F5" w:rsidRPr="008F1795">
        <w:rPr>
          <w:iCs/>
          <w:lang w:val="tr-TR"/>
        </w:rPr>
        <w:t>kitapların</w:t>
      </w:r>
      <w:r w:rsidR="008D62FB" w:rsidRPr="008F1795">
        <w:rPr>
          <w:iCs/>
          <w:lang w:val="tr-TR"/>
        </w:rPr>
        <w:t xml:space="preserve"> hazırlanması</w:t>
      </w:r>
      <w:r w:rsidR="00D32763" w:rsidRPr="008F1795">
        <w:rPr>
          <w:iCs/>
          <w:lang w:val="tr-TR"/>
        </w:rPr>
        <w:t>na katkıda bulunmaktan dolayı</w:t>
      </w:r>
      <w:r w:rsidR="005F0329" w:rsidRPr="008F1795">
        <w:rPr>
          <w:iCs/>
          <w:lang w:val="tr-TR"/>
        </w:rPr>
        <w:t xml:space="preserve"> </w:t>
      </w:r>
      <w:r w:rsidR="001A437D" w:rsidRPr="008F1795">
        <w:rPr>
          <w:iCs/>
          <w:lang w:val="tr-TR"/>
        </w:rPr>
        <w:t xml:space="preserve">220(7). </w:t>
      </w:r>
      <w:r w:rsidR="00241305" w:rsidRPr="008F1795">
        <w:rPr>
          <w:iCs/>
          <w:lang w:val="tr-TR"/>
        </w:rPr>
        <w:t>Madde</w:t>
      </w:r>
      <w:r w:rsidR="001A437D" w:rsidRPr="008F1795">
        <w:rPr>
          <w:iCs/>
          <w:lang w:val="tr-TR"/>
        </w:rPr>
        <w:t xml:space="preserve"> </w:t>
      </w:r>
      <w:r w:rsidR="009C0508" w:rsidRPr="008F1795">
        <w:rPr>
          <w:iCs/>
          <w:lang w:val="tr-TR"/>
        </w:rPr>
        <w:t xml:space="preserve">(silahlı örgüte </w:t>
      </w:r>
      <w:r w:rsidR="008D62FB" w:rsidRPr="008F1795">
        <w:rPr>
          <w:iCs/>
          <w:lang w:val="tr-TR"/>
        </w:rPr>
        <w:t xml:space="preserve">yardım etmek) </w:t>
      </w:r>
      <w:r w:rsidR="001A437D" w:rsidRPr="008F1795">
        <w:rPr>
          <w:iCs/>
          <w:lang w:val="tr-TR"/>
        </w:rPr>
        <w:t>ile birlikte uygulanan 3</w:t>
      </w:r>
      <w:r w:rsidR="00DD7950">
        <w:rPr>
          <w:iCs/>
          <w:lang w:val="tr-TR"/>
        </w:rPr>
        <w:t>1</w:t>
      </w:r>
      <w:r w:rsidR="001A437D" w:rsidRPr="008F1795">
        <w:rPr>
          <w:iCs/>
          <w:lang w:val="tr-TR"/>
        </w:rPr>
        <w:t xml:space="preserve">4(3). </w:t>
      </w:r>
      <w:r w:rsidR="00241305" w:rsidRPr="008F1795">
        <w:rPr>
          <w:iCs/>
          <w:lang w:val="tr-TR"/>
        </w:rPr>
        <w:t>Madde</w:t>
      </w:r>
      <w:r w:rsidR="001A437D" w:rsidRPr="008F1795">
        <w:rPr>
          <w:iCs/>
          <w:lang w:val="tr-TR"/>
        </w:rPr>
        <w:t xml:space="preserve"> uyarınca yargılanmı</w:t>
      </w:r>
      <w:r w:rsidR="009C0508" w:rsidRPr="008F1795">
        <w:rPr>
          <w:iCs/>
          <w:lang w:val="tr-TR"/>
        </w:rPr>
        <w:t>ştır</w:t>
      </w:r>
      <w:r w:rsidR="005F0329" w:rsidRPr="008F1795">
        <w:rPr>
          <w:iCs/>
          <w:lang w:val="tr-TR"/>
        </w:rPr>
        <w:t>. Yargıtay</w:t>
      </w:r>
      <w:r w:rsidR="00EC4AC5">
        <w:rPr>
          <w:iCs/>
          <w:lang w:val="tr-TR"/>
        </w:rPr>
        <w:t>’ın</w:t>
      </w:r>
      <w:r w:rsidR="00A34F6A" w:rsidRPr="008F1795">
        <w:rPr>
          <w:iCs/>
          <w:lang w:val="tr-TR"/>
        </w:rPr>
        <w:t>,</w:t>
      </w:r>
      <w:r w:rsidR="005F0329" w:rsidRPr="008F1795">
        <w:rPr>
          <w:iCs/>
          <w:lang w:val="tr-TR"/>
        </w:rPr>
        <w:t xml:space="preserve"> 4 </w:t>
      </w:r>
      <w:r w:rsidR="006912B0" w:rsidRPr="008F1795">
        <w:rPr>
          <w:iCs/>
          <w:lang w:val="tr-TR"/>
        </w:rPr>
        <w:t>H</w:t>
      </w:r>
      <w:r w:rsidR="005F0329" w:rsidRPr="008F1795">
        <w:rPr>
          <w:iCs/>
          <w:lang w:val="tr-TR"/>
        </w:rPr>
        <w:t>aziran 2012 tarihli kararında,</w:t>
      </w:r>
      <w:r w:rsidR="00265C46" w:rsidRPr="008F1795">
        <w:rPr>
          <w:rStyle w:val="DipnotBavurusu"/>
          <w:iCs/>
          <w:lang w:val="tr-TR"/>
        </w:rPr>
        <w:footnoteReference w:id="147"/>
      </w:r>
      <w:r w:rsidR="005F0329" w:rsidRPr="008F1795">
        <w:rPr>
          <w:iCs/>
          <w:lang w:val="tr-TR"/>
        </w:rPr>
        <w:t xml:space="preserve"> </w:t>
      </w:r>
      <w:r w:rsidR="00D47E74" w:rsidRPr="008F1795">
        <w:rPr>
          <w:iCs/>
          <w:lang w:val="tr-TR"/>
        </w:rPr>
        <w:t>sanıkların</w:t>
      </w:r>
      <w:r w:rsidR="00A34F6A" w:rsidRPr="008F1795">
        <w:rPr>
          <w:iCs/>
          <w:lang w:val="tr-TR"/>
        </w:rPr>
        <w:t xml:space="preserve"> terör örgütünün kendi internet sitelerinde</w:t>
      </w:r>
      <w:r w:rsidR="004F123B" w:rsidRPr="008F1795">
        <w:rPr>
          <w:iCs/>
          <w:lang w:val="tr-TR"/>
        </w:rPr>
        <w:t xml:space="preserve"> başlattığı bir kampanya çerçevesinde, “</w:t>
      </w:r>
      <w:r w:rsidR="004F123B" w:rsidRPr="008F1795">
        <w:rPr>
          <w:i/>
          <w:lang w:val="tr-TR"/>
        </w:rPr>
        <w:t>Öcalan’</w:t>
      </w:r>
      <w:r w:rsidR="006E37A2" w:rsidRPr="008F1795">
        <w:rPr>
          <w:i/>
          <w:lang w:val="tr-TR"/>
        </w:rPr>
        <w:t>a</w:t>
      </w:r>
      <w:r w:rsidR="004F123B" w:rsidRPr="008F1795">
        <w:rPr>
          <w:i/>
          <w:lang w:val="tr-TR"/>
        </w:rPr>
        <w:t xml:space="preserve"> Sayın Öcalan demek suç ise, ben de </w:t>
      </w:r>
      <w:r w:rsidR="009758B7" w:rsidRPr="008F1795">
        <w:rPr>
          <w:i/>
          <w:lang w:val="tr-TR"/>
        </w:rPr>
        <w:t>burada</w:t>
      </w:r>
      <w:r w:rsidR="006E37A2" w:rsidRPr="008F1795">
        <w:rPr>
          <w:i/>
          <w:lang w:val="tr-TR"/>
        </w:rPr>
        <w:t xml:space="preserve"> </w:t>
      </w:r>
      <w:r w:rsidR="004F123B" w:rsidRPr="008F1795">
        <w:rPr>
          <w:i/>
          <w:lang w:val="tr-TR"/>
        </w:rPr>
        <w:t>bu suçu işliyorum</w:t>
      </w:r>
      <w:r w:rsidR="006E37A2" w:rsidRPr="008F1795">
        <w:rPr>
          <w:iCs/>
          <w:lang w:val="tr-TR"/>
        </w:rPr>
        <w:t xml:space="preserve"> </w:t>
      </w:r>
      <w:r w:rsidR="006E37A2" w:rsidRPr="008F1795">
        <w:rPr>
          <w:lang w:val="tr-TR"/>
        </w:rPr>
        <w:t>[Öcalan’a Sayın Öcalan diyerek]</w:t>
      </w:r>
      <w:r w:rsidR="00EC2407" w:rsidRPr="008F1795">
        <w:rPr>
          <w:lang w:val="tr-TR"/>
        </w:rPr>
        <w:t xml:space="preserve"> ve kendimi </w:t>
      </w:r>
      <w:r w:rsidR="00E76109" w:rsidRPr="008F1795">
        <w:rPr>
          <w:lang w:val="tr-TR"/>
        </w:rPr>
        <w:t>[</w:t>
      </w:r>
      <w:r w:rsidR="00EC2407" w:rsidRPr="008F1795">
        <w:rPr>
          <w:lang w:val="tr-TR"/>
        </w:rPr>
        <w:t>yetkililere] ihbar ediyorum</w:t>
      </w:r>
      <w:r w:rsidR="00C82C4B" w:rsidRPr="008F1795">
        <w:rPr>
          <w:lang w:val="tr-TR"/>
        </w:rPr>
        <w:t xml:space="preserve">” </w:t>
      </w:r>
      <w:r w:rsidR="00CB537F" w:rsidRPr="008F1795">
        <w:rPr>
          <w:lang w:val="tr-TR"/>
        </w:rPr>
        <w:t>ifadesini içeren</w:t>
      </w:r>
      <w:r w:rsidR="00C82C4B" w:rsidRPr="008F1795">
        <w:rPr>
          <w:lang w:val="tr-TR"/>
        </w:rPr>
        <w:t xml:space="preserve"> bir bildiri hazırla</w:t>
      </w:r>
      <w:r w:rsidR="009758B7" w:rsidRPr="008F1795">
        <w:rPr>
          <w:lang w:val="tr-TR"/>
        </w:rPr>
        <w:t>maları</w:t>
      </w:r>
      <w:r w:rsidR="00C82C4B" w:rsidRPr="008F1795">
        <w:rPr>
          <w:lang w:val="tr-TR"/>
        </w:rPr>
        <w:t xml:space="preserve"> ve bu bildiri</w:t>
      </w:r>
      <w:r w:rsidR="000D08A0" w:rsidRPr="008F1795">
        <w:rPr>
          <w:lang w:val="tr-TR"/>
        </w:rPr>
        <w:t xml:space="preserve"> için imza topla</w:t>
      </w:r>
      <w:r w:rsidR="009758B7" w:rsidRPr="008F1795">
        <w:rPr>
          <w:lang w:val="tr-TR"/>
        </w:rPr>
        <w:t>maları</w:t>
      </w:r>
      <w:r w:rsidR="008B35E3" w:rsidRPr="008F1795">
        <w:rPr>
          <w:lang w:val="tr-TR"/>
        </w:rPr>
        <w:t xml:space="preserve"> </w:t>
      </w:r>
      <w:r w:rsidR="00D47E74" w:rsidRPr="008F1795">
        <w:rPr>
          <w:iCs/>
          <w:lang w:val="tr-TR"/>
        </w:rPr>
        <w:t>“suç</w:t>
      </w:r>
      <w:r w:rsidR="00A34F6A" w:rsidRPr="008F1795">
        <w:rPr>
          <w:iCs/>
          <w:lang w:val="tr-TR"/>
        </w:rPr>
        <w:t xml:space="preserve"> </w:t>
      </w:r>
      <w:r w:rsidR="00D47E74" w:rsidRPr="008F1795">
        <w:rPr>
          <w:iCs/>
          <w:lang w:val="tr-TR"/>
        </w:rPr>
        <w:t xml:space="preserve">örgütüne bilerek ve isteyerek yardım </w:t>
      </w:r>
      <w:r w:rsidR="009758B7" w:rsidRPr="008F1795">
        <w:rPr>
          <w:iCs/>
          <w:lang w:val="tr-TR"/>
        </w:rPr>
        <w:t>etmek</w:t>
      </w:r>
      <w:r w:rsidR="00A34F6A" w:rsidRPr="008F1795">
        <w:rPr>
          <w:iCs/>
          <w:lang w:val="tr-TR"/>
        </w:rPr>
        <w:t xml:space="preserve">” </w:t>
      </w:r>
      <w:r w:rsidR="009758B7" w:rsidRPr="008F1795">
        <w:rPr>
          <w:iCs/>
          <w:lang w:val="tr-TR"/>
        </w:rPr>
        <w:t xml:space="preserve">olarak </w:t>
      </w:r>
      <w:r w:rsidR="00A34F6A" w:rsidRPr="008F1795">
        <w:rPr>
          <w:iCs/>
          <w:lang w:val="tr-TR"/>
        </w:rPr>
        <w:t>değerlendir</w:t>
      </w:r>
      <w:r w:rsidR="00CB537F" w:rsidRPr="008F1795">
        <w:rPr>
          <w:iCs/>
          <w:lang w:val="tr-TR"/>
        </w:rPr>
        <w:t>il</w:t>
      </w:r>
      <w:r w:rsidR="00A34F6A" w:rsidRPr="008F1795">
        <w:rPr>
          <w:iCs/>
          <w:lang w:val="tr-TR"/>
        </w:rPr>
        <w:t>miştir.</w:t>
      </w:r>
      <w:r w:rsidR="00EC4AC5">
        <w:rPr>
          <w:iCs/>
          <w:lang w:val="tr-TR"/>
        </w:rPr>
        <w:t xml:space="preserve"> </w:t>
      </w:r>
    </w:p>
    <w:p w14:paraId="42C00116" w14:textId="77777777" w:rsidR="004474FB" w:rsidRPr="008F1795" w:rsidRDefault="004474FB" w:rsidP="004474FB">
      <w:pPr>
        <w:pStyle w:val="ListeParagraf"/>
        <w:tabs>
          <w:tab w:val="left" w:pos="777"/>
        </w:tabs>
        <w:ind w:right="215"/>
        <w:rPr>
          <w:lang w:val="tr-TR"/>
        </w:rPr>
      </w:pPr>
    </w:p>
    <w:p w14:paraId="2EC6FD75" w14:textId="2EA8F03A" w:rsidR="0096588E" w:rsidRPr="008F1795" w:rsidRDefault="00DF4EAB">
      <w:pPr>
        <w:pStyle w:val="ListeParagraf"/>
        <w:numPr>
          <w:ilvl w:val="0"/>
          <w:numId w:val="1"/>
        </w:numPr>
        <w:tabs>
          <w:tab w:val="left" w:pos="854"/>
        </w:tabs>
        <w:ind w:firstLine="0"/>
        <w:rPr>
          <w:lang w:val="tr-TR"/>
        </w:rPr>
      </w:pPr>
      <w:r w:rsidRPr="008F1795">
        <w:rPr>
          <w:lang w:val="tr-TR"/>
        </w:rPr>
        <w:t>Neticede</w:t>
      </w:r>
      <w:r w:rsidR="00523A0E" w:rsidRPr="008F1795">
        <w:rPr>
          <w:lang w:val="tr-TR"/>
        </w:rPr>
        <w:t xml:space="preserve">, Yargıtay’ın 314. </w:t>
      </w:r>
      <w:r w:rsidR="00241305" w:rsidRPr="008F1795">
        <w:rPr>
          <w:lang w:val="tr-TR"/>
        </w:rPr>
        <w:t>Madde</w:t>
      </w:r>
      <w:r w:rsidR="00523A0E" w:rsidRPr="008F1795">
        <w:rPr>
          <w:lang w:val="tr-TR"/>
        </w:rPr>
        <w:t xml:space="preserve"> (100. ve 101. fıkraları)</w:t>
      </w:r>
      <w:r w:rsidR="00EB5C99" w:rsidRPr="008F1795">
        <w:rPr>
          <w:lang w:val="tr-TR"/>
        </w:rPr>
        <w:t xml:space="preserve"> ile ilgili içtihatlarında belirlenen yerleşik kriter temelinde </w:t>
      </w:r>
      <w:r w:rsidRPr="008F1795">
        <w:rPr>
          <w:lang w:val="tr-TR"/>
        </w:rPr>
        <w:t xml:space="preserve">sanığın silahlı örgüt ile “organik ilişkisi” </w:t>
      </w:r>
      <w:r w:rsidR="003C0FFF" w:rsidRPr="008F1795">
        <w:rPr>
          <w:lang w:val="tr-TR"/>
        </w:rPr>
        <w:t xml:space="preserve">ispat edilemese bile, silahlı örgüt adına suç işlediği </w:t>
      </w:r>
      <w:r w:rsidR="00220A83" w:rsidRPr="008F1795">
        <w:rPr>
          <w:lang w:val="tr-TR"/>
        </w:rPr>
        <w:t xml:space="preserve">(220. </w:t>
      </w:r>
      <w:r w:rsidR="00241305" w:rsidRPr="008F1795">
        <w:rPr>
          <w:lang w:val="tr-TR"/>
        </w:rPr>
        <w:t>Madde</w:t>
      </w:r>
      <w:r w:rsidRPr="008F1795">
        <w:rPr>
          <w:lang w:val="tr-TR"/>
        </w:rPr>
        <w:t xml:space="preserve">nin 6. fıkrası) </w:t>
      </w:r>
      <w:r w:rsidR="003C0FFF" w:rsidRPr="008F1795">
        <w:rPr>
          <w:lang w:val="tr-TR"/>
        </w:rPr>
        <w:t xml:space="preserve">ya da </w:t>
      </w:r>
      <w:r w:rsidR="00D23E84" w:rsidRPr="008F1795">
        <w:rPr>
          <w:lang w:val="tr-TR"/>
        </w:rPr>
        <w:t xml:space="preserve">silahlı örgüte bilerek ve isteyerek yardım ettiği </w:t>
      </w:r>
      <w:r w:rsidRPr="008F1795">
        <w:rPr>
          <w:lang w:val="tr-TR"/>
        </w:rPr>
        <w:t xml:space="preserve">(220. </w:t>
      </w:r>
      <w:r w:rsidR="00241305" w:rsidRPr="008F1795">
        <w:rPr>
          <w:lang w:val="tr-TR"/>
        </w:rPr>
        <w:t>Madde</w:t>
      </w:r>
      <w:r w:rsidRPr="008F1795">
        <w:rPr>
          <w:lang w:val="tr-TR"/>
        </w:rPr>
        <w:t xml:space="preserve">nin 7. fıkrası) </w:t>
      </w:r>
      <w:r w:rsidR="00D23E84" w:rsidRPr="008F1795">
        <w:rPr>
          <w:lang w:val="tr-TR"/>
        </w:rPr>
        <w:t xml:space="preserve">değerlendirilen </w:t>
      </w:r>
      <w:r w:rsidR="003C0FFF" w:rsidRPr="008F1795">
        <w:rPr>
          <w:lang w:val="tr-TR"/>
        </w:rPr>
        <w:t>sanıklar</w:t>
      </w:r>
      <w:r w:rsidR="00D23E84" w:rsidRPr="008F1795">
        <w:rPr>
          <w:lang w:val="tr-TR"/>
        </w:rPr>
        <w:t xml:space="preserve"> da 314. </w:t>
      </w:r>
      <w:r w:rsidR="00241305" w:rsidRPr="008F1795">
        <w:rPr>
          <w:lang w:val="tr-TR"/>
        </w:rPr>
        <w:t>Madde</w:t>
      </w:r>
      <w:r w:rsidR="00D23E84" w:rsidRPr="008F1795">
        <w:rPr>
          <w:lang w:val="tr-TR"/>
        </w:rPr>
        <w:t xml:space="preserve">ye göre örgüt üyesi olmak suçundan </w:t>
      </w:r>
      <w:proofErr w:type="gramStart"/>
      <w:r w:rsidR="00220A83" w:rsidRPr="008F1795">
        <w:rPr>
          <w:lang w:val="tr-TR"/>
        </w:rPr>
        <w:t>mahkum</w:t>
      </w:r>
      <w:proofErr w:type="gramEnd"/>
      <w:r w:rsidR="00220A83" w:rsidRPr="008F1795">
        <w:rPr>
          <w:lang w:val="tr-TR"/>
        </w:rPr>
        <w:t xml:space="preserve"> edilmektedir. </w:t>
      </w:r>
    </w:p>
    <w:p w14:paraId="5A066B0F" w14:textId="77777777" w:rsidR="0096588E" w:rsidRPr="008F1795" w:rsidRDefault="0096588E" w:rsidP="0096588E">
      <w:pPr>
        <w:pStyle w:val="ListeParagraf"/>
        <w:tabs>
          <w:tab w:val="left" w:pos="854"/>
        </w:tabs>
        <w:rPr>
          <w:lang w:val="tr-TR"/>
        </w:rPr>
      </w:pPr>
    </w:p>
    <w:p w14:paraId="5D6BCBEE" w14:textId="55ADF11C" w:rsidR="00333B19" w:rsidRPr="008F1795" w:rsidRDefault="00C45734" w:rsidP="00333B19">
      <w:pPr>
        <w:pStyle w:val="ListeParagraf"/>
        <w:numPr>
          <w:ilvl w:val="0"/>
          <w:numId w:val="1"/>
        </w:numPr>
        <w:tabs>
          <w:tab w:val="left" w:pos="772"/>
        </w:tabs>
        <w:ind w:firstLine="0"/>
        <w:rPr>
          <w:iCs/>
          <w:lang w:val="tr-TR"/>
        </w:rPr>
      </w:pPr>
      <w:r w:rsidRPr="008F1795">
        <w:rPr>
          <w:iCs/>
          <w:lang w:val="tr-TR"/>
        </w:rPr>
        <w:t>Avrupa Konseyi İnsan Hakları Komiseri 10 Ocak 2012 tarihli raporunda</w:t>
      </w:r>
      <w:r w:rsidR="002C0EE2" w:rsidRPr="008F1795">
        <w:rPr>
          <w:iCs/>
          <w:lang w:val="tr-TR"/>
        </w:rPr>
        <w:t>,</w:t>
      </w:r>
      <w:r w:rsidRPr="008F1795">
        <w:rPr>
          <w:rStyle w:val="DipnotBavurusu"/>
          <w:iCs/>
          <w:lang w:val="tr-TR"/>
        </w:rPr>
        <w:footnoteReference w:id="148"/>
      </w:r>
      <w:r w:rsidRPr="008F1795">
        <w:rPr>
          <w:iCs/>
          <w:lang w:val="tr-TR"/>
        </w:rPr>
        <w:t xml:space="preserve"> </w:t>
      </w:r>
      <w:r w:rsidR="00E91ED4" w:rsidRPr="008F1795">
        <w:rPr>
          <w:iCs/>
          <w:lang w:val="tr-TR"/>
        </w:rPr>
        <w:t xml:space="preserve">220. </w:t>
      </w:r>
      <w:r w:rsidR="00241305" w:rsidRPr="008F1795">
        <w:rPr>
          <w:iCs/>
          <w:lang w:val="tr-TR"/>
        </w:rPr>
        <w:t>Madde</w:t>
      </w:r>
      <w:r w:rsidR="00E91ED4" w:rsidRPr="008F1795">
        <w:rPr>
          <w:iCs/>
          <w:lang w:val="tr-TR"/>
        </w:rPr>
        <w:t xml:space="preserve"> ile ilgili esas endişenin, </w:t>
      </w:r>
      <w:r w:rsidR="002C0EE2" w:rsidRPr="008F1795">
        <w:rPr>
          <w:iCs/>
          <w:lang w:val="tr-TR"/>
        </w:rPr>
        <w:t>“</w:t>
      </w:r>
      <w:r w:rsidR="00037C39" w:rsidRPr="008F1795">
        <w:rPr>
          <w:i/>
          <w:lang w:val="tr-TR"/>
        </w:rPr>
        <w:t xml:space="preserve">özellikle terör örgütüne üyeliğin kanıtlanmadığı ve </w:t>
      </w:r>
      <w:r w:rsidR="00CA4CE1" w:rsidRPr="008F1795">
        <w:rPr>
          <w:i/>
          <w:lang w:val="tr-TR"/>
        </w:rPr>
        <w:t xml:space="preserve">bir eylem ya da beyanın terör örgütünün </w:t>
      </w:r>
      <w:r w:rsidR="000B7758" w:rsidRPr="008F1795">
        <w:rPr>
          <w:i/>
          <w:lang w:val="tr-TR"/>
        </w:rPr>
        <w:t>amaçları</w:t>
      </w:r>
      <w:r w:rsidR="00CA4CE1" w:rsidRPr="008F1795">
        <w:rPr>
          <w:i/>
          <w:lang w:val="tr-TR"/>
        </w:rPr>
        <w:t xml:space="preserve"> ya da talimatları ile örtüştü</w:t>
      </w:r>
      <w:r w:rsidR="00E32975" w:rsidRPr="008F1795">
        <w:rPr>
          <w:i/>
          <w:lang w:val="tr-TR"/>
        </w:rPr>
        <w:t>ğü</w:t>
      </w:r>
      <w:r w:rsidR="007C27D4" w:rsidRPr="008F1795">
        <w:rPr>
          <w:i/>
          <w:lang w:val="tr-TR"/>
        </w:rPr>
        <w:t xml:space="preserve">nün </w:t>
      </w:r>
      <w:r w:rsidR="00E32975" w:rsidRPr="008F1795">
        <w:rPr>
          <w:i/>
          <w:lang w:val="tr-TR"/>
        </w:rPr>
        <w:t>düşünül</w:t>
      </w:r>
      <w:r w:rsidR="007C27D4" w:rsidRPr="008F1795">
        <w:rPr>
          <w:i/>
          <w:lang w:val="tr-TR"/>
        </w:rPr>
        <w:t>düğü</w:t>
      </w:r>
      <w:r w:rsidR="00E32975" w:rsidRPr="008F1795">
        <w:rPr>
          <w:i/>
          <w:lang w:val="tr-TR"/>
        </w:rPr>
        <w:t xml:space="preserve"> davalarda, </w:t>
      </w:r>
      <w:r w:rsidR="007E2DAC" w:rsidRPr="008F1795">
        <w:rPr>
          <w:i/>
          <w:lang w:val="tr-TR"/>
        </w:rPr>
        <w:t xml:space="preserve">220. </w:t>
      </w:r>
      <w:r w:rsidR="00241305" w:rsidRPr="008F1795">
        <w:rPr>
          <w:i/>
          <w:lang w:val="tr-TR"/>
        </w:rPr>
        <w:t>Madde</w:t>
      </w:r>
      <w:r w:rsidR="007E2DAC" w:rsidRPr="008F1795">
        <w:rPr>
          <w:i/>
          <w:lang w:val="tr-TR"/>
        </w:rPr>
        <w:t xml:space="preserve">nin </w:t>
      </w:r>
      <w:r w:rsidR="00E32975" w:rsidRPr="008F1795">
        <w:rPr>
          <w:i/>
          <w:lang w:val="tr-TR"/>
        </w:rPr>
        <w:t>çok geniş bir takdir payı bırak</w:t>
      </w:r>
      <w:r w:rsidR="007E2DAC" w:rsidRPr="008F1795">
        <w:rPr>
          <w:i/>
          <w:lang w:val="tr-TR"/>
        </w:rPr>
        <w:t>ması</w:t>
      </w:r>
      <w:r w:rsidR="000415CF" w:rsidRPr="008F1795">
        <w:rPr>
          <w:iCs/>
          <w:lang w:val="tr-TR"/>
        </w:rPr>
        <w:t xml:space="preserve">” olduğunu belirtmiştir. </w:t>
      </w:r>
      <w:r w:rsidR="00A377FF" w:rsidRPr="008F1795">
        <w:rPr>
          <w:lang w:val="tr-TR"/>
        </w:rPr>
        <w:t xml:space="preserve">İnsan Hakları İzleme Örgütünün 1 Kasım 2010 tarihli </w:t>
      </w:r>
      <w:r w:rsidR="00562EC0" w:rsidRPr="008F1795">
        <w:rPr>
          <w:lang w:val="tr-TR"/>
        </w:rPr>
        <w:t>Raporuna göre</w:t>
      </w:r>
      <w:r w:rsidR="008950F4" w:rsidRPr="008F1795">
        <w:rPr>
          <w:lang w:val="tr-TR"/>
        </w:rPr>
        <w:t>, “</w:t>
      </w:r>
      <w:r w:rsidR="008950F4" w:rsidRPr="008F1795">
        <w:rPr>
          <w:i/>
          <w:iCs/>
          <w:lang w:val="tr-TR"/>
        </w:rPr>
        <w:t>bu yasal çerçeve, silahlı bir PKK militanı ve sivil bir gösterici arasında hiçbir ayrım yapmamaktadır</w:t>
      </w:r>
      <w:r w:rsidR="008950F4" w:rsidRPr="008F1795">
        <w:rPr>
          <w:lang w:val="tr-TR"/>
        </w:rPr>
        <w:t>”</w:t>
      </w:r>
      <w:r w:rsidR="00B533C8" w:rsidRPr="008F1795">
        <w:rPr>
          <w:lang w:val="tr-TR"/>
        </w:rPr>
        <w:t xml:space="preserve">. </w:t>
      </w:r>
      <w:r w:rsidR="00CC6820" w:rsidRPr="008F1795">
        <w:rPr>
          <w:lang w:val="tr-TR"/>
        </w:rPr>
        <w:t>Uluslararası Af Örgütü, 27 Mart 2013 tarihli raporunda “</w:t>
      </w:r>
      <w:r w:rsidR="00A27EE7" w:rsidRPr="008F1795">
        <w:rPr>
          <w:i/>
          <w:lang w:val="tr-TR"/>
        </w:rPr>
        <w:t xml:space="preserve">220/6. </w:t>
      </w:r>
      <w:r w:rsidR="00241305" w:rsidRPr="008F1795">
        <w:rPr>
          <w:i/>
          <w:lang w:val="tr-TR"/>
        </w:rPr>
        <w:t>Madde</w:t>
      </w:r>
      <w:r w:rsidR="00375F08" w:rsidRPr="008F1795">
        <w:rPr>
          <w:i/>
          <w:lang w:val="tr-TR"/>
        </w:rPr>
        <w:t>nin</w:t>
      </w:r>
      <w:r w:rsidR="00A27EE7" w:rsidRPr="008F1795">
        <w:rPr>
          <w:i/>
          <w:lang w:val="tr-TR"/>
        </w:rPr>
        <w:t xml:space="preserve"> ne gerçekten terörizmle ilişkili suçlardan dolayı kişilerin yargılanmasında gerekli olduğu, ne de uygulamada ifade özgürlüğü hakkını koruyacak şekilde kullanıldığı</w:t>
      </w:r>
      <w:r w:rsidR="002200AA" w:rsidRPr="008F1795">
        <w:rPr>
          <w:i/>
          <w:lang w:val="tr-TR"/>
        </w:rPr>
        <w:t xml:space="preserve">” </w:t>
      </w:r>
      <w:r w:rsidR="00632A88" w:rsidRPr="008F1795">
        <w:rPr>
          <w:iCs/>
          <w:lang w:val="tr-TR"/>
        </w:rPr>
        <w:t>değerlendirmesini yapmıştır</w:t>
      </w:r>
      <w:r w:rsidR="00375F08" w:rsidRPr="008F1795">
        <w:rPr>
          <w:i/>
          <w:lang w:val="tr-TR"/>
        </w:rPr>
        <w:t>.</w:t>
      </w:r>
      <w:r w:rsidR="00197939" w:rsidRPr="008F1795">
        <w:rPr>
          <w:rStyle w:val="DipnotBavurusu"/>
          <w:i/>
          <w:lang w:val="tr-TR"/>
        </w:rPr>
        <w:footnoteReference w:id="149"/>
      </w:r>
    </w:p>
    <w:p w14:paraId="16698D9C" w14:textId="77777777" w:rsidR="00B74CEA" w:rsidRPr="008F1795" w:rsidRDefault="00B74CEA">
      <w:pPr>
        <w:pStyle w:val="GvdeMetni"/>
        <w:spacing w:before="11"/>
        <w:rPr>
          <w:sz w:val="21"/>
          <w:lang w:val="tr-TR"/>
        </w:rPr>
      </w:pPr>
    </w:p>
    <w:p w14:paraId="75506EDA" w14:textId="0A11942F" w:rsidR="00441BEC" w:rsidRPr="008F1795" w:rsidRDefault="00441BEC" w:rsidP="00D8383E">
      <w:pPr>
        <w:pStyle w:val="ListeParagraf"/>
        <w:numPr>
          <w:ilvl w:val="0"/>
          <w:numId w:val="1"/>
        </w:numPr>
        <w:tabs>
          <w:tab w:val="left" w:pos="787"/>
        </w:tabs>
        <w:ind w:right="212" w:firstLine="86"/>
        <w:rPr>
          <w:lang w:val="tr-TR"/>
        </w:rPr>
      </w:pPr>
      <w:r w:rsidRPr="008F1795">
        <w:rPr>
          <w:lang w:val="tr-TR"/>
        </w:rPr>
        <w:t xml:space="preserve">Bu eleştiriye </w:t>
      </w:r>
      <w:r w:rsidR="00C07631" w:rsidRPr="008F1795">
        <w:rPr>
          <w:lang w:val="tr-TR"/>
        </w:rPr>
        <w:t>karşılık</w:t>
      </w:r>
      <w:r w:rsidRPr="008F1795">
        <w:rPr>
          <w:lang w:val="tr-TR"/>
        </w:rPr>
        <w:t xml:space="preserve"> olarak, </w:t>
      </w:r>
      <w:r w:rsidR="00C07631" w:rsidRPr="008F1795">
        <w:rPr>
          <w:lang w:val="tr-TR"/>
        </w:rPr>
        <w:t xml:space="preserve">11 Nisan 2013 tarihli </w:t>
      </w:r>
      <w:r w:rsidR="00CD18BC" w:rsidRPr="008F1795">
        <w:rPr>
          <w:lang w:val="tr-TR"/>
        </w:rPr>
        <w:t xml:space="preserve">kanun </w:t>
      </w:r>
      <w:r w:rsidR="00C07631" w:rsidRPr="008F1795">
        <w:rPr>
          <w:lang w:val="tr-TR"/>
        </w:rPr>
        <w:t>değişikli</w:t>
      </w:r>
      <w:r w:rsidR="00CD18BC" w:rsidRPr="008F1795">
        <w:rPr>
          <w:lang w:val="tr-TR"/>
        </w:rPr>
        <w:t>ği</w:t>
      </w:r>
      <w:r w:rsidR="00C07631" w:rsidRPr="008F1795">
        <w:rPr>
          <w:lang w:val="tr-TR"/>
        </w:rPr>
        <w:t xml:space="preserve"> </w:t>
      </w:r>
      <w:r w:rsidR="00CD18BC" w:rsidRPr="008F1795">
        <w:rPr>
          <w:lang w:val="tr-TR"/>
        </w:rPr>
        <w:t>ile</w:t>
      </w:r>
      <w:r w:rsidR="00C07631" w:rsidRPr="008F1795">
        <w:rPr>
          <w:lang w:val="tr-TR"/>
        </w:rPr>
        <w:t xml:space="preserve"> 3713 sayılı Terörle Mücadele Kanununun 7. </w:t>
      </w:r>
      <w:r w:rsidR="00241305" w:rsidRPr="008F1795">
        <w:rPr>
          <w:lang w:val="tr-TR"/>
        </w:rPr>
        <w:t>Madde</w:t>
      </w:r>
      <w:r w:rsidR="00C07631" w:rsidRPr="008F1795">
        <w:rPr>
          <w:lang w:val="tr-TR"/>
        </w:rPr>
        <w:t xml:space="preserve">sine </w:t>
      </w:r>
      <w:r w:rsidR="00CD18BC" w:rsidRPr="008F1795">
        <w:rPr>
          <w:lang w:val="tr-TR"/>
        </w:rPr>
        <w:t>yeni bir fıkra eklenmiştir. Bu yen</w:t>
      </w:r>
      <w:r w:rsidR="003935E4" w:rsidRPr="008F1795">
        <w:rPr>
          <w:lang w:val="tr-TR"/>
        </w:rPr>
        <w:t>i</w:t>
      </w:r>
      <w:r w:rsidR="00CD18BC" w:rsidRPr="008F1795">
        <w:rPr>
          <w:lang w:val="tr-TR"/>
        </w:rPr>
        <w:t xml:space="preserve"> fıkraya göre, </w:t>
      </w:r>
      <w:r w:rsidR="00BB6438" w:rsidRPr="008F1795">
        <w:rPr>
          <w:lang w:val="tr-TR"/>
        </w:rPr>
        <w:t xml:space="preserve">7. </w:t>
      </w:r>
      <w:r w:rsidR="00241305" w:rsidRPr="008F1795">
        <w:rPr>
          <w:lang w:val="tr-TR"/>
        </w:rPr>
        <w:t>Madde</w:t>
      </w:r>
      <w:r w:rsidR="00BB6438" w:rsidRPr="008F1795">
        <w:rPr>
          <w:lang w:val="tr-TR"/>
        </w:rPr>
        <w:t xml:space="preserve">nin ikinci fıkrasında </w:t>
      </w:r>
      <w:r w:rsidR="002E5973" w:rsidRPr="008F1795">
        <w:rPr>
          <w:lang w:val="tr-TR"/>
        </w:rPr>
        <w:t>belirtilen suçu işleyenler (</w:t>
      </w:r>
      <w:r w:rsidR="00B90904" w:rsidRPr="008F1795">
        <w:rPr>
          <w:lang w:val="tr-TR"/>
        </w:rPr>
        <w:t xml:space="preserve">terör örgütünü destekleyici propaganda yapmak); </w:t>
      </w:r>
      <w:r w:rsidR="00816AAB" w:rsidRPr="008F1795">
        <w:rPr>
          <w:lang w:val="tr-TR"/>
        </w:rPr>
        <w:t xml:space="preserve">6. </w:t>
      </w:r>
      <w:r w:rsidR="00241305" w:rsidRPr="008F1795">
        <w:rPr>
          <w:lang w:val="tr-TR"/>
        </w:rPr>
        <w:t>Madde</w:t>
      </w:r>
      <w:r w:rsidR="00816AAB" w:rsidRPr="008F1795">
        <w:rPr>
          <w:lang w:val="tr-TR"/>
        </w:rPr>
        <w:t>de belirtilen suçu işleyenler (</w:t>
      </w:r>
      <w:r w:rsidR="00011EC7" w:rsidRPr="008F1795">
        <w:rPr>
          <w:lang w:val="tr-TR"/>
        </w:rPr>
        <w:t xml:space="preserve">terör örgütlerinin şiddet içeren veya </w:t>
      </w:r>
      <w:r w:rsidR="009115AF" w:rsidRPr="008F1795">
        <w:rPr>
          <w:lang w:val="tr-TR"/>
        </w:rPr>
        <w:t>tehditkâr</w:t>
      </w:r>
      <w:r w:rsidR="00011EC7" w:rsidRPr="008F1795">
        <w:rPr>
          <w:lang w:val="tr-TR"/>
        </w:rPr>
        <w:t xml:space="preserve"> yöntemlerini meşrulaştıran veya öven ya da bu yöntemlerin kullanılmasını teşvik eden bildirileri basmak ve yaymak)</w:t>
      </w:r>
      <w:r w:rsidR="008243BA" w:rsidRPr="008F1795">
        <w:rPr>
          <w:lang w:val="tr-TR"/>
        </w:rPr>
        <w:t xml:space="preserve">; </w:t>
      </w:r>
      <w:r w:rsidR="00503B51">
        <w:rPr>
          <w:lang w:val="tr-TR"/>
        </w:rPr>
        <w:t xml:space="preserve">ve </w:t>
      </w:r>
      <w:r w:rsidR="00F608AA" w:rsidRPr="008F1795">
        <w:rPr>
          <w:lang w:val="tr-TR"/>
        </w:rPr>
        <w:t xml:space="preserve">2911 sayılı Toplantı ve Gösteri Yürüyüşleri Kanununun 28. </w:t>
      </w:r>
      <w:r w:rsidR="00241305" w:rsidRPr="008F1795">
        <w:rPr>
          <w:lang w:val="tr-TR"/>
        </w:rPr>
        <w:t>madde</w:t>
      </w:r>
      <w:r w:rsidR="00F608AA" w:rsidRPr="008F1795">
        <w:rPr>
          <w:lang w:val="tr-TR"/>
        </w:rPr>
        <w:t xml:space="preserve">sinin 1. fıkrasında </w:t>
      </w:r>
      <w:r w:rsidR="00EA6CFE" w:rsidRPr="008F1795">
        <w:rPr>
          <w:lang w:val="tr-TR"/>
        </w:rPr>
        <w:t xml:space="preserve">belirtilen suçu işleyenler </w:t>
      </w:r>
      <w:r w:rsidR="00F608AA" w:rsidRPr="008F1795">
        <w:rPr>
          <w:lang w:val="tr-TR"/>
        </w:rPr>
        <w:t>(yasadışı gösteriye katılmak)</w:t>
      </w:r>
      <w:r w:rsidR="00EA6CFE" w:rsidRPr="008F1795">
        <w:rPr>
          <w:lang w:val="tr-TR"/>
        </w:rPr>
        <w:t xml:space="preserve">, </w:t>
      </w:r>
      <w:r w:rsidR="009115AF" w:rsidRPr="008F1795">
        <w:rPr>
          <w:lang w:val="tr-TR"/>
        </w:rPr>
        <w:t xml:space="preserve">Ceza Kanununun 220(6). </w:t>
      </w:r>
      <w:r w:rsidR="00241305" w:rsidRPr="008F1795">
        <w:rPr>
          <w:lang w:val="tr-TR"/>
        </w:rPr>
        <w:t>Madde</w:t>
      </w:r>
      <w:r w:rsidR="009115AF" w:rsidRPr="008F1795">
        <w:rPr>
          <w:lang w:val="tr-TR"/>
        </w:rPr>
        <w:t>si uyarınca ayrı</w:t>
      </w:r>
      <w:r w:rsidR="006F7771">
        <w:rPr>
          <w:lang w:val="tr-TR"/>
        </w:rPr>
        <w:t>ca</w:t>
      </w:r>
      <w:r w:rsidR="00CB3B3D" w:rsidRPr="008F1795">
        <w:rPr>
          <w:lang w:val="tr-TR"/>
        </w:rPr>
        <w:t xml:space="preserve"> </w:t>
      </w:r>
      <w:proofErr w:type="gramStart"/>
      <w:r w:rsidR="00CB3B3D" w:rsidRPr="008F1795">
        <w:rPr>
          <w:lang w:val="tr-TR"/>
        </w:rPr>
        <w:t>mahkum</w:t>
      </w:r>
      <w:proofErr w:type="gramEnd"/>
      <w:r w:rsidR="00CB3B3D" w:rsidRPr="008F1795">
        <w:rPr>
          <w:lang w:val="tr-TR"/>
        </w:rPr>
        <w:t xml:space="preserve"> edilmeyecektir. Yetkililer</w:t>
      </w:r>
      <w:r w:rsidR="007F2292" w:rsidRPr="008F1795">
        <w:rPr>
          <w:lang w:val="tr-TR"/>
        </w:rPr>
        <w:t>, bu değişiklik ile birlikte terörle mücadele mevzuatının</w:t>
      </w:r>
      <w:r w:rsidR="00C90145" w:rsidRPr="008F1795">
        <w:rPr>
          <w:lang w:val="tr-TR"/>
        </w:rPr>
        <w:t xml:space="preserve"> </w:t>
      </w:r>
      <w:r w:rsidR="007F2292" w:rsidRPr="008F1795">
        <w:rPr>
          <w:lang w:val="tr-TR"/>
        </w:rPr>
        <w:t>uygulanmasın</w:t>
      </w:r>
      <w:r w:rsidR="00633211">
        <w:rPr>
          <w:lang w:val="tr-TR"/>
        </w:rPr>
        <w:t>d</w:t>
      </w:r>
      <w:r w:rsidR="007F2292" w:rsidRPr="008F1795">
        <w:rPr>
          <w:lang w:val="tr-TR"/>
        </w:rPr>
        <w:t xml:space="preserve">a ifade özgürlüğünün kapsamının genişletildiğini </w:t>
      </w:r>
      <w:r w:rsidR="00C90145" w:rsidRPr="008F1795">
        <w:rPr>
          <w:lang w:val="tr-TR"/>
        </w:rPr>
        <w:t xml:space="preserve">belirtmiştir. </w:t>
      </w:r>
    </w:p>
    <w:p w14:paraId="522C6F52" w14:textId="77777777" w:rsidR="00441BEC" w:rsidRPr="008F1795" w:rsidRDefault="00441BEC" w:rsidP="00441BEC">
      <w:pPr>
        <w:pStyle w:val="ListeParagraf"/>
        <w:tabs>
          <w:tab w:val="left" w:pos="787"/>
        </w:tabs>
        <w:ind w:right="212"/>
        <w:rPr>
          <w:lang w:val="tr-TR"/>
        </w:rPr>
      </w:pPr>
    </w:p>
    <w:p w14:paraId="744C81B3" w14:textId="045A8AEA" w:rsidR="00C90145" w:rsidRPr="008F1795" w:rsidRDefault="00C90145">
      <w:pPr>
        <w:pStyle w:val="ListeParagraf"/>
        <w:numPr>
          <w:ilvl w:val="0"/>
          <w:numId w:val="1"/>
        </w:numPr>
        <w:tabs>
          <w:tab w:val="left" w:pos="775"/>
        </w:tabs>
        <w:ind w:right="214" w:firstLine="0"/>
        <w:rPr>
          <w:lang w:val="tr-TR"/>
        </w:rPr>
      </w:pPr>
      <w:r w:rsidRPr="008F1795">
        <w:rPr>
          <w:lang w:val="tr-TR"/>
        </w:rPr>
        <w:t>Venedik Komisyonu</w:t>
      </w:r>
      <w:r w:rsidR="00491256" w:rsidRPr="008F1795">
        <w:rPr>
          <w:lang w:val="tr-TR"/>
        </w:rPr>
        <w:t xml:space="preserve">, </w:t>
      </w:r>
      <w:r w:rsidR="00404155" w:rsidRPr="008F1795">
        <w:rPr>
          <w:lang w:val="tr-TR"/>
        </w:rPr>
        <w:t xml:space="preserve">Terörle Mücadele Kanununun 7. </w:t>
      </w:r>
      <w:r w:rsidR="00241305" w:rsidRPr="008F1795">
        <w:rPr>
          <w:lang w:val="tr-TR"/>
        </w:rPr>
        <w:t>Madde</w:t>
      </w:r>
      <w:r w:rsidR="00404155" w:rsidRPr="008F1795">
        <w:rPr>
          <w:lang w:val="tr-TR"/>
        </w:rPr>
        <w:t xml:space="preserve">sinde yapılan bu değişiklik ile </w:t>
      </w:r>
      <w:r w:rsidR="00491256" w:rsidRPr="008F1795">
        <w:rPr>
          <w:lang w:val="tr-TR"/>
        </w:rPr>
        <w:t xml:space="preserve">yukarıda belirtilen suçların 220(6). </w:t>
      </w:r>
      <w:r w:rsidR="00241305" w:rsidRPr="008F1795">
        <w:rPr>
          <w:lang w:val="tr-TR"/>
        </w:rPr>
        <w:t>Madde</w:t>
      </w:r>
      <w:r w:rsidR="00404155" w:rsidRPr="008F1795">
        <w:rPr>
          <w:lang w:val="tr-TR"/>
        </w:rPr>
        <w:t>nin uygula</w:t>
      </w:r>
      <w:r w:rsidR="00633211">
        <w:rPr>
          <w:lang w:val="tr-TR"/>
        </w:rPr>
        <w:t>ma</w:t>
      </w:r>
      <w:r w:rsidR="00404155" w:rsidRPr="008F1795">
        <w:rPr>
          <w:lang w:val="tr-TR"/>
        </w:rPr>
        <w:t xml:space="preserve"> kapsamından çıkartılmasını memnuniyetle karşılamaktadır. Bu değişiklik ile bu suçları işlemekle itham edilen şüpheliler, </w:t>
      </w:r>
      <w:r w:rsidR="0060307E" w:rsidRPr="008F1795">
        <w:rPr>
          <w:lang w:val="tr-TR"/>
        </w:rPr>
        <w:t xml:space="preserve">314. </w:t>
      </w:r>
      <w:r w:rsidR="00241305" w:rsidRPr="008F1795">
        <w:rPr>
          <w:lang w:val="tr-TR"/>
        </w:rPr>
        <w:t>Madde</w:t>
      </w:r>
      <w:r w:rsidR="0060307E" w:rsidRPr="008F1795">
        <w:rPr>
          <w:lang w:val="tr-TR"/>
        </w:rPr>
        <w:t xml:space="preserve"> uyarınca silahlı örgüt üyesi olmak ile ayrıca cezalandırılmayacaktır. </w:t>
      </w:r>
    </w:p>
    <w:p w14:paraId="6CC032A8" w14:textId="77777777" w:rsidR="00C90145" w:rsidRPr="008F1795" w:rsidRDefault="00C90145" w:rsidP="00C90145">
      <w:pPr>
        <w:pStyle w:val="ListeParagraf"/>
        <w:tabs>
          <w:tab w:val="left" w:pos="775"/>
        </w:tabs>
        <w:ind w:right="214"/>
        <w:rPr>
          <w:lang w:val="tr-TR"/>
        </w:rPr>
      </w:pPr>
    </w:p>
    <w:p w14:paraId="66BFF1CC" w14:textId="28BED3DF" w:rsidR="00923B7C" w:rsidRPr="008F1795" w:rsidRDefault="00D30ADC" w:rsidP="00923B7C">
      <w:pPr>
        <w:pStyle w:val="ListeParagraf"/>
        <w:numPr>
          <w:ilvl w:val="0"/>
          <w:numId w:val="1"/>
        </w:numPr>
        <w:tabs>
          <w:tab w:val="left" w:pos="787"/>
        </w:tabs>
        <w:ind w:right="215" w:firstLine="0"/>
        <w:rPr>
          <w:lang w:val="tr-TR"/>
        </w:rPr>
      </w:pPr>
      <w:r w:rsidRPr="008F1795">
        <w:rPr>
          <w:lang w:val="tr-TR"/>
        </w:rPr>
        <w:t>Ancak Venedik Komisyonu, bu değişikliğin kapsamını</w:t>
      </w:r>
      <w:r w:rsidR="00B05B08" w:rsidRPr="008F1795">
        <w:rPr>
          <w:lang w:val="tr-TR"/>
        </w:rPr>
        <w:t>n</w:t>
      </w:r>
      <w:r w:rsidRPr="008F1795">
        <w:rPr>
          <w:lang w:val="tr-TR"/>
        </w:rPr>
        <w:t xml:space="preserve"> oldukça sınırlı olduğu</w:t>
      </w:r>
      <w:r w:rsidR="00B05B08" w:rsidRPr="008F1795">
        <w:rPr>
          <w:lang w:val="tr-TR"/>
        </w:rPr>
        <w:t xml:space="preserve"> ve ifade özgürlüğü ve özellikle toplanma özgürlüğünün kullanılmasın</w:t>
      </w:r>
      <w:r w:rsidR="00AC0752" w:rsidRPr="008F1795">
        <w:rPr>
          <w:lang w:val="tr-TR"/>
        </w:rPr>
        <w:t>a yönelik</w:t>
      </w:r>
      <w:r w:rsidR="00B05B08" w:rsidRPr="008F1795">
        <w:rPr>
          <w:lang w:val="tr-TR"/>
        </w:rPr>
        <w:t xml:space="preserve"> yeterli koruma sağlamadığı kanaatindedir. </w:t>
      </w:r>
      <w:r w:rsidR="00E57020" w:rsidRPr="008F1795">
        <w:rPr>
          <w:lang w:val="tr-TR"/>
        </w:rPr>
        <w:t xml:space="preserve">İlk olarak, Terörle Mücadele Kanununun 7. </w:t>
      </w:r>
      <w:r w:rsidR="00241305" w:rsidRPr="008F1795">
        <w:rPr>
          <w:lang w:val="tr-TR"/>
        </w:rPr>
        <w:t>Madde</w:t>
      </w:r>
      <w:r w:rsidR="00E57020" w:rsidRPr="008F1795">
        <w:rPr>
          <w:lang w:val="tr-TR"/>
        </w:rPr>
        <w:t xml:space="preserve">sinde yapılan </w:t>
      </w:r>
      <w:r w:rsidR="00E57020" w:rsidRPr="008F1795">
        <w:rPr>
          <w:lang w:val="tr-TR"/>
        </w:rPr>
        <w:lastRenderedPageBreak/>
        <w:t xml:space="preserve">değişiklik, yukarıda belirtilen suçları sadece 220(6). </w:t>
      </w:r>
      <w:r w:rsidR="00241305" w:rsidRPr="008F1795">
        <w:rPr>
          <w:lang w:val="tr-TR"/>
        </w:rPr>
        <w:t>Madde</w:t>
      </w:r>
      <w:r w:rsidR="00E57020" w:rsidRPr="008F1795">
        <w:rPr>
          <w:lang w:val="tr-TR"/>
        </w:rPr>
        <w:t>nin uygulama kapsamında</w:t>
      </w:r>
      <w:r w:rsidR="00F556FF" w:rsidRPr="008F1795">
        <w:rPr>
          <w:lang w:val="tr-TR"/>
        </w:rPr>
        <w:t>n</w:t>
      </w:r>
      <w:r w:rsidR="00E57020" w:rsidRPr="008F1795">
        <w:rPr>
          <w:lang w:val="tr-TR"/>
        </w:rPr>
        <w:t xml:space="preserve"> çıkartmıştır. </w:t>
      </w:r>
      <w:r w:rsidR="00F13042" w:rsidRPr="008F1795">
        <w:rPr>
          <w:lang w:val="tr-TR"/>
        </w:rPr>
        <w:t xml:space="preserve">Halbuki, </w:t>
      </w:r>
      <w:r w:rsidR="00F24CC3" w:rsidRPr="008F1795">
        <w:rPr>
          <w:lang w:val="tr-TR"/>
        </w:rPr>
        <w:t>11. Paragrafta belirtildiği gibi</w:t>
      </w:r>
      <w:r w:rsidR="00E60818" w:rsidRPr="008F1795">
        <w:rPr>
          <w:lang w:val="tr-TR"/>
        </w:rPr>
        <w:t>,</w:t>
      </w:r>
      <w:r w:rsidR="00F24CC3" w:rsidRPr="008F1795">
        <w:rPr>
          <w:lang w:val="tr-TR"/>
        </w:rPr>
        <w:t xml:space="preserve"> Yargıtay kararlarına </w:t>
      </w:r>
      <w:r w:rsidR="00E60818" w:rsidRPr="008F1795">
        <w:rPr>
          <w:lang w:val="tr-TR"/>
        </w:rPr>
        <w:t xml:space="preserve">göre </w:t>
      </w:r>
      <w:r w:rsidR="00F24CC3" w:rsidRPr="008F1795">
        <w:rPr>
          <w:lang w:val="tr-TR"/>
        </w:rPr>
        <w:t>bazı ifade biçimleri</w:t>
      </w:r>
      <w:r w:rsidR="00A679FD" w:rsidRPr="008F1795">
        <w:rPr>
          <w:lang w:val="tr-TR"/>
        </w:rPr>
        <w:t xml:space="preserve">, 220(7). </w:t>
      </w:r>
      <w:r w:rsidR="00241305" w:rsidRPr="008F1795">
        <w:rPr>
          <w:lang w:val="tr-TR"/>
        </w:rPr>
        <w:t>Madde</w:t>
      </w:r>
      <w:r w:rsidR="00A679FD" w:rsidRPr="008F1795">
        <w:rPr>
          <w:lang w:val="tr-TR"/>
        </w:rPr>
        <w:t xml:space="preserve"> (örgüte yardım etmek) kapsamına da girebilmektedir. Bu durum,</w:t>
      </w:r>
      <w:r w:rsidR="00B633AA" w:rsidRPr="008F1795">
        <w:rPr>
          <w:lang w:val="tr-TR"/>
        </w:rPr>
        <w:t xml:space="preserve"> uygulamada isti</w:t>
      </w:r>
      <w:r w:rsidR="00C45E59" w:rsidRPr="008F1795">
        <w:rPr>
          <w:lang w:val="tr-TR"/>
        </w:rPr>
        <w:t>s</w:t>
      </w:r>
      <w:r w:rsidR="00B633AA" w:rsidRPr="008F1795">
        <w:rPr>
          <w:lang w:val="tr-TR"/>
        </w:rPr>
        <w:t>mar</w:t>
      </w:r>
      <w:r w:rsidR="00957DF9" w:rsidRPr="008F1795">
        <w:rPr>
          <w:lang w:val="tr-TR"/>
        </w:rPr>
        <w:t>a yol açabilir, zira s</w:t>
      </w:r>
      <w:r w:rsidR="00923B7C" w:rsidRPr="008F1795">
        <w:rPr>
          <w:lang w:val="tr-TR"/>
        </w:rPr>
        <w:t>anıkları</w:t>
      </w:r>
      <w:r w:rsidR="007035FF" w:rsidRPr="008F1795">
        <w:rPr>
          <w:lang w:val="tr-TR"/>
        </w:rPr>
        <w:t>n silahlı örgüt ile organik ilişkileri kurulmamış olsa bile</w:t>
      </w:r>
      <w:r w:rsidR="00923B7C" w:rsidRPr="008F1795">
        <w:rPr>
          <w:lang w:val="tr-TR"/>
        </w:rPr>
        <w:t xml:space="preserve"> </w:t>
      </w:r>
      <w:r w:rsidR="00C45E59" w:rsidRPr="008F1795">
        <w:rPr>
          <w:lang w:val="tr-TR"/>
        </w:rPr>
        <w:t xml:space="preserve">314. </w:t>
      </w:r>
      <w:r w:rsidR="00241305" w:rsidRPr="008F1795">
        <w:rPr>
          <w:lang w:val="tr-TR"/>
        </w:rPr>
        <w:t>Madde</w:t>
      </w:r>
      <w:r w:rsidR="00C45E59" w:rsidRPr="008F1795">
        <w:rPr>
          <w:lang w:val="tr-TR"/>
        </w:rPr>
        <w:t xml:space="preserve">ye göre </w:t>
      </w:r>
      <w:r w:rsidR="00923B7C" w:rsidRPr="008F1795">
        <w:rPr>
          <w:lang w:val="tr-TR"/>
        </w:rPr>
        <w:t>silahlı örgüt üyesi</w:t>
      </w:r>
      <w:r w:rsidR="007E24FC" w:rsidRPr="008F1795">
        <w:rPr>
          <w:lang w:val="tr-TR"/>
        </w:rPr>
        <w:t xml:space="preserve"> </w:t>
      </w:r>
      <w:r w:rsidR="000A44EC" w:rsidRPr="008F1795">
        <w:rPr>
          <w:lang w:val="tr-TR"/>
        </w:rPr>
        <w:t>gibi</w:t>
      </w:r>
      <w:r w:rsidR="007E24FC" w:rsidRPr="008F1795">
        <w:rPr>
          <w:lang w:val="tr-TR"/>
        </w:rPr>
        <w:t xml:space="preserve"> </w:t>
      </w:r>
      <w:proofErr w:type="gramStart"/>
      <w:r w:rsidR="007035FF" w:rsidRPr="008F1795">
        <w:rPr>
          <w:lang w:val="tr-TR"/>
        </w:rPr>
        <w:t>mahkum</w:t>
      </w:r>
      <w:proofErr w:type="gramEnd"/>
      <w:r w:rsidR="007035FF" w:rsidRPr="008F1795">
        <w:rPr>
          <w:lang w:val="tr-TR"/>
        </w:rPr>
        <w:t xml:space="preserve"> </w:t>
      </w:r>
      <w:r w:rsidR="00957DF9" w:rsidRPr="008F1795">
        <w:rPr>
          <w:lang w:val="tr-TR"/>
        </w:rPr>
        <w:t>edilmeleri</w:t>
      </w:r>
      <w:r w:rsidR="007035FF" w:rsidRPr="008F1795">
        <w:rPr>
          <w:lang w:val="tr-TR"/>
        </w:rPr>
        <w:t xml:space="preserve"> içi</w:t>
      </w:r>
      <w:r w:rsidR="000A44EC" w:rsidRPr="008F1795">
        <w:rPr>
          <w:lang w:val="tr-TR"/>
        </w:rPr>
        <w:t xml:space="preserve">n, </w:t>
      </w:r>
      <w:r w:rsidR="00957DF9" w:rsidRPr="008F1795">
        <w:rPr>
          <w:lang w:val="tr-TR"/>
        </w:rPr>
        <w:t>ö</w:t>
      </w:r>
      <w:r w:rsidR="00B633AA" w:rsidRPr="008F1795">
        <w:rPr>
          <w:lang w:val="tr-TR"/>
        </w:rPr>
        <w:t>rgütü desteklediği değerlendirilen bir ifade biçimi</w:t>
      </w:r>
      <w:r w:rsidR="00957DF9" w:rsidRPr="008F1795">
        <w:rPr>
          <w:lang w:val="tr-TR"/>
        </w:rPr>
        <w:t xml:space="preserve"> </w:t>
      </w:r>
      <w:r w:rsidR="00C45E59" w:rsidRPr="008F1795">
        <w:rPr>
          <w:lang w:val="tr-TR"/>
        </w:rPr>
        <w:t xml:space="preserve">nedeniyle </w:t>
      </w:r>
      <w:r w:rsidR="000A44EC" w:rsidRPr="008F1795">
        <w:rPr>
          <w:lang w:val="tr-TR"/>
        </w:rPr>
        <w:t xml:space="preserve">220(6) </w:t>
      </w:r>
      <w:r w:rsidR="00241305" w:rsidRPr="008F1795">
        <w:rPr>
          <w:lang w:val="tr-TR"/>
        </w:rPr>
        <w:t>Madde</w:t>
      </w:r>
      <w:r w:rsidR="000A44EC" w:rsidRPr="008F1795">
        <w:rPr>
          <w:lang w:val="tr-TR"/>
        </w:rPr>
        <w:t xml:space="preserve"> yerine 220(7). </w:t>
      </w:r>
      <w:r w:rsidR="00241305" w:rsidRPr="008F1795">
        <w:rPr>
          <w:lang w:val="tr-TR"/>
        </w:rPr>
        <w:t>Madde</w:t>
      </w:r>
      <w:r w:rsidR="000A44EC" w:rsidRPr="008F1795">
        <w:rPr>
          <w:lang w:val="tr-TR"/>
        </w:rPr>
        <w:t xml:space="preserve"> </w:t>
      </w:r>
      <w:r w:rsidR="00B633AA" w:rsidRPr="008F1795">
        <w:rPr>
          <w:lang w:val="tr-TR"/>
        </w:rPr>
        <w:t xml:space="preserve">uyarınca </w:t>
      </w:r>
      <w:r w:rsidR="00E60818" w:rsidRPr="008F1795">
        <w:rPr>
          <w:lang w:val="tr-TR"/>
        </w:rPr>
        <w:t>yaptırım uygulanabilir</w:t>
      </w:r>
      <w:r w:rsidR="00B633AA" w:rsidRPr="008F1795">
        <w:rPr>
          <w:lang w:val="tr-TR"/>
        </w:rPr>
        <w:t xml:space="preserve">. </w:t>
      </w:r>
    </w:p>
    <w:p w14:paraId="30A9B2B5" w14:textId="77777777" w:rsidR="00D30ADC" w:rsidRPr="008F1795" w:rsidRDefault="00D30ADC" w:rsidP="00D30ADC">
      <w:pPr>
        <w:pStyle w:val="ListeParagraf"/>
        <w:tabs>
          <w:tab w:val="left" w:pos="787"/>
        </w:tabs>
        <w:ind w:right="215"/>
        <w:rPr>
          <w:lang w:val="tr-TR"/>
        </w:rPr>
      </w:pPr>
    </w:p>
    <w:p w14:paraId="7471DFE3" w14:textId="4B09E2F0" w:rsidR="00E60818" w:rsidRPr="008F1795" w:rsidRDefault="00E60818">
      <w:pPr>
        <w:pStyle w:val="ListeParagraf"/>
        <w:numPr>
          <w:ilvl w:val="0"/>
          <w:numId w:val="1"/>
        </w:numPr>
        <w:tabs>
          <w:tab w:val="left" w:pos="763"/>
        </w:tabs>
        <w:ind w:firstLine="0"/>
        <w:rPr>
          <w:lang w:val="tr-TR"/>
        </w:rPr>
      </w:pPr>
      <w:r w:rsidRPr="008F1795">
        <w:rPr>
          <w:lang w:val="tr-TR"/>
        </w:rPr>
        <w:t xml:space="preserve">İkinci olarak, Terörle Mücadele Kanununun 7. </w:t>
      </w:r>
      <w:r w:rsidR="00241305" w:rsidRPr="008F1795">
        <w:rPr>
          <w:lang w:val="tr-TR"/>
        </w:rPr>
        <w:t>Madde</w:t>
      </w:r>
      <w:r w:rsidRPr="008F1795">
        <w:rPr>
          <w:lang w:val="tr-TR"/>
        </w:rPr>
        <w:t>sine eklenen yeni fıkra</w:t>
      </w:r>
      <w:r w:rsidR="00C9007A" w:rsidRPr="008F1795">
        <w:rPr>
          <w:lang w:val="tr-TR"/>
        </w:rPr>
        <w:t xml:space="preserve">da, Toplantı ve Gösteri Yürüyüşleri Kanununun 28. </w:t>
      </w:r>
      <w:r w:rsidR="00241305" w:rsidRPr="008F1795">
        <w:rPr>
          <w:lang w:val="tr-TR"/>
        </w:rPr>
        <w:t>Madde</w:t>
      </w:r>
      <w:r w:rsidR="00C9007A" w:rsidRPr="008F1795">
        <w:rPr>
          <w:lang w:val="tr-TR"/>
        </w:rPr>
        <w:t>sine atıfta bulunulmaktadır. Bu yeni fıkra</w:t>
      </w:r>
      <w:r w:rsidR="00BE538C" w:rsidRPr="008F1795">
        <w:rPr>
          <w:lang w:val="tr-TR"/>
        </w:rPr>
        <w:t>da sadece kanuna aykırı gösteri</w:t>
      </w:r>
      <w:r w:rsidR="00FB2C40" w:rsidRPr="008F1795">
        <w:rPr>
          <w:lang w:val="tr-TR"/>
        </w:rPr>
        <w:t xml:space="preserve"> düzenlemek ya da katılmak suç sayılmaktadır</w:t>
      </w:r>
      <w:r w:rsidR="00841B87">
        <w:rPr>
          <w:lang w:val="tr-TR"/>
        </w:rPr>
        <w:t>;</w:t>
      </w:r>
      <w:r w:rsidR="00FB2C40" w:rsidRPr="008F1795">
        <w:rPr>
          <w:lang w:val="tr-TR"/>
        </w:rPr>
        <w:t xml:space="preserve"> </w:t>
      </w:r>
      <w:r w:rsidR="00841B87" w:rsidRPr="008F1795">
        <w:rPr>
          <w:lang w:val="tr-TR"/>
        </w:rPr>
        <w:t>oysaki</w:t>
      </w:r>
      <w:r w:rsidR="00FB2C40" w:rsidRPr="008F1795">
        <w:rPr>
          <w:lang w:val="tr-TR"/>
        </w:rPr>
        <w:t xml:space="preserve"> </w:t>
      </w:r>
      <w:r w:rsidR="00C61166" w:rsidRPr="008F1795">
        <w:rPr>
          <w:lang w:val="tr-TR"/>
        </w:rPr>
        <w:t>Toplantı ve Gösteri Yürüyüşleri Kanununun</w:t>
      </w:r>
      <w:r w:rsidR="00FB2C40" w:rsidRPr="008F1795">
        <w:rPr>
          <w:lang w:val="tr-TR"/>
        </w:rPr>
        <w:t xml:space="preserve"> 32(1). </w:t>
      </w:r>
      <w:r w:rsidR="00241305" w:rsidRPr="008F1795">
        <w:rPr>
          <w:lang w:val="tr-TR"/>
        </w:rPr>
        <w:t>Madde</w:t>
      </w:r>
      <w:r w:rsidR="00FB2C40" w:rsidRPr="008F1795">
        <w:rPr>
          <w:lang w:val="tr-TR"/>
        </w:rPr>
        <w:t>sine</w:t>
      </w:r>
      <w:r w:rsidR="00E411CD" w:rsidRPr="008F1795">
        <w:rPr>
          <w:lang w:val="tr-TR"/>
        </w:rPr>
        <w:t xml:space="preserve"> göre “</w:t>
      </w:r>
      <w:r w:rsidR="00E8021A" w:rsidRPr="008F1795">
        <w:rPr>
          <w:lang w:val="tr-TR"/>
        </w:rPr>
        <w:t xml:space="preserve">gösterilerde </w:t>
      </w:r>
      <w:r w:rsidR="00E411CD" w:rsidRPr="008F1795">
        <w:rPr>
          <w:lang w:val="tr-TR"/>
        </w:rPr>
        <w:t xml:space="preserve">emniyet kuvvetlerinin ihtarına rağmen dağılmamakta ısrar </w:t>
      </w:r>
      <w:r w:rsidR="00E8021A" w:rsidRPr="008F1795">
        <w:rPr>
          <w:lang w:val="tr-TR"/>
        </w:rPr>
        <w:t>etme</w:t>
      </w:r>
      <w:r w:rsidR="00AB15A2" w:rsidRPr="008F1795">
        <w:rPr>
          <w:lang w:val="tr-TR"/>
        </w:rPr>
        <w:t>”</w:t>
      </w:r>
      <w:r w:rsidR="00E8021A" w:rsidRPr="008F1795">
        <w:rPr>
          <w:lang w:val="tr-TR"/>
        </w:rPr>
        <w:t xml:space="preserve"> suç</w:t>
      </w:r>
      <w:r w:rsidR="008774C7" w:rsidRPr="008F1795">
        <w:rPr>
          <w:lang w:val="tr-TR"/>
        </w:rPr>
        <w:t xml:space="preserve">u hala </w:t>
      </w:r>
      <w:r w:rsidR="001412C8" w:rsidRPr="008F1795">
        <w:rPr>
          <w:lang w:val="tr-TR"/>
        </w:rPr>
        <w:t xml:space="preserve">314. </w:t>
      </w:r>
      <w:r w:rsidR="00241305" w:rsidRPr="008F1795">
        <w:rPr>
          <w:lang w:val="tr-TR"/>
        </w:rPr>
        <w:t>Madde</w:t>
      </w:r>
      <w:r w:rsidR="001412C8" w:rsidRPr="008F1795">
        <w:rPr>
          <w:lang w:val="tr-TR"/>
        </w:rPr>
        <w:t xml:space="preserve"> ile birlikte </w:t>
      </w:r>
      <w:r w:rsidR="008774C7" w:rsidRPr="008F1795">
        <w:rPr>
          <w:lang w:val="tr-TR"/>
        </w:rPr>
        <w:t xml:space="preserve">220(6). </w:t>
      </w:r>
      <w:r w:rsidR="00241305" w:rsidRPr="008F1795">
        <w:rPr>
          <w:lang w:val="tr-TR"/>
        </w:rPr>
        <w:t>Madde</w:t>
      </w:r>
      <w:r w:rsidR="008774C7" w:rsidRPr="008F1795">
        <w:rPr>
          <w:lang w:val="tr-TR"/>
        </w:rPr>
        <w:t xml:space="preserve"> (</w:t>
      </w:r>
      <w:r w:rsidR="001412C8" w:rsidRPr="008F1795">
        <w:rPr>
          <w:lang w:val="tr-TR"/>
        </w:rPr>
        <w:t xml:space="preserve">örgüt adına suç işleme) kapsamına girebilmektedir. </w:t>
      </w:r>
    </w:p>
    <w:p w14:paraId="55C13E29" w14:textId="77777777" w:rsidR="00E60818" w:rsidRPr="008F1795" w:rsidRDefault="00E60818" w:rsidP="00E60818">
      <w:pPr>
        <w:pStyle w:val="ListeParagraf"/>
        <w:tabs>
          <w:tab w:val="left" w:pos="763"/>
        </w:tabs>
        <w:rPr>
          <w:lang w:val="tr-TR"/>
        </w:rPr>
      </w:pPr>
    </w:p>
    <w:p w14:paraId="45131CC4" w14:textId="793C027E" w:rsidR="00101CC1" w:rsidRPr="008F1795" w:rsidRDefault="00101CC1">
      <w:pPr>
        <w:pStyle w:val="ListeParagraf"/>
        <w:numPr>
          <w:ilvl w:val="0"/>
          <w:numId w:val="1"/>
        </w:numPr>
        <w:tabs>
          <w:tab w:val="left" w:pos="765"/>
        </w:tabs>
        <w:ind w:firstLine="0"/>
        <w:rPr>
          <w:lang w:val="tr-TR"/>
        </w:rPr>
      </w:pPr>
      <w:r w:rsidRPr="008F1795">
        <w:rPr>
          <w:lang w:val="tr-TR"/>
        </w:rPr>
        <w:t xml:space="preserve">Bu durum, </w:t>
      </w:r>
      <w:r w:rsidR="00E67ABB" w:rsidRPr="008F1795">
        <w:rPr>
          <w:lang w:val="tr-TR"/>
        </w:rPr>
        <w:t>Toplantı ve Gösteri Yürüyüşleri Kanunu</w:t>
      </w:r>
      <w:r w:rsidR="002C5085" w:rsidRPr="008F1795">
        <w:rPr>
          <w:lang w:val="tr-TR"/>
        </w:rPr>
        <w:t xml:space="preserve">nun 28. </w:t>
      </w:r>
      <w:r w:rsidR="00241305" w:rsidRPr="008F1795">
        <w:rPr>
          <w:lang w:val="tr-TR"/>
        </w:rPr>
        <w:t>Madde</w:t>
      </w:r>
      <w:r w:rsidR="002C5085" w:rsidRPr="008F1795">
        <w:rPr>
          <w:lang w:val="tr-TR"/>
        </w:rPr>
        <w:t xml:space="preserve"> dışındaki diğer hükümlerinde belirtilen</w:t>
      </w:r>
      <w:r w:rsidR="00E67ABB" w:rsidRPr="008F1795">
        <w:rPr>
          <w:lang w:val="tr-TR"/>
        </w:rPr>
        <w:t xml:space="preserve"> suç</w:t>
      </w:r>
      <w:r w:rsidR="002C5085" w:rsidRPr="008F1795">
        <w:rPr>
          <w:lang w:val="tr-TR"/>
        </w:rPr>
        <w:t>ları</w:t>
      </w:r>
      <w:r w:rsidR="00E67ABB" w:rsidRPr="008F1795">
        <w:rPr>
          <w:lang w:val="tr-TR"/>
        </w:rPr>
        <w:t xml:space="preserve"> işlediği değerlendirilen kişilere verilen cezaların orantılılığı </w:t>
      </w:r>
      <w:r w:rsidR="002C5085" w:rsidRPr="008F1795">
        <w:rPr>
          <w:lang w:val="tr-TR"/>
        </w:rPr>
        <w:t xml:space="preserve">bakımından problemlere yol açabilir. </w:t>
      </w:r>
      <w:r w:rsidR="00280A31" w:rsidRPr="008F1795">
        <w:rPr>
          <w:lang w:val="tr-TR"/>
        </w:rPr>
        <w:t xml:space="preserve">AİHM </w:t>
      </w:r>
      <w:r w:rsidR="002A0CC3" w:rsidRPr="008F1795">
        <w:rPr>
          <w:i/>
          <w:lang w:val="tr-TR"/>
        </w:rPr>
        <w:t>Gülcü- Türkiye davasında,</w:t>
      </w:r>
      <w:r w:rsidR="002A0CC3" w:rsidRPr="008F1795">
        <w:rPr>
          <w:rStyle w:val="DipnotBavurusu"/>
          <w:i/>
          <w:lang w:val="tr-TR"/>
        </w:rPr>
        <w:footnoteReference w:id="150"/>
      </w:r>
      <w:r w:rsidR="002A0CC3" w:rsidRPr="008F1795">
        <w:rPr>
          <w:i/>
          <w:lang w:val="tr-TR"/>
        </w:rPr>
        <w:t xml:space="preserve"> </w:t>
      </w:r>
      <w:r w:rsidR="007E4F6D" w:rsidRPr="008F1795">
        <w:rPr>
          <w:iCs/>
          <w:lang w:val="tr-TR"/>
        </w:rPr>
        <w:t>başvurucunun</w:t>
      </w:r>
      <w:r w:rsidR="00500A7F" w:rsidRPr="008F1795">
        <w:rPr>
          <w:iCs/>
          <w:lang w:val="tr-TR"/>
        </w:rPr>
        <w:t xml:space="preserve"> iddiaya göre</w:t>
      </w:r>
      <w:r w:rsidR="007E4F6D" w:rsidRPr="008F1795">
        <w:rPr>
          <w:i/>
          <w:lang w:val="tr-TR"/>
        </w:rPr>
        <w:t xml:space="preserve"> </w:t>
      </w:r>
      <w:r w:rsidR="007E4F6D" w:rsidRPr="008F1795">
        <w:rPr>
          <w:iCs/>
          <w:lang w:val="tr-TR"/>
        </w:rPr>
        <w:t xml:space="preserve">silahlı örgütün genel çağrısı üzerinde </w:t>
      </w:r>
      <w:r w:rsidR="00500A7F" w:rsidRPr="008F1795">
        <w:rPr>
          <w:iCs/>
          <w:lang w:val="tr-TR"/>
        </w:rPr>
        <w:t>sokak eylemine katıldığını ve emniyet kuvvetlerine taş</w:t>
      </w:r>
      <w:r w:rsidR="00DB1666" w:rsidRPr="008F1795">
        <w:rPr>
          <w:iCs/>
          <w:lang w:val="tr-TR"/>
        </w:rPr>
        <w:t xml:space="preserve"> attığını, dolayısıyla şiddet eylemine dahi</w:t>
      </w:r>
      <w:r w:rsidR="0084731D">
        <w:rPr>
          <w:iCs/>
          <w:lang w:val="tr-TR"/>
        </w:rPr>
        <w:t>l</w:t>
      </w:r>
      <w:r w:rsidR="00DB1666" w:rsidRPr="008F1795">
        <w:rPr>
          <w:iCs/>
          <w:lang w:val="tr-TR"/>
        </w:rPr>
        <w:t xml:space="preserve"> olduğunu gözlemledikten sonra, başvurucu</w:t>
      </w:r>
      <w:r w:rsidR="00F24755" w:rsidRPr="008F1795">
        <w:rPr>
          <w:iCs/>
          <w:lang w:val="tr-TR"/>
        </w:rPr>
        <w:t>ya</w:t>
      </w:r>
      <w:r w:rsidR="00DB1666" w:rsidRPr="008F1795">
        <w:rPr>
          <w:iCs/>
          <w:lang w:val="tr-TR"/>
        </w:rPr>
        <w:t xml:space="preserve"> </w:t>
      </w:r>
      <w:r w:rsidR="00F24755" w:rsidRPr="008F1795">
        <w:rPr>
          <w:iCs/>
          <w:lang w:val="tr-TR"/>
        </w:rPr>
        <w:t>yaptırım uygu</w:t>
      </w:r>
      <w:r w:rsidR="00D50D19" w:rsidRPr="008F1795">
        <w:rPr>
          <w:iCs/>
          <w:lang w:val="tr-TR"/>
        </w:rPr>
        <w:t xml:space="preserve">lanmasının AİHS 11. </w:t>
      </w:r>
      <w:r w:rsidR="00241305" w:rsidRPr="008F1795">
        <w:rPr>
          <w:iCs/>
          <w:lang w:val="tr-TR"/>
        </w:rPr>
        <w:t>Madde</w:t>
      </w:r>
      <w:r w:rsidR="00D50D19" w:rsidRPr="008F1795">
        <w:rPr>
          <w:iCs/>
          <w:lang w:val="tr-TR"/>
        </w:rPr>
        <w:t>sinde belirtilen teminatlar</w:t>
      </w:r>
      <w:r w:rsidR="0084731D">
        <w:rPr>
          <w:iCs/>
          <w:lang w:val="tr-TR"/>
        </w:rPr>
        <w:t xml:space="preserve"> bakımından</w:t>
      </w:r>
      <w:r w:rsidR="00D50D19" w:rsidRPr="008F1795">
        <w:rPr>
          <w:iCs/>
          <w:lang w:val="tr-TR"/>
        </w:rPr>
        <w:t xml:space="preserve"> uygun olduğunu değerlendirmiştir. Bununla birlikte, </w:t>
      </w:r>
      <w:r w:rsidR="005D7220" w:rsidRPr="008F1795">
        <w:rPr>
          <w:iCs/>
          <w:lang w:val="tr-TR"/>
        </w:rPr>
        <w:t xml:space="preserve">314. </w:t>
      </w:r>
      <w:r w:rsidR="00241305" w:rsidRPr="008F1795">
        <w:rPr>
          <w:iCs/>
          <w:lang w:val="tr-TR"/>
        </w:rPr>
        <w:t>Madde</w:t>
      </w:r>
      <w:r w:rsidR="005D7220" w:rsidRPr="008F1795">
        <w:rPr>
          <w:iCs/>
          <w:lang w:val="tr-TR"/>
        </w:rPr>
        <w:t xml:space="preserve"> ile birlikte </w:t>
      </w:r>
      <w:r w:rsidR="00757BE9" w:rsidRPr="008F1795">
        <w:rPr>
          <w:lang w:val="tr-TR"/>
        </w:rPr>
        <w:t xml:space="preserve">220(6). </w:t>
      </w:r>
      <w:r w:rsidR="00241305" w:rsidRPr="008F1795">
        <w:rPr>
          <w:lang w:val="tr-TR"/>
        </w:rPr>
        <w:t>Madde</w:t>
      </w:r>
      <w:r w:rsidR="005D7220" w:rsidRPr="008F1795">
        <w:rPr>
          <w:lang w:val="tr-TR"/>
        </w:rPr>
        <w:t>ye</w:t>
      </w:r>
      <w:r w:rsidR="00757BE9" w:rsidRPr="008F1795">
        <w:rPr>
          <w:lang w:val="tr-TR"/>
        </w:rPr>
        <w:t xml:space="preserve"> (örgüt adına suç işleme)</w:t>
      </w:r>
      <w:r w:rsidR="005D7220" w:rsidRPr="008F1795">
        <w:rPr>
          <w:lang w:val="tr-TR"/>
        </w:rPr>
        <w:t xml:space="preserve"> göre </w:t>
      </w:r>
      <w:r w:rsidR="005543CD" w:rsidRPr="008F1795">
        <w:rPr>
          <w:lang w:val="tr-TR"/>
        </w:rPr>
        <w:t xml:space="preserve">verilen sert hapis cezası, </w:t>
      </w:r>
      <w:r w:rsidR="0071548C" w:rsidRPr="008F1795">
        <w:rPr>
          <w:lang w:val="tr-TR"/>
        </w:rPr>
        <w:t xml:space="preserve">ulaşılmak istenen </w:t>
      </w:r>
      <w:r w:rsidR="005543CD" w:rsidRPr="008F1795">
        <w:rPr>
          <w:lang w:val="tr-TR"/>
        </w:rPr>
        <w:t>meşru amaç</w:t>
      </w:r>
      <w:r w:rsidR="0071548C" w:rsidRPr="008F1795">
        <w:rPr>
          <w:lang w:val="tr-TR"/>
        </w:rPr>
        <w:t xml:space="preserve"> ile orantılı değildir. Bu </w:t>
      </w:r>
      <w:r w:rsidR="0084731D" w:rsidRPr="008F1795">
        <w:rPr>
          <w:lang w:val="tr-TR"/>
        </w:rPr>
        <w:t>nedenle</w:t>
      </w:r>
      <w:r w:rsidR="0071548C" w:rsidRPr="008F1795">
        <w:rPr>
          <w:lang w:val="tr-TR"/>
        </w:rPr>
        <w:t xml:space="preserve"> Mahkeme, AİHS 11. </w:t>
      </w:r>
      <w:r w:rsidR="00241305" w:rsidRPr="008F1795">
        <w:rPr>
          <w:lang w:val="tr-TR"/>
        </w:rPr>
        <w:t>madde</w:t>
      </w:r>
      <w:r w:rsidR="0071548C" w:rsidRPr="008F1795">
        <w:rPr>
          <w:lang w:val="tr-TR"/>
        </w:rPr>
        <w:t xml:space="preserve">sinin ihlal edildiği kararını vermiştir. </w:t>
      </w:r>
    </w:p>
    <w:p w14:paraId="48B7E2F7" w14:textId="77777777" w:rsidR="00A04BAE" w:rsidRPr="008F1795" w:rsidRDefault="00A04BAE" w:rsidP="00101CC1">
      <w:pPr>
        <w:pStyle w:val="ListeParagraf"/>
        <w:tabs>
          <w:tab w:val="left" w:pos="765"/>
        </w:tabs>
        <w:rPr>
          <w:lang w:val="tr-TR"/>
        </w:rPr>
      </w:pPr>
    </w:p>
    <w:p w14:paraId="03C1E30B" w14:textId="71E3CA84" w:rsidR="0071548C" w:rsidRPr="008F1795" w:rsidRDefault="00A5514F">
      <w:pPr>
        <w:pStyle w:val="ListeParagraf"/>
        <w:numPr>
          <w:ilvl w:val="0"/>
          <w:numId w:val="1"/>
        </w:numPr>
        <w:tabs>
          <w:tab w:val="left" w:pos="801"/>
        </w:tabs>
        <w:ind w:right="219" w:firstLine="0"/>
        <w:rPr>
          <w:lang w:val="tr-TR"/>
        </w:rPr>
      </w:pPr>
      <w:r w:rsidRPr="008F1795">
        <w:rPr>
          <w:lang w:val="tr-TR"/>
        </w:rPr>
        <w:t xml:space="preserve">2014 yılında </w:t>
      </w:r>
      <w:r w:rsidRPr="008F1795">
        <w:rPr>
          <w:i/>
          <w:lang w:val="tr-TR"/>
        </w:rPr>
        <w:t>Nedim Şener davasında</w:t>
      </w:r>
      <w:r w:rsidRPr="008F1795">
        <w:rPr>
          <w:rStyle w:val="DipnotBavurusu"/>
          <w:i/>
          <w:lang w:val="tr-TR"/>
        </w:rPr>
        <w:footnoteReference w:id="151"/>
      </w:r>
      <w:r w:rsidRPr="008F1795">
        <w:rPr>
          <w:i/>
          <w:lang w:val="tr-TR"/>
        </w:rPr>
        <w:t xml:space="preserve"> </w:t>
      </w:r>
      <w:r w:rsidR="009339B5" w:rsidRPr="008F1795">
        <w:rPr>
          <w:iCs/>
          <w:lang w:val="tr-TR"/>
        </w:rPr>
        <w:t xml:space="preserve">başvurucu, </w:t>
      </w:r>
      <w:r w:rsidR="00EB479E" w:rsidRPr="008F1795">
        <w:rPr>
          <w:iCs/>
          <w:lang w:val="tr-TR"/>
        </w:rPr>
        <w:t>iddiaya göre</w:t>
      </w:r>
      <w:r w:rsidR="00CC38AA" w:rsidRPr="008F1795">
        <w:rPr>
          <w:iCs/>
          <w:lang w:val="tr-TR"/>
        </w:rPr>
        <w:t>,</w:t>
      </w:r>
      <w:r w:rsidR="00EB479E" w:rsidRPr="008F1795">
        <w:rPr>
          <w:iCs/>
          <w:lang w:val="tr-TR"/>
        </w:rPr>
        <w:t xml:space="preserve"> suç örgütü üyesi olduğundan şüphe edilen kişilerin talebi üzerine </w:t>
      </w:r>
      <w:r w:rsidR="009339B5" w:rsidRPr="008F1795">
        <w:rPr>
          <w:iCs/>
          <w:lang w:val="tr-TR"/>
        </w:rPr>
        <w:t>hükümet ve yargı makamlarını</w:t>
      </w:r>
      <w:r w:rsidR="00EB479E" w:rsidRPr="008F1795">
        <w:rPr>
          <w:iCs/>
          <w:lang w:val="tr-TR"/>
        </w:rPr>
        <w:t xml:space="preserve">n eylemlerini eleştiren kitapların </w:t>
      </w:r>
      <w:r w:rsidR="00C03FBF" w:rsidRPr="008F1795">
        <w:rPr>
          <w:iCs/>
          <w:lang w:val="tr-TR"/>
        </w:rPr>
        <w:t>hazırlanmasına katkıda bulun</w:t>
      </w:r>
      <w:r w:rsidR="00CC38AA" w:rsidRPr="008F1795">
        <w:rPr>
          <w:iCs/>
          <w:lang w:val="tr-TR"/>
        </w:rPr>
        <w:t>duğu gerekçesiyle</w:t>
      </w:r>
      <w:r w:rsidR="00C03FBF" w:rsidRPr="008F1795">
        <w:rPr>
          <w:iCs/>
          <w:lang w:val="tr-TR"/>
        </w:rPr>
        <w:t xml:space="preserve"> yargılanmıştır. </w:t>
      </w:r>
      <w:r w:rsidR="003D0692" w:rsidRPr="008F1795">
        <w:rPr>
          <w:iCs/>
          <w:lang w:val="tr-TR"/>
        </w:rPr>
        <w:t xml:space="preserve">314. </w:t>
      </w:r>
      <w:r w:rsidR="00241305" w:rsidRPr="008F1795">
        <w:rPr>
          <w:iCs/>
          <w:lang w:val="tr-TR"/>
        </w:rPr>
        <w:t>Madde</w:t>
      </w:r>
      <w:r w:rsidR="00C80EAC" w:rsidRPr="008F1795">
        <w:rPr>
          <w:iCs/>
          <w:lang w:val="tr-TR"/>
        </w:rPr>
        <w:t xml:space="preserve"> ile birlikte </w:t>
      </w:r>
      <w:r w:rsidR="00376242" w:rsidRPr="008F1795">
        <w:rPr>
          <w:iCs/>
          <w:lang w:val="tr-TR"/>
        </w:rPr>
        <w:t xml:space="preserve">uygulanan </w:t>
      </w:r>
      <w:r w:rsidR="003D0692" w:rsidRPr="008F1795">
        <w:rPr>
          <w:lang w:val="tr-TR"/>
        </w:rPr>
        <w:t xml:space="preserve">220(7). </w:t>
      </w:r>
      <w:r w:rsidR="00241305" w:rsidRPr="008F1795">
        <w:rPr>
          <w:lang w:val="tr-TR"/>
        </w:rPr>
        <w:t>Madde</w:t>
      </w:r>
      <w:r w:rsidR="00C80EAC" w:rsidRPr="008F1795">
        <w:rPr>
          <w:lang w:val="tr-TR"/>
        </w:rPr>
        <w:t>ye</w:t>
      </w:r>
      <w:r w:rsidR="003D0692" w:rsidRPr="008F1795">
        <w:rPr>
          <w:lang w:val="tr-TR"/>
        </w:rPr>
        <w:t xml:space="preserve"> (örgüte yardım etmek) </w:t>
      </w:r>
      <w:r w:rsidR="00C80EAC" w:rsidRPr="008F1795">
        <w:rPr>
          <w:lang w:val="tr-TR"/>
        </w:rPr>
        <w:t xml:space="preserve">göre </w:t>
      </w:r>
      <w:r w:rsidR="003D0692" w:rsidRPr="008F1795">
        <w:rPr>
          <w:lang w:val="tr-TR"/>
        </w:rPr>
        <w:t xml:space="preserve">yargılanmıştır. </w:t>
      </w:r>
      <w:r w:rsidR="0056529D" w:rsidRPr="008F1795">
        <w:rPr>
          <w:lang w:val="tr-TR"/>
        </w:rPr>
        <w:t xml:space="preserve">AİHM </w:t>
      </w:r>
      <w:r w:rsidR="00113066">
        <w:rPr>
          <w:lang w:val="tr-TR"/>
        </w:rPr>
        <w:t>b</w:t>
      </w:r>
      <w:r w:rsidR="0056529D" w:rsidRPr="008F1795">
        <w:rPr>
          <w:lang w:val="tr-TR"/>
        </w:rPr>
        <w:t xml:space="preserve">u davada, AİHS 10. </w:t>
      </w:r>
      <w:r w:rsidR="00241305" w:rsidRPr="008F1795">
        <w:rPr>
          <w:lang w:val="tr-TR"/>
        </w:rPr>
        <w:t>Madde</w:t>
      </w:r>
      <w:r w:rsidR="0056529D" w:rsidRPr="008F1795">
        <w:rPr>
          <w:lang w:val="tr-TR"/>
        </w:rPr>
        <w:t>si</w:t>
      </w:r>
      <w:r w:rsidR="00A04BAE" w:rsidRPr="008F1795">
        <w:rPr>
          <w:lang w:val="tr-TR"/>
        </w:rPr>
        <w:t xml:space="preserve">ne göre ifade özgürlüğü hakkının ihlal edildiğine karar vermiştir. Bu </w:t>
      </w:r>
      <w:r w:rsidR="00D8383E" w:rsidRPr="008F1795">
        <w:rPr>
          <w:lang w:val="tr-TR"/>
        </w:rPr>
        <w:t>karar</w:t>
      </w:r>
      <w:r w:rsidR="006442A9" w:rsidRPr="008F1795">
        <w:rPr>
          <w:lang w:val="tr-TR"/>
        </w:rPr>
        <w:t xml:space="preserve"> </w:t>
      </w:r>
      <w:r w:rsidR="00D8670F" w:rsidRPr="008F1795">
        <w:rPr>
          <w:lang w:val="tr-TR"/>
        </w:rPr>
        <w:t>esasen</w:t>
      </w:r>
      <w:r w:rsidR="00A04BAE" w:rsidRPr="008F1795">
        <w:rPr>
          <w:lang w:val="tr-TR"/>
        </w:rPr>
        <w:t xml:space="preserve">, </w:t>
      </w:r>
      <w:r w:rsidR="0051503A" w:rsidRPr="008F1795">
        <w:rPr>
          <w:lang w:val="tr-TR"/>
        </w:rPr>
        <w:t xml:space="preserve">Türkiye demokratik </w:t>
      </w:r>
      <w:r w:rsidR="00D8670F" w:rsidRPr="008F1795">
        <w:rPr>
          <w:lang w:val="tr-TR"/>
        </w:rPr>
        <w:t>toplumlar</w:t>
      </w:r>
      <w:r w:rsidR="00D8383E" w:rsidRPr="008F1795">
        <w:rPr>
          <w:lang w:val="tr-TR"/>
        </w:rPr>
        <w:t>da aranan</w:t>
      </w:r>
      <w:r w:rsidR="006442A9" w:rsidRPr="008F1795">
        <w:rPr>
          <w:lang w:val="tr-TR"/>
        </w:rPr>
        <w:t xml:space="preserve"> </w:t>
      </w:r>
      <w:r w:rsidR="0051503A" w:rsidRPr="008F1795">
        <w:rPr>
          <w:lang w:val="tr-TR"/>
        </w:rPr>
        <w:t xml:space="preserve">gereklilik </w:t>
      </w:r>
      <w:r w:rsidR="006442A9" w:rsidRPr="008F1795">
        <w:rPr>
          <w:lang w:val="tr-TR"/>
        </w:rPr>
        <w:t>şartını yerine getirmem</w:t>
      </w:r>
      <w:r w:rsidR="004D3DA0" w:rsidRPr="008F1795">
        <w:rPr>
          <w:lang w:val="tr-TR"/>
        </w:rPr>
        <w:t>iş olduğu için verilmiştir</w:t>
      </w:r>
      <w:r w:rsidR="00D8383E" w:rsidRPr="008F1795">
        <w:rPr>
          <w:lang w:val="tr-TR"/>
        </w:rPr>
        <w:t xml:space="preserve"> (müdahale </w:t>
      </w:r>
      <w:r w:rsidR="005458DE">
        <w:rPr>
          <w:lang w:val="tr-TR"/>
        </w:rPr>
        <w:t>zorlayıcı bir toplumsal</w:t>
      </w:r>
      <w:r w:rsidR="00D8383E" w:rsidRPr="008F1795">
        <w:rPr>
          <w:lang w:val="tr-TR"/>
        </w:rPr>
        <w:t xml:space="preserve"> ihtiyacı karşılamamıştır ve meşru amaçlar ile orantılı değildir</w:t>
      </w:r>
      <w:r w:rsidR="00D8383E" w:rsidRPr="008F1795">
        <w:rPr>
          <w:rStyle w:val="DipnotBavurusu"/>
          <w:lang w:val="tr-TR"/>
        </w:rPr>
        <w:footnoteReference w:id="152"/>
      </w:r>
      <w:r w:rsidR="00D8383E" w:rsidRPr="008F1795">
        <w:rPr>
          <w:lang w:val="tr-TR"/>
        </w:rPr>
        <w:t xml:space="preserve">). Mahkeme aynı zamanda, </w:t>
      </w:r>
      <w:r w:rsidR="00F258C5" w:rsidRPr="008F1795">
        <w:rPr>
          <w:lang w:val="tr-TR"/>
        </w:rPr>
        <w:t xml:space="preserve">314. </w:t>
      </w:r>
      <w:r w:rsidR="00241305" w:rsidRPr="008F1795">
        <w:rPr>
          <w:lang w:val="tr-TR"/>
        </w:rPr>
        <w:t>Madde</w:t>
      </w:r>
      <w:r w:rsidR="00F258C5" w:rsidRPr="008F1795">
        <w:rPr>
          <w:lang w:val="tr-TR"/>
        </w:rPr>
        <w:t xml:space="preserve"> ile birlikte 220. </w:t>
      </w:r>
      <w:r w:rsidR="00241305" w:rsidRPr="008F1795">
        <w:rPr>
          <w:lang w:val="tr-TR"/>
        </w:rPr>
        <w:t>Madde</w:t>
      </w:r>
      <w:r w:rsidR="00F258C5" w:rsidRPr="008F1795">
        <w:rPr>
          <w:rStyle w:val="DipnotBavurusu"/>
          <w:lang w:val="tr-TR"/>
        </w:rPr>
        <w:footnoteReference w:id="153"/>
      </w:r>
      <w:r w:rsidR="00F258C5" w:rsidRPr="008F1795">
        <w:rPr>
          <w:lang w:val="tr-TR"/>
        </w:rPr>
        <w:t xml:space="preserve"> uyarınca yapılan yargılamanın öngörülebilirliğine </w:t>
      </w:r>
      <w:r w:rsidR="00472F50" w:rsidRPr="008F1795">
        <w:rPr>
          <w:lang w:val="tr-TR"/>
        </w:rPr>
        <w:t xml:space="preserve">ve </w:t>
      </w:r>
      <w:r w:rsidR="003F7AF8" w:rsidRPr="008F1795">
        <w:rPr>
          <w:lang w:val="tr-TR"/>
        </w:rPr>
        <w:t>ayrıca</w:t>
      </w:r>
      <w:r w:rsidR="00472F50" w:rsidRPr="008F1795">
        <w:rPr>
          <w:lang w:val="tr-TR"/>
        </w:rPr>
        <w:t xml:space="preserve"> müdahale</w:t>
      </w:r>
      <w:r w:rsidR="003F7AF8" w:rsidRPr="008F1795">
        <w:rPr>
          <w:rStyle w:val="DipnotBavurusu"/>
          <w:lang w:val="tr-TR"/>
        </w:rPr>
        <w:footnoteReference w:id="154"/>
      </w:r>
      <w:r w:rsidR="00472F50" w:rsidRPr="008F1795">
        <w:rPr>
          <w:lang w:val="tr-TR"/>
        </w:rPr>
        <w:t xml:space="preserve"> ile </w:t>
      </w:r>
      <w:r w:rsidR="003F7AF8" w:rsidRPr="008F1795">
        <w:rPr>
          <w:lang w:val="tr-TR"/>
        </w:rPr>
        <w:t xml:space="preserve">ulaşılmak istenen meşru amaca </w:t>
      </w:r>
      <w:r w:rsidR="00F258C5" w:rsidRPr="008F1795">
        <w:rPr>
          <w:lang w:val="tr-TR"/>
        </w:rPr>
        <w:t xml:space="preserve">ilişkin şüphe duyduğunu ifade etmiştir. </w:t>
      </w:r>
      <w:r w:rsidR="00D03F3B" w:rsidRPr="008F1795">
        <w:rPr>
          <w:lang w:val="tr-TR"/>
        </w:rPr>
        <w:t xml:space="preserve">Bu iki </w:t>
      </w:r>
      <w:r w:rsidR="000764D7" w:rsidRPr="008F1795">
        <w:rPr>
          <w:lang w:val="tr-TR"/>
        </w:rPr>
        <w:t>görüş</w:t>
      </w:r>
      <w:r w:rsidR="00D03F3B" w:rsidRPr="008F1795">
        <w:rPr>
          <w:lang w:val="tr-TR"/>
        </w:rPr>
        <w:t xml:space="preserve"> </w:t>
      </w:r>
      <w:r w:rsidR="00EA3115">
        <w:rPr>
          <w:lang w:val="tr-TR"/>
        </w:rPr>
        <w:t xml:space="preserve">bu </w:t>
      </w:r>
      <w:r w:rsidR="00D03F3B" w:rsidRPr="008F1795">
        <w:rPr>
          <w:lang w:val="tr-TR"/>
        </w:rPr>
        <w:t>davaya özel olmasına rağmen</w:t>
      </w:r>
      <w:r w:rsidR="000764D7" w:rsidRPr="008F1795">
        <w:rPr>
          <w:lang w:val="tr-TR"/>
        </w:rPr>
        <w:t xml:space="preserve">, </w:t>
      </w:r>
      <w:r w:rsidR="00376242" w:rsidRPr="008F1795">
        <w:rPr>
          <w:lang w:val="tr-TR"/>
        </w:rPr>
        <w:t xml:space="preserve">314. </w:t>
      </w:r>
      <w:r w:rsidR="00241305" w:rsidRPr="008F1795">
        <w:rPr>
          <w:lang w:val="tr-TR"/>
        </w:rPr>
        <w:t>madde</w:t>
      </w:r>
      <w:r w:rsidR="00376242" w:rsidRPr="008F1795">
        <w:rPr>
          <w:lang w:val="tr-TR"/>
        </w:rPr>
        <w:t xml:space="preserve">nin 220. </w:t>
      </w:r>
      <w:r w:rsidR="00241305" w:rsidRPr="008F1795">
        <w:rPr>
          <w:lang w:val="tr-TR"/>
        </w:rPr>
        <w:t>madde</w:t>
      </w:r>
      <w:r w:rsidR="00376242" w:rsidRPr="008F1795">
        <w:rPr>
          <w:lang w:val="tr-TR"/>
        </w:rPr>
        <w:t xml:space="preserve"> ile birlikte uygulanmasın</w:t>
      </w:r>
      <w:r w:rsidR="009E1DC6" w:rsidRPr="008F1795">
        <w:rPr>
          <w:lang w:val="tr-TR"/>
        </w:rPr>
        <w:t xml:space="preserve">a ilişkin </w:t>
      </w:r>
      <w:r w:rsidR="00E7263B" w:rsidRPr="008F1795">
        <w:rPr>
          <w:lang w:val="tr-TR"/>
        </w:rPr>
        <w:t xml:space="preserve">metnin tamamen </w:t>
      </w:r>
      <w:r w:rsidR="001B6E5E" w:rsidRPr="008F1795">
        <w:rPr>
          <w:lang w:val="tr-TR"/>
        </w:rPr>
        <w:t>açık</w:t>
      </w:r>
      <w:r w:rsidR="00E7263B" w:rsidRPr="008F1795">
        <w:rPr>
          <w:lang w:val="tr-TR"/>
        </w:rPr>
        <w:t xml:space="preserve"> olmadığını ve bu uygulamanın zorluklara yol açtığını göstermektedir. </w:t>
      </w:r>
    </w:p>
    <w:p w14:paraId="07A7E940" w14:textId="77777777" w:rsidR="0071548C" w:rsidRPr="008F1795" w:rsidRDefault="0071548C" w:rsidP="0071548C">
      <w:pPr>
        <w:pStyle w:val="ListeParagraf"/>
        <w:tabs>
          <w:tab w:val="left" w:pos="801"/>
        </w:tabs>
        <w:ind w:right="219"/>
        <w:rPr>
          <w:lang w:val="tr-TR"/>
        </w:rPr>
      </w:pPr>
    </w:p>
    <w:p w14:paraId="6C320129" w14:textId="48FCE4B9" w:rsidR="00C63E00" w:rsidRPr="008F1795" w:rsidRDefault="00C63E00">
      <w:pPr>
        <w:pStyle w:val="ListeParagraf"/>
        <w:numPr>
          <w:ilvl w:val="0"/>
          <w:numId w:val="1"/>
        </w:numPr>
        <w:tabs>
          <w:tab w:val="left" w:pos="780"/>
        </w:tabs>
        <w:ind w:right="215" w:firstLine="0"/>
        <w:rPr>
          <w:lang w:val="tr-TR"/>
        </w:rPr>
      </w:pPr>
      <w:r w:rsidRPr="008F1795">
        <w:rPr>
          <w:lang w:val="tr-TR"/>
        </w:rPr>
        <w:t xml:space="preserve">Sonuç olarak Venedik Komisyonu, </w:t>
      </w:r>
      <w:r w:rsidR="006C4D0C" w:rsidRPr="008F1795">
        <w:rPr>
          <w:lang w:val="tr-TR"/>
        </w:rPr>
        <w:t xml:space="preserve">220. </w:t>
      </w:r>
      <w:r w:rsidR="00126140" w:rsidRPr="008F1795">
        <w:rPr>
          <w:lang w:val="tr-TR"/>
        </w:rPr>
        <w:t>M</w:t>
      </w:r>
      <w:r w:rsidR="00241305" w:rsidRPr="008F1795">
        <w:rPr>
          <w:lang w:val="tr-TR"/>
        </w:rPr>
        <w:t>adde</w:t>
      </w:r>
      <w:r w:rsidR="006C4D0C" w:rsidRPr="008F1795">
        <w:rPr>
          <w:lang w:val="tr-TR"/>
        </w:rPr>
        <w:t xml:space="preserve">nin 6. ve 7. fıkralarında yer alan </w:t>
      </w:r>
      <w:r w:rsidRPr="008F1795">
        <w:rPr>
          <w:lang w:val="tr-TR"/>
        </w:rPr>
        <w:t>“</w:t>
      </w:r>
      <w:r w:rsidR="0060629A" w:rsidRPr="008F1795">
        <w:rPr>
          <w:i/>
          <w:iCs/>
          <w:lang w:val="tr-TR"/>
        </w:rPr>
        <w:t>Örgüte üye olmamakla birlikte, örgüte üye olmak suçundan da cezalandırılır</w:t>
      </w:r>
      <w:r w:rsidR="0060629A" w:rsidRPr="008F1795">
        <w:rPr>
          <w:lang w:val="tr-TR"/>
        </w:rPr>
        <w:t xml:space="preserve">” cümlesinin </w:t>
      </w:r>
      <w:r w:rsidR="008D330D" w:rsidRPr="008F1795">
        <w:rPr>
          <w:lang w:val="tr-TR"/>
        </w:rPr>
        <w:t xml:space="preserve">kaldırılmasını tavsiye etmektedir. Bu durumda, 220. </w:t>
      </w:r>
      <w:r w:rsidR="00126140" w:rsidRPr="008F1795">
        <w:rPr>
          <w:lang w:val="tr-TR"/>
        </w:rPr>
        <w:t>M</w:t>
      </w:r>
      <w:r w:rsidR="00241305" w:rsidRPr="008F1795">
        <w:rPr>
          <w:lang w:val="tr-TR"/>
        </w:rPr>
        <w:t>adde</w:t>
      </w:r>
      <w:r w:rsidR="008D330D" w:rsidRPr="008F1795">
        <w:rPr>
          <w:lang w:val="tr-TR"/>
        </w:rPr>
        <w:t xml:space="preserve">nin 6. ve 7. fıkralarında belirtilen </w:t>
      </w:r>
      <w:r w:rsidR="00B50C51" w:rsidRPr="008F1795">
        <w:rPr>
          <w:lang w:val="tr-TR"/>
        </w:rPr>
        <w:t xml:space="preserve">suçları işleyen kişiler 314. madde uyarınca silahlı örgüt üyesi olmakla cezalandırılmayacak, </w:t>
      </w:r>
      <w:r w:rsidR="00B77788" w:rsidRPr="008F1795">
        <w:rPr>
          <w:lang w:val="tr-TR"/>
        </w:rPr>
        <w:t>ama haklarında başka yaptırımlar ayrı olarak uygulanacaktır.</w:t>
      </w:r>
    </w:p>
    <w:p w14:paraId="28DF6E2A" w14:textId="77777777" w:rsidR="00B77788" w:rsidRPr="008F1795" w:rsidRDefault="00B77788" w:rsidP="00B77788">
      <w:pPr>
        <w:pStyle w:val="ListeParagraf"/>
        <w:tabs>
          <w:tab w:val="left" w:pos="780"/>
        </w:tabs>
        <w:ind w:right="215"/>
        <w:rPr>
          <w:lang w:val="tr-TR"/>
        </w:rPr>
      </w:pPr>
    </w:p>
    <w:p w14:paraId="66659CE8" w14:textId="59EAF7A1" w:rsidR="00B77788" w:rsidRPr="008F1795" w:rsidRDefault="00AA26BD">
      <w:pPr>
        <w:pStyle w:val="ListeParagraf"/>
        <w:numPr>
          <w:ilvl w:val="0"/>
          <w:numId w:val="1"/>
        </w:numPr>
        <w:tabs>
          <w:tab w:val="left" w:pos="839"/>
        </w:tabs>
        <w:ind w:firstLine="0"/>
        <w:rPr>
          <w:lang w:val="tr-TR"/>
        </w:rPr>
      </w:pPr>
      <w:r w:rsidRPr="008F1795">
        <w:rPr>
          <w:lang w:val="tr-TR"/>
        </w:rPr>
        <w:t>6. ve 7. fıkralarda yer alan bu cümlenin kaldırılmaması halinde Türk yetkililer, 220. Maddenin 314. Madde ile birlikte uygulan</w:t>
      </w:r>
      <w:r w:rsidR="00E342C3" w:rsidRPr="008F1795">
        <w:rPr>
          <w:lang w:val="tr-TR"/>
        </w:rPr>
        <w:t>ışını</w:t>
      </w:r>
      <w:r w:rsidR="00DF3759" w:rsidRPr="008F1795">
        <w:rPr>
          <w:lang w:val="tr-TR"/>
        </w:rPr>
        <w:t xml:space="preserve">, ifade ve toplantı özgürlükleri hakkının kullanılmasını içermeyen davalar ile sınırlı tutmalıdır. </w:t>
      </w:r>
    </w:p>
    <w:p w14:paraId="5E5D2F8C" w14:textId="77777777" w:rsidR="00B77788" w:rsidRPr="008F1795" w:rsidRDefault="00B77788" w:rsidP="00B77788">
      <w:pPr>
        <w:pStyle w:val="ListeParagraf"/>
        <w:tabs>
          <w:tab w:val="left" w:pos="839"/>
        </w:tabs>
        <w:rPr>
          <w:lang w:val="tr-TR"/>
        </w:rPr>
      </w:pPr>
    </w:p>
    <w:p w14:paraId="5FB9FE49" w14:textId="34AD00C9" w:rsidR="00B74CEA" w:rsidRPr="008F1795" w:rsidRDefault="00EE2811">
      <w:pPr>
        <w:pStyle w:val="Balk1"/>
        <w:numPr>
          <w:ilvl w:val="0"/>
          <w:numId w:val="5"/>
        </w:numPr>
        <w:tabs>
          <w:tab w:val="left" w:pos="919"/>
        </w:tabs>
        <w:ind w:hanging="721"/>
        <w:jc w:val="both"/>
        <w:rPr>
          <w:lang w:val="tr-TR"/>
        </w:rPr>
      </w:pPr>
      <w:bookmarkStart w:id="14" w:name="_bookmark13"/>
      <w:bookmarkEnd w:id="14"/>
      <w:r w:rsidRPr="008F1795">
        <w:rPr>
          <w:lang w:val="tr-TR"/>
        </w:rPr>
        <w:t>Sonuçlar</w:t>
      </w:r>
    </w:p>
    <w:p w14:paraId="7D5D1586" w14:textId="77777777" w:rsidR="00B74CEA" w:rsidRPr="008F1795" w:rsidRDefault="00B74CEA">
      <w:pPr>
        <w:pStyle w:val="GvdeMetni"/>
        <w:rPr>
          <w:b/>
          <w:lang w:val="tr-TR"/>
        </w:rPr>
      </w:pPr>
    </w:p>
    <w:p w14:paraId="6175DF85" w14:textId="704B8B4B" w:rsidR="00DF3759" w:rsidRPr="008F1795" w:rsidRDefault="0041555A">
      <w:pPr>
        <w:pStyle w:val="ListeParagraf"/>
        <w:numPr>
          <w:ilvl w:val="0"/>
          <w:numId w:val="1"/>
        </w:numPr>
        <w:tabs>
          <w:tab w:val="left" w:pos="760"/>
        </w:tabs>
        <w:ind w:firstLine="0"/>
        <w:rPr>
          <w:lang w:val="tr-TR"/>
        </w:rPr>
      </w:pPr>
      <w:r w:rsidRPr="008F1795">
        <w:rPr>
          <w:lang w:val="tr-TR"/>
        </w:rPr>
        <w:t xml:space="preserve">Venedik Komisyonu, öncelikle, </w:t>
      </w:r>
      <w:r w:rsidR="001C02E4" w:rsidRPr="008F1795">
        <w:rPr>
          <w:lang w:val="tr-TR"/>
        </w:rPr>
        <w:t>özellikle Ceza Kanununun 301. ve 314. maddelerinin (314. Maddenin 220. Madde ile birlikte) uygulanışına ilişkin Türkiye’de son yıllarda ilerleme kaydedildiği</w:t>
      </w:r>
      <w:r w:rsidR="005F16FA">
        <w:rPr>
          <w:lang w:val="tr-TR"/>
        </w:rPr>
        <w:t>ni</w:t>
      </w:r>
      <w:r w:rsidR="001C02E4" w:rsidRPr="008F1795">
        <w:rPr>
          <w:lang w:val="tr-TR"/>
        </w:rPr>
        <w:t xml:space="preserve"> kabul etmektedir</w:t>
      </w:r>
      <w:r w:rsidR="009935ED" w:rsidRPr="008F1795">
        <w:rPr>
          <w:lang w:val="tr-TR"/>
        </w:rPr>
        <w:t>. Ceza Kanununun 314. Maddesinin 220(6). Madde ile birlikte uygulanmasını sınırlamak amacıyla, Nisan 2008’de 301. Maddede yapı</w:t>
      </w:r>
      <w:r w:rsidR="003708AB" w:rsidRPr="008F1795">
        <w:rPr>
          <w:lang w:val="tr-TR"/>
        </w:rPr>
        <w:t xml:space="preserve">lan değişiklik ve 3713 sayılı Terörle Mücadele Kanununun 7. Maddesinde </w:t>
      </w:r>
      <w:r w:rsidR="00D24B25" w:rsidRPr="008F1795">
        <w:rPr>
          <w:lang w:val="tr-TR"/>
        </w:rPr>
        <w:t xml:space="preserve">yapılan değişiklik, bu maddelerin </w:t>
      </w:r>
      <w:r w:rsidR="00AC3DEB" w:rsidRPr="008F1795">
        <w:rPr>
          <w:lang w:val="tr-TR"/>
        </w:rPr>
        <w:t>usulsüz</w:t>
      </w:r>
      <w:r w:rsidR="00D24B25" w:rsidRPr="008F1795">
        <w:rPr>
          <w:lang w:val="tr-TR"/>
        </w:rPr>
        <w:t xml:space="preserve"> uygulanması nedeniyle temel özgürlüklerin</w:t>
      </w:r>
      <w:r w:rsidR="00426BE9" w:rsidRPr="008F1795">
        <w:rPr>
          <w:lang w:val="tr-TR"/>
        </w:rPr>
        <w:t xml:space="preserve"> ihlal </w:t>
      </w:r>
      <w:r w:rsidR="004B6057" w:rsidRPr="008F1795">
        <w:rPr>
          <w:lang w:val="tr-TR"/>
        </w:rPr>
        <w:t>edilme</w:t>
      </w:r>
      <w:r w:rsidR="00426BE9" w:rsidRPr="008F1795">
        <w:rPr>
          <w:lang w:val="tr-TR"/>
        </w:rPr>
        <w:t xml:space="preserve"> kapsamı</w:t>
      </w:r>
      <w:r w:rsidR="004B6057" w:rsidRPr="008F1795">
        <w:rPr>
          <w:lang w:val="tr-TR"/>
        </w:rPr>
        <w:t>nı</w:t>
      </w:r>
      <w:r w:rsidR="00426BE9" w:rsidRPr="008F1795">
        <w:rPr>
          <w:lang w:val="tr-TR"/>
        </w:rPr>
        <w:t xml:space="preserve"> daraltmıştır. </w:t>
      </w:r>
      <w:r w:rsidR="004B6057" w:rsidRPr="008F1795">
        <w:rPr>
          <w:lang w:val="tr-TR"/>
        </w:rPr>
        <w:t xml:space="preserve">Yargıtay, </w:t>
      </w:r>
      <w:r w:rsidR="004456E6" w:rsidRPr="008F1795">
        <w:rPr>
          <w:lang w:val="tr-TR"/>
        </w:rPr>
        <w:lastRenderedPageBreak/>
        <w:t>özellikle 216. ve 299. maddeler</w:t>
      </w:r>
      <w:r w:rsidR="007A1FEB" w:rsidRPr="008F1795">
        <w:rPr>
          <w:lang w:val="tr-TR"/>
        </w:rPr>
        <w:t xml:space="preserve">de yer alan farklı gereksinimleri </w:t>
      </w:r>
      <w:r w:rsidR="00153F4C" w:rsidRPr="008F1795">
        <w:rPr>
          <w:lang w:val="tr-TR"/>
        </w:rPr>
        <w:t>Avrupa standartları</w:t>
      </w:r>
      <w:r w:rsidR="006D642C" w:rsidRPr="008F1795">
        <w:rPr>
          <w:lang w:val="tr-TR"/>
        </w:rPr>
        <w:t>na uygun hale getirecek şekilde yorumlamaya çalışmıştır.</w:t>
      </w:r>
    </w:p>
    <w:p w14:paraId="42D16D10" w14:textId="77777777" w:rsidR="00DF3759" w:rsidRPr="008F1795" w:rsidRDefault="00DF3759" w:rsidP="00DF3759">
      <w:pPr>
        <w:pStyle w:val="ListeParagraf"/>
        <w:tabs>
          <w:tab w:val="left" w:pos="760"/>
        </w:tabs>
        <w:rPr>
          <w:lang w:val="tr-TR"/>
        </w:rPr>
      </w:pPr>
    </w:p>
    <w:p w14:paraId="74E9D514" w14:textId="01DE7DA1" w:rsidR="007A1FEB" w:rsidRPr="008F1795" w:rsidRDefault="007E5682">
      <w:pPr>
        <w:pStyle w:val="ListeParagraf"/>
        <w:numPr>
          <w:ilvl w:val="0"/>
          <w:numId w:val="1"/>
        </w:numPr>
        <w:tabs>
          <w:tab w:val="left" w:pos="751"/>
        </w:tabs>
        <w:ind w:right="215" w:firstLine="0"/>
        <w:rPr>
          <w:lang w:val="tr-TR"/>
        </w:rPr>
      </w:pPr>
      <w:r w:rsidRPr="008F1795">
        <w:rPr>
          <w:lang w:val="tr-TR"/>
        </w:rPr>
        <w:t xml:space="preserve">Venedik Komisyonu bu olumlu adımları memnuniyetle karşılamaktadır. </w:t>
      </w:r>
      <w:r w:rsidR="00BC2231" w:rsidRPr="008F1795">
        <w:rPr>
          <w:lang w:val="tr-TR"/>
        </w:rPr>
        <w:t xml:space="preserve">Bununla birlikte, kaydedilen ilerlemenin açıkça yetersiz olduğu sonucuna varmaktadır. </w:t>
      </w:r>
      <w:r w:rsidR="003801C8" w:rsidRPr="008F1795">
        <w:rPr>
          <w:lang w:val="tr-TR"/>
        </w:rPr>
        <w:t xml:space="preserve">Bu görüşte incelenen tüm maddelerde aşırı yaptırımlar öngörülmektedir ve </w:t>
      </w:r>
      <w:r w:rsidR="00F026AB" w:rsidRPr="008F1795">
        <w:rPr>
          <w:lang w:val="tr-TR"/>
        </w:rPr>
        <w:t xml:space="preserve">bu maddeler, AİHS, özellikle de Sözleşmenin 10. Maddesi, ilgili içtihat hukuku ve ayrıca ICCPR 19. maddesi tarafından korunan davranışları cezalandırarak </w:t>
      </w:r>
      <w:r w:rsidR="003801C8" w:rsidRPr="008F1795">
        <w:rPr>
          <w:lang w:val="tr-TR"/>
        </w:rPr>
        <w:t>çok geniş kapsamda uygulanmış</w:t>
      </w:r>
      <w:r w:rsidR="00F026AB" w:rsidRPr="008F1795">
        <w:rPr>
          <w:lang w:val="tr-TR"/>
        </w:rPr>
        <w:t>tır.</w:t>
      </w:r>
      <w:r w:rsidR="003801C8" w:rsidRPr="008F1795">
        <w:rPr>
          <w:lang w:val="tr-TR"/>
        </w:rPr>
        <w:t xml:space="preserve"> </w:t>
      </w:r>
    </w:p>
    <w:p w14:paraId="293CE65C" w14:textId="77777777" w:rsidR="007A1FEB" w:rsidRPr="008F1795" w:rsidRDefault="007A1FEB" w:rsidP="007A1FEB">
      <w:pPr>
        <w:pStyle w:val="ListeParagraf"/>
        <w:tabs>
          <w:tab w:val="left" w:pos="751"/>
        </w:tabs>
        <w:ind w:right="215"/>
        <w:rPr>
          <w:lang w:val="tr-TR"/>
        </w:rPr>
      </w:pPr>
    </w:p>
    <w:p w14:paraId="7E2A8CB4" w14:textId="06AC0743" w:rsidR="00F026AB" w:rsidRPr="008F1795" w:rsidRDefault="00065A73">
      <w:pPr>
        <w:pStyle w:val="ListeParagraf"/>
        <w:numPr>
          <w:ilvl w:val="0"/>
          <w:numId w:val="1"/>
        </w:numPr>
        <w:tabs>
          <w:tab w:val="left" w:pos="873"/>
        </w:tabs>
        <w:ind w:right="214" w:firstLine="0"/>
        <w:rPr>
          <w:lang w:val="tr-TR"/>
        </w:rPr>
      </w:pPr>
      <w:r w:rsidRPr="008F1795">
        <w:rPr>
          <w:lang w:val="tr-TR"/>
        </w:rPr>
        <w:t>Söz konusu dört maddenin hepsinin, AİHS 10</w:t>
      </w:r>
      <w:r w:rsidR="00D43477" w:rsidRPr="008F1795">
        <w:rPr>
          <w:lang w:val="tr-TR"/>
        </w:rPr>
        <w:t xml:space="preserve">. </w:t>
      </w:r>
      <w:r w:rsidRPr="008F1795">
        <w:rPr>
          <w:lang w:val="tr-TR"/>
        </w:rPr>
        <w:t>madde ve ICCPR 19. Madde</w:t>
      </w:r>
      <w:r w:rsidR="00D43477" w:rsidRPr="008F1795">
        <w:rPr>
          <w:lang w:val="tr-TR"/>
        </w:rPr>
        <w:t xml:space="preserve"> ile uygulamada uyumlu hal</w:t>
      </w:r>
      <w:r w:rsidR="00916E9B">
        <w:rPr>
          <w:lang w:val="tr-TR"/>
        </w:rPr>
        <w:t>e</w:t>
      </w:r>
      <w:r w:rsidR="00D43477" w:rsidRPr="008F1795">
        <w:rPr>
          <w:lang w:val="tr-TR"/>
        </w:rPr>
        <w:t xml:space="preserve"> gelmesi için</w:t>
      </w:r>
      <w:r w:rsidR="009E309F" w:rsidRPr="008F1795">
        <w:rPr>
          <w:lang w:val="tr-TR"/>
        </w:rPr>
        <w:t>,</w:t>
      </w:r>
      <w:r w:rsidR="00D43477" w:rsidRPr="008F1795">
        <w:rPr>
          <w:lang w:val="tr-TR"/>
        </w:rPr>
        <w:t xml:space="preserve"> radikal olarak farklı bir </w:t>
      </w:r>
      <w:r w:rsidR="009E309F" w:rsidRPr="008F1795">
        <w:rPr>
          <w:lang w:val="tr-TR"/>
        </w:rPr>
        <w:t>tutum ile uygulanması gerekir. Komisyon</w:t>
      </w:r>
      <w:r w:rsidR="008D3784" w:rsidRPr="008F1795">
        <w:rPr>
          <w:lang w:val="tr-TR"/>
        </w:rPr>
        <w:t>, i</w:t>
      </w:r>
      <w:r w:rsidR="00916E9B">
        <w:rPr>
          <w:lang w:val="tr-TR"/>
        </w:rPr>
        <w:t>f</w:t>
      </w:r>
      <w:r w:rsidR="008D3784" w:rsidRPr="008F1795">
        <w:rPr>
          <w:lang w:val="tr-TR"/>
        </w:rPr>
        <w:t xml:space="preserve">ade özgürlüğünün kullanımı üzerinde caydırıcı bir etki bırakan, </w:t>
      </w:r>
      <w:r w:rsidR="00B95C89" w:rsidRPr="008F1795">
        <w:rPr>
          <w:lang w:val="tr-TR"/>
        </w:rPr>
        <w:t xml:space="preserve">özellikle alt mahkemelerin </w:t>
      </w:r>
      <w:r w:rsidR="00647156" w:rsidRPr="008F1795">
        <w:rPr>
          <w:lang w:val="tr-TR"/>
        </w:rPr>
        <w:t xml:space="preserve">verdiği </w:t>
      </w:r>
      <w:proofErr w:type="gramStart"/>
      <w:r w:rsidR="00B95C89" w:rsidRPr="008F1795">
        <w:rPr>
          <w:lang w:val="tr-TR"/>
        </w:rPr>
        <w:t>mahkumiyet</w:t>
      </w:r>
      <w:proofErr w:type="gramEnd"/>
      <w:r w:rsidR="00B95C89" w:rsidRPr="008F1795">
        <w:rPr>
          <w:lang w:val="tr-TR"/>
        </w:rPr>
        <w:t xml:space="preserve"> kararları</w:t>
      </w:r>
      <w:r w:rsidR="00647156" w:rsidRPr="008F1795">
        <w:rPr>
          <w:lang w:val="tr-TR"/>
        </w:rPr>
        <w:t>nın</w:t>
      </w:r>
      <w:r w:rsidR="00B95C89" w:rsidRPr="008F1795">
        <w:rPr>
          <w:lang w:val="tr-TR"/>
        </w:rPr>
        <w:t xml:space="preserve"> ve bireyler hakkında yapılan kovuşturmaların sona ermesi gerektiğini vurgulamaktadır. </w:t>
      </w:r>
      <w:r w:rsidR="003066D1" w:rsidRPr="008F1795">
        <w:rPr>
          <w:lang w:val="tr-TR"/>
        </w:rPr>
        <w:t>Bazı davalarda b</w:t>
      </w:r>
      <w:r w:rsidR="008F163D" w:rsidRPr="008F1795">
        <w:rPr>
          <w:lang w:val="tr-TR"/>
        </w:rPr>
        <w:t xml:space="preserve">ireylerin yıllarca ceza kovuşturmasına tabi tutulduktan sonra Yargıtay tarafından </w:t>
      </w:r>
      <w:r w:rsidR="003066D1" w:rsidRPr="008F1795">
        <w:rPr>
          <w:lang w:val="tr-TR"/>
        </w:rPr>
        <w:t>nihayetinde</w:t>
      </w:r>
      <w:r w:rsidR="008F163D" w:rsidRPr="008F1795">
        <w:rPr>
          <w:lang w:val="tr-TR"/>
        </w:rPr>
        <w:t xml:space="preserve"> beraat </w:t>
      </w:r>
      <w:r w:rsidR="003066D1" w:rsidRPr="008F1795">
        <w:rPr>
          <w:lang w:val="tr-TR"/>
        </w:rPr>
        <w:t>ettirilmesi yeterli değildir. Komisyon</w:t>
      </w:r>
      <w:r w:rsidR="00E60845" w:rsidRPr="008F1795">
        <w:rPr>
          <w:lang w:val="tr-TR"/>
        </w:rPr>
        <w:t xml:space="preserve"> ayrıca, Devletlerin farklı ve alternatif fikirlerin geliştirilebileceği elverişli bir ortam yaratma yönündeki pozitif yükümlülüklerinin önemini de vurgulamaktadır. </w:t>
      </w:r>
      <w:r w:rsidR="00916E9B">
        <w:rPr>
          <w:lang w:val="tr-TR"/>
        </w:rPr>
        <w:t xml:space="preserve"> </w:t>
      </w:r>
    </w:p>
    <w:p w14:paraId="55C1AA30" w14:textId="77777777" w:rsidR="00F026AB" w:rsidRPr="008F1795" w:rsidRDefault="00F026AB" w:rsidP="00F026AB">
      <w:pPr>
        <w:pStyle w:val="ListeParagraf"/>
        <w:tabs>
          <w:tab w:val="left" w:pos="873"/>
        </w:tabs>
        <w:ind w:right="214"/>
        <w:rPr>
          <w:lang w:val="tr-TR"/>
        </w:rPr>
      </w:pPr>
    </w:p>
    <w:p w14:paraId="648A8FFE" w14:textId="7DA90501" w:rsidR="00F7256E" w:rsidRPr="008F1795" w:rsidRDefault="00AE17B7" w:rsidP="003F7AF8">
      <w:pPr>
        <w:pStyle w:val="ListeParagraf"/>
        <w:numPr>
          <w:ilvl w:val="0"/>
          <w:numId w:val="1"/>
        </w:numPr>
        <w:tabs>
          <w:tab w:val="left" w:pos="772"/>
        </w:tabs>
        <w:spacing w:before="94"/>
        <w:ind w:right="211" w:firstLine="0"/>
        <w:rPr>
          <w:lang w:val="tr-TR"/>
        </w:rPr>
      </w:pPr>
      <w:r w:rsidRPr="008F1795">
        <w:rPr>
          <w:b/>
          <w:bCs/>
          <w:lang w:val="tr-TR"/>
        </w:rPr>
        <w:t>216. Madde (Halkı kin ve düşmanlığa tahrik veya aşağılama)</w:t>
      </w:r>
      <w:r w:rsidRPr="008F1795">
        <w:rPr>
          <w:lang w:val="tr-TR"/>
        </w:rPr>
        <w:t xml:space="preserve"> ile ilgili olarak, </w:t>
      </w:r>
      <w:r w:rsidR="008E02A4" w:rsidRPr="008F1795">
        <w:rPr>
          <w:lang w:val="tr-TR"/>
        </w:rPr>
        <w:t xml:space="preserve">bu maddenin (1). </w:t>
      </w:r>
      <w:proofErr w:type="gramStart"/>
      <w:r w:rsidR="008E02A4" w:rsidRPr="008F1795">
        <w:rPr>
          <w:lang w:val="tr-TR"/>
        </w:rPr>
        <w:t>ve</w:t>
      </w:r>
      <w:proofErr w:type="gramEnd"/>
      <w:r w:rsidR="008E02A4" w:rsidRPr="008F1795">
        <w:rPr>
          <w:lang w:val="tr-TR"/>
        </w:rPr>
        <w:t xml:space="preserve"> (2). </w:t>
      </w:r>
      <w:proofErr w:type="gramStart"/>
      <w:r w:rsidR="008E02A4" w:rsidRPr="008F1795">
        <w:rPr>
          <w:lang w:val="tr-TR"/>
        </w:rPr>
        <w:t>fıkraları</w:t>
      </w:r>
      <w:proofErr w:type="gramEnd"/>
      <w:r w:rsidR="008E02A4" w:rsidRPr="008F1795">
        <w:rPr>
          <w:lang w:val="tr-TR"/>
        </w:rPr>
        <w:t xml:space="preserve">, hükümet politikalarına yönelik sert eleştirileri cezalandırmak için kullanılmamalıdır. </w:t>
      </w:r>
      <w:r w:rsidR="0012066A" w:rsidRPr="008F1795">
        <w:rPr>
          <w:lang w:val="tr-TR"/>
        </w:rPr>
        <w:t>Cezai yaptırımlar</w:t>
      </w:r>
      <w:r w:rsidR="00077646" w:rsidRPr="008F1795">
        <w:rPr>
          <w:lang w:val="tr-TR"/>
        </w:rPr>
        <w:t xml:space="preserve">a –orantılı olarak– başvurmak, ancak </w:t>
      </w:r>
      <w:r w:rsidR="00ED176D" w:rsidRPr="008F1795">
        <w:rPr>
          <w:lang w:val="tr-TR"/>
        </w:rPr>
        <w:t xml:space="preserve">kullanılan </w:t>
      </w:r>
      <w:r w:rsidR="00077646" w:rsidRPr="008F1795">
        <w:rPr>
          <w:lang w:val="tr-TR"/>
        </w:rPr>
        <w:t>ifadeler</w:t>
      </w:r>
      <w:r w:rsidR="00257D84" w:rsidRPr="008F1795">
        <w:rPr>
          <w:lang w:val="tr-TR"/>
        </w:rPr>
        <w:t xml:space="preserve"> şiddete, silahlı direnişe ya da ayaklanmaya açıkça </w:t>
      </w:r>
      <w:r w:rsidR="004D626D">
        <w:rPr>
          <w:lang w:val="tr-TR"/>
        </w:rPr>
        <w:t>tahrik eden</w:t>
      </w:r>
      <w:r w:rsidR="00ED176D" w:rsidRPr="008F1795">
        <w:rPr>
          <w:lang w:val="tr-TR"/>
        </w:rPr>
        <w:t xml:space="preserve"> nitelikte olduğunda haklı </w:t>
      </w:r>
      <w:r w:rsidR="00775BD7" w:rsidRPr="008F1795">
        <w:rPr>
          <w:lang w:val="tr-TR"/>
        </w:rPr>
        <w:t xml:space="preserve">gösterilebilir. (3). </w:t>
      </w:r>
      <w:r w:rsidR="004D626D">
        <w:rPr>
          <w:lang w:val="tr-TR"/>
        </w:rPr>
        <w:t>F</w:t>
      </w:r>
      <w:r w:rsidR="00775BD7" w:rsidRPr="008F1795">
        <w:rPr>
          <w:lang w:val="tr-TR"/>
        </w:rPr>
        <w:t>ıkra</w:t>
      </w:r>
      <w:r w:rsidR="00C265C7" w:rsidRPr="008F1795">
        <w:rPr>
          <w:lang w:val="tr-TR"/>
        </w:rPr>
        <w:t>,</w:t>
      </w:r>
      <w:r w:rsidR="00775BD7" w:rsidRPr="008F1795">
        <w:rPr>
          <w:lang w:val="tr-TR"/>
        </w:rPr>
        <w:t xml:space="preserve"> </w:t>
      </w:r>
      <w:r w:rsidR="00E90193" w:rsidRPr="008F1795">
        <w:rPr>
          <w:lang w:val="tr-TR"/>
        </w:rPr>
        <w:t>ka</w:t>
      </w:r>
      <w:r w:rsidR="00C265C7" w:rsidRPr="008F1795">
        <w:rPr>
          <w:lang w:val="tr-TR"/>
        </w:rPr>
        <w:t xml:space="preserve">mu </w:t>
      </w:r>
      <w:r w:rsidR="00E90193" w:rsidRPr="008F1795">
        <w:rPr>
          <w:lang w:val="tr-TR"/>
        </w:rPr>
        <w:t>düzenini bilerek ve ciddi şekilde bozan ve halkı şiddet uygulamaya çağıra</w:t>
      </w:r>
      <w:r w:rsidR="00C265C7" w:rsidRPr="008F1795">
        <w:rPr>
          <w:lang w:val="tr-TR"/>
        </w:rPr>
        <w:t>n aşırı ölçüde</w:t>
      </w:r>
      <w:r w:rsidR="00E90193" w:rsidRPr="008F1795">
        <w:rPr>
          <w:lang w:val="tr-TR"/>
        </w:rPr>
        <w:t xml:space="preserve"> </w:t>
      </w:r>
      <w:r w:rsidR="00C265C7" w:rsidRPr="008F1795">
        <w:rPr>
          <w:lang w:val="tr-TR"/>
        </w:rPr>
        <w:t>dini hakaretlerin yapıldığı durumlar</w:t>
      </w:r>
      <w:r w:rsidR="00673FB7">
        <w:rPr>
          <w:lang w:val="tr-TR"/>
        </w:rPr>
        <w:t>d</w:t>
      </w:r>
      <w:r w:rsidR="00C265C7" w:rsidRPr="008F1795">
        <w:rPr>
          <w:lang w:val="tr-TR"/>
        </w:rPr>
        <w:t xml:space="preserve">a uygulanacak şekilde yorumlanmalıdır. </w:t>
      </w:r>
      <w:r w:rsidR="00CB5E2B" w:rsidRPr="008F1795">
        <w:rPr>
          <w:lang w:val="tr-TR"/>
        </w:rPr>
        <w:t xml:space="preserve">Bu hüküm, sadece dine küfür içeren durumlar için uygulanmamalıdır. </w:t>
      </w:r>
    </w:p>
    <w:p w14:paraId="309E3D16" w14:textId="77777777" w:rsidR="00CB5E2B" w:rsidRPr="008F1795" w:rsidRDefault="00CB5E2B" w:rsidP="00F7256E">
      <w:pPr>
        <w:pStyle w:val="ListeParagraf"/>
        <w:tabs>
          <w:tab w:val="left" w:pos="772"/>
        </w:tabs>
        <w:spacing w:before="94"/>
        <w:ind w:right="211"/>
        <w:rPr>
          <w:lang w:val="tr-TR"/>
        </w:rPr>
      </w:pPr>
    </w:p>
    <w:p w14:paraId="58BAC872" w14:textId="6C4184EE" w:rsidR="00CB5E2B" w:rsidRPr="008F1795" w:rsidRDefault="00BE381E">
      <w:pPr>
        <w:pStyle w:val="ListeParagraf"/>
        <w:numPr>
          <w:ilvl w:val="0"/>
          <w:numId w:val="1"/>
        </w:numPr>
        <w:tabs>
          <w:tab w:val="left" w:pos="792"/>
        </w:tabs>
        <w:spacing w:before="1"/>
        <w:ind w:right="214" w:firstLine="0"/>
        <w:rPr>
          <w:lang w:val="tr-TR"/>
        </w:rPr>
      </w:pPr>
      <w:r w:rsidRPr="008F1795">
        <w:rPr>
          <w:b/>
          <w:lang w:val="tr-TR"/>
        </w:rPr>
        <w:t>299</w:t>
      </w:r>
      <w:r w:rsidR="004514F3" w:rsidRPr="008F1795">
        <w:rPr>
          <w:b/>
          <w:lang w:val="tr-TR"/>
        </w:rPr>
        <w:t>. Madde</w:t>
      </w:r>
      <w:r w:rsidRPr="008F1795">
        <w:rPr>
          <w:b/>
          <w:lang w:val="tr-TR"/>
        </w:rPr>
        <w:t xml:space="preserve"> (</w:t>
      </w:r>
      <w:r w:rsidR="004514F3" w:rsidRPr="008F1795">
        <w:rPr>
          <w:b/>
          <w:lang w:val="tr-TR"/>
        </w:rPr>
        <w:t>Cumhurbaşkanına hakaret</w:t>
      </w:r>
      <w:r w:rsidRPr="008F1795">
        <w:rPr>
          <w:b/>
          <w:lang w:val="tr-TR"/>
        </w:rPr>
        <w:t>)</w:t>
      </w:r>
      <w:r w:rsidR="004514F3" w:rsidRPr="008F1795">
        <w:rPr>
          <w:b/>
          <w:lang w:val="tr-TR"/>
        </w:rPr>
        <w:t xml:space="preserve"> </w:t>
      </w:r>
      <w:r w:rsidR="004514F3" w:rsidRPr="008F1795">
        <w:rPr>
          <w:bCs/>
          <w:lang w:val="tr-TR"/>
        </w:rPr>
        <w:t>ile ilgili olarak</w:t>
      </w:r>
      <w:r w:rsidR="00417F08" w:rsidRPr="008F1795">
        <w:rPr>
          <w:lang w:val="tr-TR"/>
        </w:rPr>
        <w:t xml:space="preserve"> ilerleme kaydedilmemiştir ve bu maddenin kullanımı </w:t>
      </w:r>
      <w:r w:rsidR="00B10BE0" w:rsidRPr="008F1795">
        <w:rPr>
          <w:lang w:val="tr-TR"/>
        </w:rPr>
        <w:t xml:space="preserve">önemli ölçüde artmıştır. </w:t>
      </w:r>
      <w:r w:rsidR="005669C0" w:rsidRPr="008F1795">
        <w:rPr>
          <w:lang w:val="tr-TR"/>
        </w:rPr>
        <w:t xml:space="preserve">Devletlerin, Devlet Başkanına hakareti suç olmaktan çıkartması ya da bu suçu </w:t>
      </w:r>
      <w:r w:rsidR="000D28F6" w:rsidRPr="008F1795">
        <w:rPr>
          <w:lang w:val="tr-TR"/>
        </w:rPr>
        <w:t>en ağır söz</w:t>
      </w:r>
      <w:r w:rsidR="00673FB7">
        <w:rPr>
          <w:lang w:val="tr-TR"/>
        </w:rPr>
        <w:t>el</w:t>
      </w:r>
      <w:r w:rsidR="000D28F6" w:rsidRPr="008F1795">
        <w:rPr>
          <w:lang w:val="tr-TR"/>
        </w:rPr>
        <w:t xml:space="preserve"> saldırı biçimleri ile sınırlaması ve aynı zamanda uygulanan yaptırımları hapis cezası içermeyecek şekilde kısıtla</w:t>
      </w:r>
      <w:r w:rsidR="005D7F50" w:rsidRPr="008F1795">
        <w:rPr>
          <w:lang w:val="tr-TR"/>
        </w:rPr>
        <w:t>ması gerektiğine dair Avrupa’da sağlanan fikir birliği</w:t>
      </w:r>
      <w:r w:rsidR="00050657" w:rsidRPr="008F1795">
        <w:rPr>
          <w:lang w:val="tr-TR"/>
        </w:rPr>
        <w:t xml:space="preserve"> bu maddede dikkate alınmamaktadır. Bu Maddenin aşırı ve artan kullanımına ilişkin Komisyon, </w:t>
      </w:r>
      <w:r w:rsidR="004B2B78" w:rsidRPr="008F1795">
        <w:rPr>
          <w:lang w:val="tr-TR"/>
        </w:rPr>
        <w:t xml:space="preserve">Türkiye bağlamında ifade özgürlüğünün daha fazla ihlal edilmesini önlemek için tek çözümün bu Maddenin tamamen iptal edilmesi </w:t>
      </w:r>
      <w:r w:rsidR="00974158" w:rsidRPr="008F1795">
        <w:rPr>
          <w:lang w:val="tr-TR"/>
        </w:rPr>
        <w:t xml:space="preserve">ve hakarete ilişkin genel kanun hükmünün bu kriterlere uygun olarak uygulanması olduğu kanaatindedir. </w:t>
      </w:r>
    </w:p>
    <w:p w14:paraId="2FC7DE63" w14:textId="77777777" w:rsidR="00CB5E2B" w:rsidRPr="008F1795" w:rsidRDefault="00CB5E2B" w:rsidP="00CB5E2B">
      <w:pPr>
        <w:pStyle w:val="ListeParagraf"/>
        <w:tabs>
          <w:tab w:val="left" w:pos="792"/>
        </w:tabs>
        <w:spacing w:before="1"/>
        <w:ind w:right="214"/>
        <w:rPr>
          <w:b/>
          <w:lang w:val="tr-TR"/>
        </w:rPr>
      </w:pPr>
    </w:p>
    <w:p w14:paraId="0E6DDDA9" w14:textId="75380AF1" w:rsidR="005525D5" w:rsidRPr="008F1795" w:rsidRDefault="00193C35">
      <w:pPr>
        <w:pStyle w:val="ListeParagraf"/>
        <w:numPr>
          <w:ilvl w:val="0"/>
          <w:numId w:val="1"/>
        </w:numPr>
        <w:tabs>
          <w:tab w:val="left" w:pos="777"/>
        </w:tabs>
        <w:ind w:right="216" w:firstLine="0"/>
        <w:rPr>
          <w:lang w:val="tr-TR"/>
        </w:rPr>
      </w:pPr>
      <w:r w:rsidRPr="008F1795">
        <w:rPr>
          <w:b/>
          <w:bCs/>
          <w:lang w:val="tr-TR"/>
        </w:rPr>
        <w:t xml:space="preserve">301. Madde (Türk Milletini, Türkiye Cumhuriyeti Devletini, Devletin kurum ve organlarını aşağılama) </w:t>
      </w:r>
      <w:r w:rsidRPr="008F1795">
        <w:rPr>
          <w:lang w:val="tr-TR"/>
        </w:rPr>
        <w:t xml:space="preserve">ile ilgili olarak, </w:t>
      </w:r>
      <w:r w:rsidR="004E2960" w:rsidRPr="008F1795">
        <w:rPr>
          <w:lang w:val="tr-TR"/>
        </w:rPr>
        <w:t xml:space="preserve">2008 yılında yapılan değişikliklere rağmen, madde metninin muğlak olması sorunu hala devam etmektedir. </w:t>
      </w:r>
      <w:r w:rsidR="005F4011" w:rsidRPr="008F1795">
        <w:rPr>
          <w:lang w:val="tr-TR"/>
        </w:rPr>
        <w:t xml:space="preserve">Bu hükmün içerdiği tüm kavramların açık ve </w:t>
      </w:r>
      <w:r w:rsidR="00EA50A9">
        <w:rPr>
          <w:lang w:val="tr-TR"/>
        </w:rPr>
        <w:t>spesifik</w:t>
      </w:r>
      <w:r w:rsidR="005F4011" w:rsidRPr="008F1795">
        <w:rPr>
          <w:lang w:val="tr-TR"/>
        </w:rPr>
        <w:t xml:space="preserve"> olması amacıyla</w:t>
      </w:r>
      <w:r w:rsidR="00CA7BD3" w:rsidRPr="008F1795">
        <w:rPr>
          <w:lang w:val="tr-TR"/>
        </w:rPr>
        <w:t>,</w:t>
      </w:r>
      <w:r w:rsidR="005F4011" w:rsidRPr="008F1795">
        <w:rPr>
          <w:lang w:val="tr-TR"/>
        </w:rPr>
        <w:t xml:space="preserve"> hükmün yeniden hazırlanması ve </w:t>
      </w:r>
      <w:r w:rsidR="00CA7BD3" w:rsidRPr="008F1795">
        <w:rPr>
          <w:lang w:val="tr-TR"/>
        </w:rPr>
        <w:t xml:space="preserve">daha fazla değişiklik yapılması tavsiye edilmektedir. </w:t>
      </w:r>
      <w:r w:rsidR="00FE496A" w:rsidRPr="008F1795">
        <w:rPr>
          <w:lang w:val="tr-TR"/>
        </w:rPr>
        <w:t xml:space="preserve">Ayrıca, bu hükmün uygulama kapsamı, şiddete ve nefrete </w:t>
      </w:r>
      <w:r w:rsidR="00EA50A9">
        <w:rPr>
          <w:lang w:val="tr-TR"/>
        </w:rPr>
        <w:t>tahrik eden</w:t>
      </w:r>
      <w:r w:rsidR="00FE496A" w:rsidRPr="008F1795">
        <w:rPr>
          <w:lang w:val="tr-TR"/>
        </w:rPr>
        <w:t xml:space="preserve"> beyanlar ile sınırlı tutulmalıdır. </w:t>
      </w:r>
    </w:p>
    <w:p w14:paraId="0317FCC4" w14:textId="77777777" w:rsidR="00B74CEA" w:rsidRPr="008F1795" w:rsidRDefault="00B74CEA">
      <w:pPr>
        <w:pStyle w:val="GvdeMetni"/>
        <w:spacing w:before="10"/>
        <w:rPr>
          <w:sz w:val="21"/>
          <w:lang w:val="tr-TR"/>
        </w:rPr>
      </w:pPr>
    </w:p>
    <w:p w14:paraId="66F76D12" w14:textId="39196113" w:rsidR="00A25E66" w:rsidRPr="008F1795" w:rsidRDefault="002A0BEC" w:rsidP="00121309">
      <w:pPr>
        <w:pStyle w:val="ListeParagraf"/>
        <w:numPr>
          <w:ilvl w:val="0"/>
          <w:numId w:val="1"/>
        </w:numPr>
        <w:tabs>
          <w:tab w:val="left" w:pos="753"/>
        </w:tabs>
        <w:ind w:right="214" w:firstLine="0"/>
        <w:rPr>
          <w:b/>
          <w:bCs/>
          <w:lang w:val="tr-TR"/>
        </w:rPr>
      </w:pPr>
      <w:r w:rsidRPr="008F1795">
        <w:rPr>
          <w:b/>
          <w:bCs/>
          <w:lang w:val="tr-TR"/>
        </w:rPr>
        <w:t>314. Madde (Silahlı örgüte üyelik)</w:t>
      </w:r>
      <w:r w:rsidRPr="008F1795">
        <w:rPr>
          <w:lang w:val="tr-TR"/>
        </w:rPr>
        <w:t xml:space="preserve"> ile ilgili olarak, </w:t>
      </w:r>
      <w:r w:rsidR="00726CD0" w:rsidRPr="008F1795">
        <w:rPr>
          <w:lang w:val="tr-TR"/>
        </w:rPr>
        <w:t xml:space="preserve">sanığa atfedilen fiillerin “devamlılık, çeşitlilik ve yoğunluk” bakımından </w:t>
      </w:r>
      <w:r w:rsidR="00C468A9" w:rsidRPr="008F1795">
        <w:rPr>
          <w:lang w:val="tr-TR"/>
        </w:rPr>
        <w:t xml:space="preserve">silahlı </w:t>
      </w:r>
      <w:r w:rsidR="00726CD0" w:rsidRPr="008F1795">
        <w:rPr>
          <w:lang w:val="tr-TR"/>
        </w:rPr>
        <w:t>örgüt ile “organik ilişkisi” olduğunu göstermesi</w:t>
      </w:r>
      <w:r w:rsidR="00101D75" w:rsidRPr="008F1795">
        <w:rPr>
          <w:lang w:val="tr-TR"/>
        </w:rPr>
        <w:t xml:space="preserve"> gerektiği </w:t>
      </w:r>
      <w:r w:rsidR="00726CD0" w:rsidRPr="008F1795">
        <w:rPr>
          <w:lang w:val="tr-TR"/>
        </w:rPr>
        <w:t xml:space="preserve">ya da sanığın </w:t>
      </w:r>
      <w:r w:rsidR="00C468A9" w:rsidRPr="008F1795">
        <w:rPr>
          <w:lang w:val="tr-TR"/>
        </w:rPr>
        <w:t xml:space="preserve">fiillerinin </w:t>
      </w:r>
      <w:r w:rsidR="004A02EA" w:rsidRPr="008F1795">
        <w:rPr>
          <w:lang w:val="tr-TR"/>
        </w:rPr>
        <w:t>örgütün hiyerarşik yapısı içinde bilerek ve isteyerek hareket ettiği şeklinde değerlendir</w:t>
      </w:r>
      <w:r w:rsidR="003376D0" w:rsidRPr="008F1795">
        <w:rPr>
          <w:lang w:val="tr-TR"/>
        </w:rPr>
        <w:t>il</w:t>
      </w:r>
      <w:r w:rsidR="008A2349" w:rsidRPr="008F1795">
        <w:rPr>
          <w:lang w:val="tr-TR"/>
        </w:rPr>
        <w:t>ebileceğine</w:t>
      </w:r>
      <w:r w:rsidR="00726CD0" w:rsidRPr="008F1795">
        <w:rPr>
          <w:lang w:val="tr-TR"/>
        </w:rPr>
        <w:t xml:space="preserve"> dair Yargıtay içtihatlarına yer alan yerleşik kriter sıkı bir şekilde uygulanma</w:t>
      </w:r>
      <w:r w:rsidR="00121309" w:rsidRPr="008F1795">
        <w:rPr>
          <w:lang w:val="tr-TR"/>
        </w:rPr>
        <w:t xml:space="preserve">lıdır. </w:t>
      </w:r>
      <w:r w:rsidR="00274637" w:rsidRPr="008F1795">
        <w:rPr>
          <w:b/>
          <w:bCs/>
          <w:lang w:val="tr-TR"/>
        </w:rPr>
        <w:t>220. Maddenin (Suç işlemek amacıyla örgüt kurma)</w:t>
      </w:r>
      <w:r w:rsidR="00274637" w:rsidRPr="008F1795">
        <w:rPr>
          <w:lang w:val="tr-TR"/>
        </w:rPr>
        <w:t xml:space="preserve"> </w:t>
      </w:r>
      <w:r w:rsidR="005D4F96" w:rsidRPr="008F1795">
        <w:rPr>
          <w:lang w:val="tr-TR"/>
        </w:rPr>
        <w:t xml:space="preserve">(314. Madde ile birlikte olarak uygulanan) </w:t>
      </w:r>
      <w:r w:rsidR="00274637" w:rsidRPr="008F1795">
        <w:rPr>
          <w:lang w:val="tr-TR"/>
        </w:rPr>
        <w:t>6. ve 7. fıkralarında</w:t>
      </w:r>
      <w:r w:rsidR="00A25E66" w:rsidRPr="008F1795">
        <w:rPr>
          <w:lang w:val="tr-TR"/>
        </w:rPr>
        <w:t xml:space="preserve"> yer alan “</w:t>
      </w:r>
      <w:r w:rsidR="00A25E66" w:rsidRPr="008F1795">
        <w:rPr>
          <w:i/>
          <w:iCs/>
          <w:lang w:val="tr-TR"/>
        </w:rPr>
        <w:t>Örgüte üye olmamakla birlikte, örgüte üye olmak suçundan da cezalandırılır</w:t>
      </w:r>
      <w:r w:rsidR="00A25E66" w:rsidRPr="008F1795">
        <w:rPr>
          <w:lang w:val="tr-TR"/>
        </w:rPr>
        <w:t xml:space="preserve">” cümlesi kaldırılmalıdır. </w:t>
      </w:r>
      <w:r w:rsidR="00E342C3" w:rsidRPr="008F1795">
        <w:rPr>
          <w:lang w:val="tr-TR"/>
        </w:rPr>
        <w:t>6. ve 7. fıkralarda yer alan bu cümlenin kaldırılmaması halinde Türk yetkililer, 220. Maddenin 314. Madde ile birlikte uygulanışını, ifade ve toplantı özgürlükleri hakkının kullanılmasını içermeyen davalar ile sınırlı tutmalıdır.</w:t>
      </w:r>
    </w:p>
    <w:p w14:paraId="250BD797" w14:textId="77777777" w:rsidR="00A25E66" w:rsidRPr="008F1795" w:rsidRDefault="00A25E66" w:rsidP="00A25E66">
      <w:pPr>
        <w:pStyle w:val="ListeParagraf"/>
        <w:tabs>
          <w:tab w:val="left" w:pos="753"/>
        </w:tabs>
        <w:ind w:right="214"/>
        <w:rPr>
          <w:b/>
          <w:bCs/>
          <w:lang w:val="tr-TR"/>
        </w:rPr>
      </w:pPr>
    </w:p>
    <w:p w14:paraId="0F3EB520" w14:textId="19E222FC" w:rsidR="00744FEC" w:rsidRPr="008F1795" w:rsidRDefault="00744FEC">
      <w:pPr>
        <w:pStyle w:val="ListeParagraf"/>
        <w:numPr>
          <w:ilvl w:val="0"/>
          <w:numId w:val="1"/>
        </w:numPr>
        <w:tabs>
          <w:tab w:val="left" w:pos="832"/>
        </w:tabs>
        <w:ind w:firstLine="0"/>
        <w:rPr>
          <w:lang w:val="tr-TR"/>
        </w:rPr>
      </w:pPr>
      <w:r w:rsidRPr="008F1795">
        <w:rPr>
          <w:lang w:val="tr-TR"/>
        </w:rPr>
        <w:t>Venedik Komisyonu</w:t>
      </w:r>
      <w:r w:rsidR="004413DF" w:rsidRPr="008F1795">
        <w:rPr>
          <w:lang w:val="tr-TR"/>
        </w:rPr>
        <w:t>, herhangi bir yardım</w:t>
      </w:r>
      <w:r w:rsidR="002A3A75" w:rsidRPr="008F1795">
        <w:rPr>
          <w:lang w:val="tr-TR"/>
        </w:rPr>
        <w:t xml:space="preserve">a ihtiyaç duymaları halinde Türk makamlarının </w:t>
      </w:r>
      <w:r w:rsidR="004413DF" w:rsidRPr="008F1795">
        <w:rPr>
          <w:lang w:val="tr-TR"/>
        </w:rPr>
        <w:t xml:space="preserve">emrine amade çalışmaya hazırdır. </w:t>
      </w:r>
    </w:p>
    <w:sectPr w:rsidR="00744FEC" w:rsidRPr="008F1795">
      <w:pgSz w:w="11910" w:h="16840"/>
      <w:pgMar w:top="1100" w:right="1220" w:bottom="280" w:left="122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0061" w14:textId="77777777" w:rsidR="0089104D" w:rsidRDefault="0089104D">
      <w:r>
        <w:separator/>
      </w:r>
    </w:p>
  </w:endnote>
  <w:endnote w:type="continuationSeparator" w:id="0">
    <w:p w14:paraId="3B948BB4" w14:textId="77777777" w:rsidR="0089104D" w:rsidRDefault="0089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5E0D" w14:textId="77777777" w:rsidR="0089104D" w:rsidRDefault="0089104D">
      <w:r>
        <w:separator/>
      </w:r>
    </w:p>
  </w:footnote>
  <w:footnote w:type="continuationSeparator" w:id="0">
    <w:p w14:paraId="5AC19C8B" w14:textId="77777777" w:rsidR="0089104D" w:rsidRDefault="0089104D">
      <w:r>
        <w:continuationSeparator/>
      </w:r>
    </w:p>
  </w:footnote>
  <w:footnote w:id="1">
    <w:p w14:paraId="01BD5580" w14:textId="2E66E074" w:rsidR="00515BA6" w:rsidRDefault="00515BA6">
      <w:pPr>
        <w:pStyle w:val="DipnotMetni"/>
      </w:pPr>
      <w:r>
        <w:rPr>
          <w:rStyle w:val="DipnotBavurusu"/>
        </w:rPr>
        <w:footnoteRef/>
      </w:r>
      <w:r>
        <w:t xml:space="preserve"> </w:t>
      </w:r>
      <w:r w:rsidRPr="00454498">
        <w:rPr>
          <w:sz w:val="18"/>
          <w:lang w:val="tr-TR"/>
        </w:rPr>
        <w:t>CDL-REF(2016)011</w:t>
      </w:r>
      <w:r w:rsidRPr="00515BA6">
        <w:rPr>
          <w:sz w:val="18"/>
          <w:lang w:val="tr-TR"/>
        </w:rPr>
        <w:t xml:space="preserve"> </w:t>
      </w:r>
      <w:proofErr w:type="spellStart"/>
      <w:r w:rsidRPr="00454498">
        <w:rPr>
          <w:sz w:val="18"/>
          <w:lang w:val="tr-TR"/>
        </w:rPr>
        <w:t>Penal</w:t>
      </w:r>
      <w:proofErr w:type="spellEnd"/>
      <w:r w:rsidRPr="00454498">
        <w:rPr>
          <w:sz w:val="18"/>
          <w:lang w:val="tr-TR"/>
        </w:rPr>
        <w:t xml:space="preserve"> </w:t>
      </w:r>
      <w:proofErr w:type="spellStart"/>
      <w:r w:rsidRPr="00454498">
        <w:rPr>
          <w:sz w:val="18"/>
          <w:lang w:val="tr-TR"/>
        </w:rPr>
        <w:t>Code</w:t>
      </w:r>
      <w:proofErr w:type="spellEnd"/>
      <w:r w:rsidRPr="00454498">
        <w:rPr>
          <w:sz w:val="18"/>
          <w:lang w:val="tr-TR"/>
        </w:rPr>
        <w:t xml:space="preserve"> of </w:t>
      </w:r>
      <w:proofErr w:type="spellStart"/>
      <w:r w:rsidRPr="00454498">
        <w:rPr>
          <w:sz w:val="18"/>
          <w:lang w:val="tr-TR"/>
        </w:rPr>
        <w:t>Turkey</w:t>
      </w:r>
      <w:proofErr w:type="spellEnd"/>
    </w:p>
  </w:footnote>
  <w:footnote w:id="2">
    <w:p w14:paraId="232BC4EB" w14:textId="705BFA25" w:rsidR="00C165C3" w:rsidRPr="00A734A2" w:rsidRDefault="00C165C3">
      <w:pPr>
        <w:pStyle w:val="DipnotMetni"/>
        <w:rPr>
          <w:sz w:val="18"/>
          <w:szCs w:val="22"/>
          <w:lang w:val="tr-TR"/>
        </w:rPr>
      </w:pPr>
      <w:r>
        <w:rPr>
          <w:rStyle w:val="DipnotBavurusu"/>
        </w:rPr>
        <w:footnoteRef/>
      </w:r>
      <w:r>
        <w:t xml:space="preserve"> </w:t>
      </w:r>
      <w:r w:rsidR="00077BC2" w:rsidRPr="00A734A2">
        <w:rPr>
          <w:sz w:val="18"/>
          <w:szCs w:val="22"/>
          <w:lang w:val="tr-TR"/>
        </w:rPr>
        <w:t xml:space="preserve">2008 yılında yapılan değişiklik </w:t>
      </w:r>
      <w:r w:rsidR="00A734A2" w:rsidRPr="00A734A2">
        <w:rPr>
          <w:sz w:val="18"/>
          <w:szCs w:val="22"/>
          <w:lang w:val="tr-TR"/>
        </w:rPr>
        <w:t>ile</w:t>
      </w:r>
      <w:r w:rsidR="00077BC2" w:rsidRPr="00A734A2">
        <w:rPr>
          <w:sz w:val="18"/>
          <w:szCs w:val="22"/>
          <w:lang w:val="tr-TR"/>
        </w:rPr>
        <w:t xml:space="preserve"> </w:t>
      </w:r>
      <w:r w:rsidR="00581BF7" w:rsidRPr="00A734A2">
        <w:rPr>
          <w:sz w:val="18"/>
          <w:szCs w:val="22"/>
          <w:lang w:val="tr-TR"/>
        </w:rPr>
        <w:t xml:space="preserve">301. </w:t>
      </w:r>
      <w:r w:rsidR="00241305">
        <w:rPr>
          <w:sz w:val="18"/>
          <w:szCs w:val="22"/>
          <w:lang w:val="tr-TR"/>
        </w:rPr>
        <w:t>Madde</w:t>
      </w:r>
      <w:r w:rsidR="00581BF7" w:rsidRPr="00A734A2">
        <w:rPr>
          <w:sz w:val="18"/>
          <w:szCs w:val="22"/>
          <w:lang w:val="tr-TR"/>
        </w:rPr>
        <w:t xml:space="preserve">nin eski </w:t>
      </w:r>
      <w:r w:rsidR="00F96DC8">
        <w:rPr>
          <w:sz w:val="18"/>
          <w:szCs w:val="22"/>
          <w:lang w:val="tr-TR"/>
        </w:rPr>
        <w:t>halinde</w:t>
      </w:r>
      <w:r w:rsidR="00581BF7" w:rsidRPr="00A734A2">
        <w:rPr>
          <w:sz w:val="18"/>
          <w:szCs w:val="22"/>
          <w:lang w:val="tr-TR"/>
        </w:rPr>
        <w:t xml:space="preserve"> yer alan “Türklük” </w:t>
      </w:r>
      <w:r w:rsidR="00FE3334">
        <w:rPr>
          <w:sz w:val="18"/>
          <w:szCs w:val="22"/>
          <w:lang w:val="tr-TR"/>
        </w:rPr>
        <w:t>ibaresi</w:t>
      </w:r>
      <w:r w:rsidR="00581BF7" w:rsidRPr="00A734A2">
        <w:rPr>
          <w:sz w:val="18"/>
          <w:szCs w:val="22"/>
          <w:lang w:val="tr-TR"/>
        </w:rPr>
        <w:t xml:space="preserve"> yerine “Türk milleti”</w:t>
      </w:r>
      <w:r w:rsidR="006614D2" w:rsidRPr="00A734A2">
        <w:rPr>
          <w:sz w:val="18"/>
          <w:szCs w:val="22"/>
          <w:lang w:val="tr-TR"/>
        </w:rPr>
        <w:t xml:space="preserve"> terimi</w:t>
      </w:r>
      <w:r w:rsidR="00D23D19" w:rsidRPr="00A734A2">
        <w:rPr>
          <w:sz w:val="18"/>
          <w:szCs w:val="22"/>
          <w:lang w:val="tr-TR"/>
        </w:rPr>
        <w:t xml:space="preserve"> kullanılmışt</w:t>
      </w:r>
      <w:r w:rsidR="006614D2" w:rsidRPr="00A734A2">
        <w:rPr>
          <w:sz w:val="18"/>
          <w:szCs w:val="22"/>
          <w:lang w:val="tr-TR"/>
        </w:rPr>
        <w:t>ır;</w:t>
      </w:r>
      <w:r w:rsidR="00D23D19" w:rsidRPr="00A734A2">
        <w:rPr>
          <w:sz w:val="18"/>
          <w:szCs w:val="22"/>
          <w:lang w:val="tr-TR"/>
        </w:rPr>
        <w:t xml:space="preserve"> azami hapis cezası süresi azaltılmış, </w:t>
      </w:r>
      <w:r w:rsidR="00FB4FC8" w:rsidRPr="00A734A2">
        <w:rPr>
          <w:sz w:val="18"/>
          <w:szCs w:val="22"/>
          <w:lang w:val="tr-TR"/>
        </w:rPr>
        <w:t xml:space="preserve">cezayı </w:t>
      </w:r>
      <w:r w:rsidR="00284F94" w:rsidRPr="00A734A2">
        <w:rPr>
          <w:sz w:val="18"/>
          <w:szCs w:val="22"/>
          <w:lang w:val="tr-TR"/>
        </w:rPr>
        <w:t xml:space="preserve">ağırlaştırıcı </w:t>
      </w:r>
      <w:r w:rsidR="00FB4FC8" w:rsidRPr="00A734A2">
        <w:rPr>
          <w:sz w:val="18"/>
          <w:szCs w:val="22"/>
          <w:lang w:val="tr-TR"/>
        </w:rPr>
        <w:t>sebeplerin dikkate alınması</w:t>
      </w:r>
      <w:r w:rsidR="00D60468" w:rsidRPr="00A734A2">
        <w:rPr>
          <w:sz w:val="18"/>
          <w:szCs w:val="22"/>
          <w:lang w:val="tr-TR"/>
        </w:rPr>
        <w:t>na dair hüküm</w:t>
      </w:r>
      <w:r w:rsidR="006614D2" w:rsidRPr="00A734A2">
        <w:rPr>
          <w:sz w:val="18"/>
          <w:szCs w:val="22"/>
          <w:lang w:val="tr-TR"/>
        </w:rPr>
        <w:t xml:space="preserve"> kaldırılmış ve </w:t>
      </w:r>
      <w:r w:rsidR="00A734A2" w:rsidRPr="00A734A2">
        <w:rPr>
          <w:sz w:val="18"/>
          <w:szCs w:val="22"/>
          <w:lang w:val="tr-TR"/>
        </w:rPr>
        <w:t xml:space="preserve">bu </w:t>
      </w:r>
      <w:r w:rsidR="006614D2" w:rsidRPr="00A734A2">
        <w:rPr>
          <w:sz w:val="18"/>
          <w:szCs w:val="22"/>
          <w:lang w:val="tr-TR"/>
        </w:rPr>
        <w:t>suç</w:t>
      </w:r>
      <w:r w:rsidR="00A734A2" w:rsidRPr="00A734A2">
        <w:rPr>
          <w:sz w:val="18"/>
          <w:szCs w:val="22"/>
          <w:lang w:val="tr-TR"/>
        </w:rPr>
        <w:t xml:space="preserve">tan dolayı </w:t>
      </w:r>
      <w:r w:rsidR="00787ED2">
        <w:rPr>
          <w:sz w:val="18"/>
          <w:szCs w:val="22"/>
          <w:lang w:val="tr-TR"/>
        </w:rPr>
        <w:t>kovuşturma</w:t>
      </w:r>
      <w:r w:rsidR="00A734A2" w:rsidRPr="00A734A2">
        <w:rPr>
          <w:sz w:val="18"/>
          <w:szCs w:val="22"/>
          <w:lang w:val="tr-TR"/>
        </w:rPr>
        <w:t xml:space="preserve"> yapılması</w:t>
      </w:r>
      <w:r w:rsidR="006614D2" w:rsidRPr="00A734A2">
        <w:rPr>
          <w:sz w:val="18"/>
          <w:szCs w:val="22"/>
          <w:lang w:val="tr-TR"/>
        </w:rPr>
        <w:t xml:space="preserve"> Adalet </w:t>
      </w:r>
      <w:r w:rsidR="00A734A2" w:rsidRPr="00A734A2">
        <w:rPr>
          <w:sz w:val="18"/>
          <w:szCs w:val="22"/>
          <w:lang w:val="tr-TR"/>
        </w:rPr>
        <w:t>B</w:t>
      </w:r>
      <w:r w:rsidR="006614D2" w:rsidRPr="00A734A2">
        <w:rPr>
          <w:sz w:val="18"/>
          <w:szCs w:val="22"/>
          <w:lang w:val="tr-TR"/>
        </w:rPr>
        <w:t xml:space="preserve">akanının iznine tabi tutulmuştur. </w:t>
      </w:r>
    </w:p>
  </w:footnote>
  <w:footnote w:id="3">
    <w:p w14:paraId="7D3C14C3" w14:textId="3E7BE2FE" w:rsidR="007B51AC" w:rsidRPr="00394307" w:rsidRDefault="007B51AC" w:rsidP="00FE3334">
      <w:pPr>
        <w:pStyle w:val="DipnotMetni"/>
        <w:rPr>
          <w:i/>
          <w:sz w:val="18"/>
          <w:szCs w:val="22"/>
          <w:lang w:val="tr-TR"/>
        </w:rPr>
      </w:pPr>
      <w:r>
        <w:rPr>
          <w:rStyle w:val="DipnotBavurusu"/>
        </w:rPr>
        <w:footnoteRef/>
      </w:r>
      <w:r>
        <w:t xml:space="preserve"> </w:t>
      </w:r>
      <w:r w:rsidR="0034665F" w:rsidRPr="00394307">
        <w:rPr>
          <w:i/>
          <w:sz w:val="18"/>
          <w:szCs w:val="22"/>
          <w:lang w:val="tr-TR"/>
        </w:rPr>
        <w:t xml:space="preserve">11 Nisan 2013 tarihli ve 6459 sayılı Kanunun 11. </w:t>
      </w:r>
      <w:r w:rsidR="00241305" w:rsidRPr="00394307">
        <w:rPr>
          <w:i/>
          <w:sz w:val="18"/>
          <w:szCs w:val="22"/>
          <w:lang w:val="tr-TR"/>
        </w:rPr>
        <w:t>Madde</w:t>
      </w:r>
      <w:r w:rsidR="0034665F" w:rsidRPr="00394307">
        <w:rPr>
          <w:i/>
          <w:sz w:val="18"/>
          <w:szCs w:val="22"/>
          <w:lang w:val="tr-TR"/>
        </w:rPr>
        <w:t xml:space="preserve">si </w:t>
      </w:r>
      <w:r w:rsidR="006F5EFA" w:rsidRPr="00394307">
        <w:rPr>
          <w:i/>
          <w:sz w:val="18"/>
          <w:szCs w:val="22"/>
          <w:lang w:val="tr-TR"/>
        </w:rPr>
        <w:t>ile</w:t>
      </w:r>
      <w:r w:rsidR="0034665F" w:rsidRPr="00394307">
        <w:rPr>
          <w:i/>
          <w:sz w:val="18"/>
          <w:szCs w:val="22"/>
          <w:lang w:val="tr-TR"/>
        </w:rPr>
        <w:t xml:space="preserve">, </w:t>
      </w:r>
      <w:r w:rsidR="006F5EFA" w:rsidRPr="00394307">
        <w:rPr>
          <w:i/>
          <w:sz w:val="18"/>
          <w:szCs w:val="22"/>
          <w:lang w:val="tr-TR"/>
        </w:rPr>
        <w:t>“veya amacının” ibaresi “cebir, şiddet veya tehdit içeren yöntemlerini meşru gösterecek veya övecek ya da bu yöntemlere başvurmayı teşvik edecek şekilde” şeklinde değiştirilmiştir.</w:t>
      </w:r>
      <w:r w:rsidR="00C61634" w:rsidRPr="00394307">
        <w:rPr>
          <w:i/>
          <w:sz w:val="18"/>
          <w:szCs w:val="22"/>
          <w:lang w:val="tr-TR"/>
        </w:rPr>
        <w:t xml:space="preserve"> </w:t>
      </w:r>
    </w:p>
  </w:footnote>
  <w:footnote w:id="4">
    <w:p w14:paraId="4A9B7DE4" w14:textId="75F7E7D4" w:rsidR="00642C0F" w:rsidRPr="00394307" w:rsidRDefault="00642C0F">
      <w:pPr>
        <w:pStyle w:val="DipnotMetni"/>
        <w:rPr>
          <w:sz w:val="18"/>
          <w:szCs w:val="18"/>
          <w:lang w:val="tr-TR"/>
        </w:rPr>
      </w:pPr>
      <w:r w:rsidRPr="00394307">
        <w:rPr>
          <w:rStyle w:val="DipnotBavurusu"/>
          <w:lang w:val="tr-TR"/>
        </w:rPr>
        <w:footnoteRef/>
      </w:r>
      <w:r w:rsidRPr="00394307">
        <w:rPr>
          <w:lang w:val="tr-TR"/>
        </w:rPr>
        <w:t xml:space="preserve"> </w:t>
      </w:r>
      <w:r w:rsidR="00DB00B3" w:rsidRPr="00394307">
        <w:rPr>
          <w:sz w:val="18"/>
          <w:szCs w:val="18"/>
          <w:lang w:val="tr-TR"/>
        </w:rPr>
        <w:t>AİHM</w:t>
      </w:r>
      <w:r w:rsidRPr="00394307">
        <w:rPr>
          <w:sz w:val="18"/>
          <w:szCs w:val="18"/>
          <w:lang w:val="tr-TR"/>
        </w:rPr>
        <w:t xml:space="preserve">, Sunday Times </w:t>
      </w:r>
      <w:r w:rsidR="00DB00B3" w:rsidRPr="00394307">
        <w:rPr>
          <w:sz w:val="18"/>
          <w:szCs w:val="18"/>
          <w:lang w:val="tr-TR"/>
        </w:rPr>
        <w:t>–</w:t>
      </w:r>
      <w:r w:rsidRPr="00394307">
        <w:rPr>
          <w:sz w:val="18"/>
          <w:szCs w:val="18"/>
          <w:lang w:val="tr-TR"/>
        </w:rPr>
        <w:t xml:space="preserve"> </w:t>
      </w:r>
      <w:r w:rsidR="00DB00B3" w:rsidRPr="00394307">
        <w:rPr>
          <w:sz w:val="18"/>
          <w:szCs w:val="18"/>
          <w:lang w:val="tr-TR"/>
        </w:rPr>
        <w:t>Birleşik Krallık davası</w:t>
      </w:r>
      <w:r w:rsidRPr="00394307">
        <w:rPr>
          <w:sz w:val="18"/>
          <w:szCs w:val="18"/>
          <w:lang w:val="tr-TR"/>
        </w:rPr>
        <w:t xml:space="preserve">, </w:t>
      </w:r>
      <w:r w:rsidR="00DB00B3" w:rsidRPr="00394307">
        <w:rPr>
          <w:sz w:val="18"/>
          <w:szCs w:val="18"/>
          <w:lang w:val="tr-TR"/>
        </w:rPr>
        <w:t>Başvuru</w:t>
      </w:r>
      <w:r w:rsidRPr="00394307">
        <w:rPr>
          <w:sz w:val="18"/>
          <w:szCs w:val="18"/>
          <w:lang w:val="tr-TR"/>
        </w:rPr>
        <w:t xml:space="preserve"> No. 6538/74, 26 </w:t>
      </w:r>
      <w:r w:rsidR="00DB00B3" w:rsidRPr="00394307">
        <w:rPr>
          <w:sz w:val="18"/>
          <w:szCs w:val="18"/>
          <w:lang w:val="tr-TR"/>
        </w:rPr>
        <w:t>Nisan</w:t>
      </w:r>
      <w:r w:rsidRPr="00394307">
        <w:rPr>
          <w:sz w:val="18"/>
          <w:szCs w:val="18"/>
          <w:lang w:val="tr-TR"/>
        </w:rPr>
        <w:t xml:space="preserve"> 1979, par</w:t>
      </w:r>
      <w:r w:rsidR="001974D4" w:rsidRPr="00394307">
        <w:rPr>
          <w:sz w:val="18"/>
          <w:szCs w:val="18"/>
          <w:lang w:val="tr-TR"/>
        </w:rPr>
        <w:t>ag</w:t>
      </w:r>
      <w:r w:rsidRPr="00394307">
        <w:rPr>
          <w:sz w:val="18"/>
          <w:szCs w:val="18"/>
          <w:lang w:val="tr-TR"/>
        </w:rPr>
        <w:t>. 49.</w:t>
      </w:r>
    </w:p>
  </w:footnote>
  <w:footnote w:id="5">
    <w:p w14:paraId="7C7290A0" w14:textId="1F24D651" w:rsidR="000E6D78" w:rsidRPr="00394307" w:rsidRDefault="000E6D78">
      <w:pPr>
        <w:pStyle w:val="DipnotMetni"/>
        <w:rPr>
          <w:sz w:val="18"/>
          <w:szCs w:val="18"/>
          <w:lang w:val="tr-TR"/>
        </w:rPr>
      </w:pPr>
      <w:r w:rsidRPr="00394307">
        <w:rPr>
          <w:rStyle w:val="DipnotBavurusu"/>
          <w:sz w:val="18"/>
          <w:szCs w:val="18"/>
          <w:lang w:val="tr-TR"/>
        </w:rPr>
        <w:footnoteRef/>
      </w:r>
      <w:r w:rsidRPr="00394307">
        <w:rPr>
          <w:sz w:val="18"/>
          <w:szCs w:val="18"/>
          <w:lang w:val="tr-TR"/>
        </w:rPr>
        <w:t xml:space="preserve"> AİHM, </w:t>
      </w:r>
      <w:proofErr w:type="spellStart"/>
      <w:r w:rsidRPr="00394307">
        <w:rPr>
          <w:sz w:val="18"/>
          <w:szCs w:val="18"/>
          <w:lang w:val="tr-TR"/>
        </w:rPr>
        <w:t>Malone</w:t>
      </w:r>
      <w:proofErr w:type="spellEnd"/>
      <w:r w:rsidRPr="00394307">
        <w:rPr>
          <w:sz w:val="18"/>
          <w:szCs w:val="18"/>
          <w:lang w:val="tr-TR"/>
        </w:rPr>
        <w:t xml:space="preserve"> - Birleşik Krallık davası, Başvuru No. 8691/79, 2 Ağustos 1984, par</w:t>
      </w:r>
      <w:r w:rsidR="001974D4" w:rsidRPr="00394307">
        <w:rPr>
          <w:sz w:val="18"/>
          <w:szCs w:val="18"/>
          <w:lang w:val="tr-TR"/>
        </w:rPr>
        <w:t>ag</w:t>
      </w:r>
      <w:r w:rsidRPr="00394307">
        <w:rPr>
          <w:sz w:val="18"/>
          <w:szCs w:val="18"/>
          <w:lang w:val="tr-TR"/>
        </w:rPr>
        <w:t>. 67.</w:t>
      </w:r>
    </w:p>
  </w:footnote>
  <w:footnote w:id="6">
    <w:p w14:paraId="3DEE038E" w14:textId="73420F52" w:rsidR="00B90201" w:rsidRPr="00394307" w:rsidRDefault="00B90201">
      <w:pPr>
        <w:pStyle w:val="DipnotMetni"/>
        <w:rPr>
          <w:sz w:val="18"/>
          <w:szCs w:val="18"/>
          <w:lang w:val="tr-TR"/>
        </w:rPr>
      </w:pPr>
      <w:r w:rsidRPr="00394307">
        <w:rPr>
          <w:rStyle w:val="DipnotBavurusu"/>
          <w:sz w:val="18"/>
          <w:szCs w:val="18"/>
          <w:lang w:val="tr-TR"/>
        </w:rPr>
        <w:footnoteRef/>
      </w:r>
      <w:r w:rsidRPr="00394307">
        <w:rPr>
          <w:sz w:val="18"/>
          <w:szCs w:val="18"/>
          <w:lang w:val="tr-TR"/>
        </w:rPr>
        <w:t xml:space="preserve"> AİHM, </w:t>
      </w:r>
      <w:proofErr w:type="spellStart"/>
      <w:r w:rsidRPr="00394307">
        <w:rPr>
          <w:sz w:val="18"/>
          <w:szCs w:val="18"/>
          <w:lang w:val="tr-TR"/>
        </w:rPr>
        <w:t>Vajnai</w:t>
      </w:r>
      <w:proofErr w:type="spellEnd"/>
      <w:r w:rsidRPr="00394307">
        <w:rPr>
          <w:sz w:val="18"/>
          <w:szCs w:val="18"/>
          <w:lang w:val="tr-TR"/>
        </w:rPr>
        <w:t xml:space="preserve"> - Macaristan, Başvuru No. 33629/06, 8 Temmuz 2008, par</w:t>
      </w:r>
      <w:r w:rsidR="001974D4" w:rsidRPr="00394307">
        <w:rPr>
          <w:sz w:val="18"/>
          <w:szCs w:val="18"/>
          <w:lang w:val="tr-TR"/>
        </w:rPr>
        <w:t>ag</w:t>
      </w:r>
      <w:r w:rsidRPr="00394307">
        <w:rPr>
          <w:sz w:val="18"/>
          <w:szCs w:val="18"/>
          <w:lang w:val="tr-TR"/>
        </w:rPr>
        <w:t>. 51.</w:t>
      </w:r>
    </w:p>
  </w:footnote>
  <w:footnote w:id="7">
    <w:p w14:paraId="395C5351" w14:textId="2E25A150" w:rsidR="005008DE" w:rsidRPr="00394307" w:rsidRDefault="005008DE">
      <w:pPr>
        <w:pStyle w:val="DipnotMetni"/>
        <w:rPr>
          <w:sz w:val="18"/>
          <w:szCs w:val="18"/>
          <w:lang w:val="tr-TR"/>
        </w:rPr>
      </w:pPr>
      <w:r w:rsidRPr="00394307">
        <w:rPr>
          <w:rStyle w:val="DipnotBavurusu"/>
          <w:sz w:val="18"/>
          <w:szCs w:val="18"/>
          <w:lang w:val="tr-TR"/>
        </w:rPr>
        <w:footnoteRef/>
      </w:r>
      <w:r w:rsidRPr="00394307">
        <w:rPr>
          <w:sz w:val="18"/>
          <w:szCs w:val="18"/>
          <w:lang w:val="tr-TR"/>
        </w:rPr>
        <w:t xml:space="preserve"> </w:t>
      </w:r>
      <w:r w:rsidR="00E20137" w:rsidRPr="00394307">
        <w:rPr>
          <w:sz w:val="18"/>
          <w:szCs w:val="18"/>
          <w:lang w:val="tr-TR"/>
        </w:rPr>
        <w:t xml:space="preserve">AİHM, Parti </w:t>
      </w:r>
      <w:proofErr w:type="spellStart"/>
      <w:r w:rsidR="00E20137" w:rsidRPr="00394307">
        <w:rPr>
          <w:sz w:val="18"/>
          <w:szCs w:val="18"/>
          <w:lang w:val="tr-TR"/>
        </w:rPr>
        <w:t>Nationaliste</w:t>
      </w:r>
      <w:proofErr w:type="spellEnd"/>
      <w:r w:rsidR="00E20137" w:rsidRPr="00394307">
        <w:rPr>
          <w:sz w:val="18"/>
          <w:szCs w:val="18"/>
          <w:lang w:val="tr-TR"/>
        </w:rPr>
        <w:t xml:space="preserve"> </w:t>
      </w:r>
      <w:proofErr w:type="spellStart"/>
      <w:r w:rsidR="00E20137" w:rsidRPr="00394307">
        <w:rPr>
          <w:sz w:val="18"/>
          <w:szCs w:val="18"/>
          <w:lang w:val="tr-TR"/>
        </w:rPr>
        <w:t>Basque</w:t>
      </w:r>
      <w:proofErr w:type="spellEnd"/>
      <w:r w:rsidR="00E20137" w:rsidRPr="00394307">
        <w:rPr>
          <w:sz w:val="18"/>
          <w:szCs w:val="18"/>
          <w:lang w:val="tr-TR"/>
        </w:rPr>
        <w:t xml:space="preserve"> – </w:t>
      </w:r>
      <w:proofErr w:type="spellStart"/>
      <w:r w:rsidR="00E20137" w:rsidRPr="00394307">
        <w:rPr>
          <w:sz w:val="18"/>
          <w:szCs w:val="18"/>
          <w:lang w:val="tr-TR"/>
        </w:rPr>
        <w:t>Organisation</w:t>
      </w:r>
      <w:proofErr w:type="spellEnd"/>
      <w:r w:rsidR="00E20137" w:rsidRPr="00394307">
        <w:rPr>
          <w:sz w:val="18"/>
          <w:szCs w:val="18"/>
          <w:lang w:val="tr-TR"/>
        </w:rPr>
        <w:t xml:space="preserve"> </w:t>
      </w:r>
      <w:proofErr w:type="spellStart"/>
      <w:r w:rsidR="00E20137" w:rsidRPr="00394307">
        <w:rPr>
          <w:sz w:val="18"/>
          <w:szCs w:val="18"/>
          <w:lang w:val="tr-TR"/>
        </w:rPr>
        <w:t>Régionale</w:t>
      </w:r>
      <w:proofErr w:type="spellEnd"/>
      <w:r w:rsidR="00E20137" w:rsidRPr="00394307">
        <w:rPr>
          <w:sz w:val="18"/>
          <w:szCs w:val="18"/>
          <w:lang w:val="tr-TR"/>
        </w:rPr>
        <w:t xml:space="preserve"> </w:t>
      </w:r>
      <w:proofErr w:type="spellStart"/>
      <w:r w:rsidR="00E20137" w:rsidRPr="00394307">
        <w:rPr>
          <w:sz w:val="18"/>
          <w:szCs w:val="18"/>
          <w:lang w:val="tr-TR"/>
        </w:rPr>
        <w:t>d'Iparralde</w:t>
      </w:r>
      <w:proofErr w:type="spellEnd"/>
      <w:r w:rsidR="00E20137" w:rsidRPr="00394307">
        <w:rPr>
          <w:sz w:val="18"/>
          <w:szCs w:val="18"/>
          <w:lang w:val="tr-TR"/>
        </w:rPr>
        <w:t xml:space="preserve"> – Fransa davası, Başvuru No. 71251/01, 7 Eylül 2007, par</w:t>
      </w:r>
      <w:r w:rsidR="001974D4" w:rsidRPr="00394307">
        <w:rPr>
          <w:sz w:val="18"/>
          <w:szCs w:val="18"/>
          <w:lang w:val="tr-TR"/>
        </w:rPr>
        <w:t>ag</w:t>
      </w:r>
      <w:r w:rsidR="00E20137" w:rsidRPr="00394307">
        <w:rPr>
          <w:sz w:val="18"/>
          <w:szCs w:val="18"/>
          <w:lang w:val="tr-TR"/>
        </w:rPr>
        <w:t xml:space="preserve">. 45. Bakınız ayrıca, 19. </w:t>
      </w:r>
      <w:r w:rsidR="00241305" w:rsidRPr="00394307">
        <w:rPr>
          <w:sz w:val="18"/>
          <w:szCs w:val="18"/>
          <w:lang w:val="tr-TR"/>
        </w:rPr>
        <w:t>Madde</w:t>
      </w:r>
      <w:r w:rsidR="00E20137" w:rsidRPr="00394307">
        <w:rPr>
          <w:sz w:val="18"/>
          <w:szCs w:val="18"/>
          <w:lang w:val="tr-TR"/>
        </w:rPr>
        <w:t xml:space="preserve"> hakkında 34 sayılı Genel Yorum: </w:t>
      </w:r>
      <w:r w:rsidR="00586703" w:rsidRPr="00394307">
        <w:rPr>
          <w:sz w:val="18"/>
          <w:szCs w:val="18"/>
          <w:lang w:val="tr-TR"/>
        </w:rPr>
        <w:t>Düşünce ve ifade özgürlü</w:t>
      </w:r>
      <w:r w:rsidR="001974D4" w:rsidRPr="00394307">
        <w:rPr>
          <w:sz w:val="18"/>
          <w:szCs w:val="18"/>
          <w:lang w:val="tr-TR"/>
        </w:rPr>
        <w:t xml:space="preserve">kleri, İnsan Hakları Komitesi </w:t>
      </w:r>
      <w:r w:rsidR="00E20137" w:rsidRPr="00394307">
        <w:rPr>
          <w:sz w:val="18"/>
          <w:szCs w:val="18"/>
          <w:lang w:val="tr-TR"/>
        </w:rPr>
        <w:t>(2011), para</w:t>
      </w:r>
      <w:r w:rsidR="001974D4" w:rsidRPr="00394307">
        <w:rPr>
          <w:sz w:val="18"/>
          <w:szCs w:val="18"/>
          <w:lang w:val="tr-TR"/>
        </w:rPr>
        <w:t>g</w:t>
      </w:r>
      <w:r w:rsidR="00E20137" w:rsidRPr="00394307">
        <w:rPr>
          <w:sz w:val="18"/>
          <w:szCs w:val="18"/>
          <w:lang w:val="tr-TR"/>
        </w:rPr>
        <w:t xml:space="preserve">. 22 </w:t>
      </w:r>
      <w:r w:rsidR="001974D4" w:rsidRPr="00394307">
        <w:rPr>
          <w:sz w:val="18"/>
          <w:szCs w:val="18"/>
          <w:lang w:val="tr-TR"/>
        </w:rPr>
        <w:t>ve</w:t>
      </w:r>
      <w:r w:rsidR="00E20137" w:rsidRPr="00394307">
        <w:rPr>
          <w:sz w:val="18"/>
          <w:szCs w:val="18"/>
          <w:lang w:val="tr-TR"/>
        </w:rPr>
        <w:t xml:space="preserve"> 34.</w:t>
      </w:r>
    </w:p>
  </w:footnote>
  <w:footnote w:id="8">
    <w:p w14:paraId="4824D634" w14:textId="17D8EA9B" w:rsidR="00FC733D" w:rsidRPr="00394307" w:rsidRDefault="00E564B3">
      <w:pPr>
        <w:pStyle w:val="DipnotMetni"/>
        <w:rPr>
          <w:sz w:val="18"/>
          <w:szCs w:val="18"/>
          <w:lang w:val="tr-TR"/>
        </w:rPr>
      </w:pPr>
      <w:r w:rsidRPr="00394307">
        <w:rPr>
          <w:rStyle w:val="DipnotBavurusu"/>
          <w:lang w:val="tr-TR"/>
        </w:rPr>
        <w:footnoteRef/>
      </w:r>
      <w:r w:rsidRPr="00394307">
        <w:rPr>
          <w:lang w:val="tr-TR"/>
        </w:rPr>
        <w:t xml:space="preserve"> </w:t>
      </w:r>
      <w:r w:rsidRPr="00394307">
        <w:rPr>
          <w:sz w:val="18"/>
          <w:szCs w:val="18"/>
          <w:lang w:val="tr-TR"/>
        </w:rPr>
        <w:t xml:space="preserve">Bakınız örneğin, AİHM, </w:t>
      </w:r>
      <w:proofErr w:type="spellStart"/>
      <w:r w:rsidR="00CD58F3">
        <w:rPr>
          <w:sz w:val="18"/>
          <w:szCs w:val="18"/>
          <w:lang w:val="tr-TR"/>
        </w:rPr>
        <w:t>İ</w:t>
      </w:r>
      <w:r w:rsidRPr="00394307">
        <w:rPr>
          <w:sz w:val="18"/>
          <w:szCs w:val="18"/>
          <w:lang w:val="tr-TR"/>
        </w:rPr>
        <w:t>ncal</w:t>
      </w:r>
      <w:proofErr w:type="spellEnd"/>
      <w:r w:rsidRPr="00394307">
        <w:rPr>
          <w:sz w:val="18"/>
          <w:szCs w:val="18"/>
          <w:lang w:val="tr-TR"/>
        </w:rPr>
        <w:t xml:space="preserve"> – Türkiye davası, Başvuru No. 22678/93, 9 Haziran 1998; </w:t>
      </w:r>
      <w:proofErr w:type="gramStart"/>
      <w:r w:rsidRPr="00394307">
        <w:rPr>
          <w:sz w:val="18"/>
          <w:szCs w:val="18"/>
          <w:lang w:val="tr-TR"/>
        </w:rPr>
        <w:t>Pakdemirli -</w:t>
      </w:r>
      <w:proofErr w:type="gramEnd"/>
      <w:r w:rsidRPr="00394307">
        <w:rPr>
          <w:sz w:val="18"/>
          <w:szCs w:val="18"/>
          <w:lang w:val="tr-TR"/>
        </w:rPr>
        <w:t xml:space="preserve"> </w:t>
      </w:r>
      <w:r w:rsidR="0019510D" w:rsidRPr="00394307">
        <w:rPr>
          <w:sz w:val="18"/>
          <w:szCs w:val="18"/>
          <w:lang w:val="tr-TR"/>
        </w:rPr>
        <w:t>Türkiye</w:t>
      </w:r>
      <w:r w:rsidRPr="00394307">
        <w:rPr>
          <w:sz w:val="18"/>
          <w:szCs w:val="18"/>
          <w:lang w:val="tr-TR"/>
        </w:rPr>
        <w:t xml:space="preserve">, Başvuru No. 35839/97, 22 Şubat 2005; </w:t>
      </w:r>
      <w:proofErr w:type="spellStart"/>
      <w:r w:rsidRPr="00394307">
        <w:rPr>
          <w:sz w:val="18"/>
          <w:szCs w:val="18"/>
          <w:lang w:val="tr-TR"/>
        </w:rPr>
        <w:t>Sirin</w:t>
      </w:r>
      <w:proofErr w:type="spellEnd"/>
      <w:r w:rsidRPr="00394307">
        <w:rPr>
          <w:sz w:val="18"/>
          <w:szCs w:val="18"/>
          <w:lang w:val="tr-TR"/>
        </w:rPr>
        <w:t xml:space="preserve"> – </w:t>
      </w:r>
      <w:r w:rsidR="0019510D" w:rsidRPr="00394307">
        <w:rPr>
          <w:sz w:val="18"/>
          <w:szCs w:val="18"/>
          <w:lang w:val="tr-TR"/>
        </w:rPr>
        <w:t xml:space="preserve">Türkiye </w:t>
      </w:r>
      <w:r w:rsidRPr="00394307">
        <w:rPr>
          <w:sz w:val="18"/>
          <w:szCs w:val="18"/>
          <w:lang w:val="tr-TR"/>
        </w:rPr>
        <w:t xml:space="preserve">davası, Başvuru No. 47328/99, 15 Mart 2005; Artun ve Güvener – </w:t>
      </w:r>
      <w:r w:rsidR="0019510D" w:rsidRPr="00394307">
        <w:rPr>
          <w:sz w:val="18"/>
          <w:szCs w:val="18"/>
          <w:lang w:val="tr-TR"/>
        </w:rPr>
        <w:t xml:space="preserve">Türkiye </w:t>
      </w:r>
      <w:r w:rsidRPr="00394307">
        <w:rPr>
          <w:sz w:val="18"/>
          <w:szCs w:val="18"/>
          <w:lang w:val="tr-TR"/>
        </w:rPr>
        <w:t xml:space="preserve">davası, Başvuru No 75510/01, 26 Haziran 2007; Siz – </w:t>
      </w:r>
      <w:r w:rsidR="0019510D" w:rsidRPr="00394307">
        <w:rPr>
          <w:sz w:val="18"/>
          <w:szCs w:val="18"/>
          <w:lang w:val="tr-TR"/>
        </w:rPr>
        <w:t xml:space="preserve">Türkiye </w:t>
      </w:r>
      <w:r w:rsidRPr="00394307">
        <w:rPr>
          <w:sz w:val="18"/>
          <w:szCs w:val="18"/>
          <w:lang w:val="tr-TR"/>
        </w:rPr>
        <w:t>davası, Başvuru No. 895/02, 26 May</w:t>
      </w:r>
      <w:r w:rsidR="00C821DF" w:rsidRPr="00394307">
        <w:rPr>
          <w:sz w:val="18"/>
          <w:szCs w:val="18"/>
          <w:lang w:val="tr-TR"/>
        </w:rPr>
        <w:t>ıs</w:t>
      </w:r>
      <w:r w:rsidRPr="00394307">
        <w:rPr>
          <w:sz w:val="18"/>
          <w:szCs w:val="18"/>
          <w:lang w:val="tr-TR"/>
        </w:rPr>
        <w:t xml:space="preserve"> 2005; Altuğ Taner Akçam </w:t>
      </w:r>
      <w:r w:rsidR="00C821DF" w:rsidRPr="00394307">
        <w:rPr>
          <w:sz w:val="18"/>
          <w:szCs w:val="18"/>
          <w:lang w:val="tr-TR"/>
        </w:rPr>
        <w:t>-</w:t>
      </w:r>
      <w:r w:rsidRPr="00394307">
        <w:rPr>
          <w:sz w:val="18"/>
          <w:szCs w:val="18"/>
          <w:lang w:val="tr-TR"/>
        </w:rPr>
        <w:t xml:space="preserve"> T</w:t>
      </w:r>
      <w:r w:rsidR="00CD58F3">
        <w:rPr>
          <w:sz w:val="18"/>
          <w:szCs w:val="18"/>
          <w:lang w:val="tr-TR"/>
        </w:rPr>
        <w:t>ü</w:t>
      </w:r>
      <w:r w:rsidRPr="00394307">
        <w:rPr>
          <w:sz w:val="18"/>
          <w:szCs w:val="18"/>
          <w:lang w:val="tr-TR"/>
        </w:rPr>
        <w:t>rk</w:t>
      </w:r>
      <w:r w:rsidR="00C821DF" w:rsidRPr="00394307">
        <w:rPr>
          <w:sz w:val="18"/>
          <w:szCs w:val="18"/>
          <w:lang w:val="tr-TR"/>
        </w:rPr>
        <w:t>iye</w:t>
      </w:r>
      <w:r w:rsidRPr="00394307">
        <w:rPr>
          <w:sz w:val="18"/>
          <w:szCs w:val="18"/>
          <w:lang w:val="tr-TR"/>
        </w:rPr>
        <w:t xml:space="preserve">, </w:t>
      </w:r>
      <w:r w:rsidR="00C821DF" w:rsidRPr="00394307">
        <w:rPr>
          <w:sz w:val="18"/>
          <w:szCs w:val="18"/>
          <w:lang w:val="tr-TR"/>
        </w:rPr>
        <w:t xml:space="preserve">Başvuru </w:t>
      </w:r>
      <w:r w:rsidRPr="00394307">
        <w:rPr>
          <w:sz w:val="18"/>
          <w:szCs w:val="18"/>
          <w:lang w:val="tr-TR"/>
        </w:rPr>
        <w:t xml:space="preserve">No. 27520/07, 25 </w:t>
      </w:r>
      <w:r w:rsidR="00C821DF" w:rsidRPr="00394307">
        <w:rPr>
          <w:sz w:val="18"/>
          <w:szCs w:val="18"/>
          <w:lang w:val="tr-TR"/>
        </w:rPr>
        <w:t>Ekim</w:t>
      </w:r>
      <w:r w:rsidRPr="00394307">
        <w:rPr>
          <w:sz w:val="18"/>
          <w:szCs w:val="18"/>
          <w:lang w:val="tr-TR"/>
        </w:rPr>
        <w:t xml:space="preserve"> 2011.</w:t>
      </w:r>
    </w:p>
  </w:footnote>
  <w:footnote w:id="9">
    <w:p w14:paraId="777B2BF0" w14:textId="3F74C2EF" w:rsidR="00807C67" w:rsidRPr="00493173" w:rsidRDefault="00807C67" w:rsidP="00B92965">
      <w:pPr>
        <w:pStyle w:val="DipnotMetni"/>
        <w:rPr>
          <w:sz w:val="18"/>
          <w:szCs w:val="18"/>
          <w:lang w:val="tr-TR"/>
        </w:rPr>
      </w:pPr>
      <w:r w:rsidRPr="00493173">
        <w:rPr>
          <w:sz w:val="18"/>
          <w:szCs w:val="18"/>
          <w:lang w:val="tr-TR"/>
        </w:rPr>
        <w:footnoteRef/>
      </w:r>
      <w:r w:rsidRPr="00493173">
        <w:rPr>
          <w:sz w:val="18"/>
          <w:szCs w:val="18"/>
          <w:lang w:val="tr-TR"/>
        </w:rPr>
        <w:t xml:space="preserve"> </w:t>
      </w:r>
      <w:r w:rsidR="00FC733D" w:rsidRPr="00493173">
        <w:rPr>
          <w:sz w:val="18"/>
          <w:szCs w:val="18"/>
          <w:lang w:val="tr-TR"/>
        </w:rPr>
        <w:t xml:space="preserve">Venedik Komisyonu, CDL-AD(2013)024, </w:t>
      </w:r>
      <w:r w:rsidR="0019510D" w:rsidRPr="00493173">
        <w:rPr>
          <w:sz w:val="18"/>
          <w:szCs w:val="18"/>
          <w:lang w:val="tr-TR"/>
        </w:rPr>
        <w:t>Azerbaycan Cumhuriyetine Hakaret</w:t>
      </w:r>
      <w:r w:rsidR="00121EC2" w:rsidRPr="00493173">
        <w:rPr>
          <w:sz w:val="18"/>
          <w:szCs w:val="18"/>
          <w:lang w:val="tr-TR"/>
        </w:rPr>
        <w:t xml:space="preserve"> Edilmesine </w:t>
      </w:r>
      <w:r w:rsidR="00CF6DF0" w:rsidRPr="00493173">
        <w:rPr>
          <w:sz w:val="18"/>
          <w:szCs w:val="18"/>
          <w:lang w:val="tr-TR"/>
        </w:rPr>
        <w:t>K</w:t>
      </w:r>
      <w:r w:rsidR="00121EC2" w:rsidRPr="00493173">
        <w:rPr>
          <w:sz w:val="18"/>
          <w:szCs w:val="18"/>
          <w:lang w:val="tr-TR"/>
        </w:rPr>
        <w:t>arşı Koruma</w:t>
      </w:r>
      <w:r w:rsidR="00CF6DF0" w:rsidRPr="00493173">
        <w:rPr>
          <w:sz w:val="18"/>
          <w:szCs w:val="18"/>
          <w:lang w:val="tr-TR"/>
        </w:rPr>
        <w:t xml:space="preserve"> Sağlanmasına ilişkin Mevzuat hakkında 692/2012 sayılı Görüş</w:t>
      </w:r>
      <w:r w:rsidR="00BA1200" w:rsidRPr="00493173">
        <w:rPr>
          <w:sz w:val="18"/>
          <w:szCs w:val="18"/>
          <w:lang w:val="tr-TR"/>
        </w:rPr>
        <w:t>, 14 Ekim 2013; CDL-AD(2013)038, İtalya</w:t>
      </w:r>
      <w:r w:rsidR="00275ACA" w:rsidRPr="00493173">
        <w:rPr>
          <w:sz w:val="18"/>
          <w:szCs w:val="18"/>
          <w:lang w:val="tr-TR"/>
        </w:rPr>
        <w:t>’</w:t>
      </w:r>
      <w:r w:rsidR="00B85B89" w:rsidRPr="00493173">
        <w:rPr>
          <w:sz w:val="18"/>
          <w:szCs w:val="18"/>
          <w:lang w:val="tr-TR"/>
        </w:rPr>
        <w:t>nın</w:t>
      </w:r>
      <w:r w:rsidR="00BA1200" w:rsidRPr="00493173">
        <w:rPr>
          <w:sz w:val="18"/>
          <w:szCs w:val="18"/>
          <w:lang w:val="tr-TR"/>
        </w:rPr>
        <w:t xml:space="preserve"> Hakaret</w:t>
      </w:r>
      <w:r w:rsidR="00445B87" w:rsidRPr="00493173">
        <w:rPr>
          <w:sz w:val="18"/>
          <w:szCs w:val="18"/>
          <w:lang w:val="tr-TR"/>
        </w:rPr>
        <w:t>lere ilişkin</w:t>
      </w:r>
      <w:r w:rsidR="00275ACA" w:rsidRPr="00493173">
        <w:rPr>
          <w:sz w:val="18"/>
          <w:szCs w:val="18"/>
          <w:lang w:val="tr-TR"/>
        </w:rPr>
        <w:t xml:space="preserve"> Mevzuatı hakkında 715/2013 sayılı Görüş, 9 Aralık 2013.</w:t>
      </w:r>
    </w:p>
  </w:footnote>
  <w:footnote w:id="10">
    <w:p w14:paraId="4B539410" w14:textId="22844BF6" w:rsidR="00B92965" w:rsidRPr="00493173" w:rsidRDefault="00B92965" w:rsidP="00C916F4">
      <w:pPr>
        <w:pStyle w:val="DipnotMetni"/>
        <w:rPr>
          <w:sz w:val="18"/>
          <w:szCs w:val="18"/>
          <w:lang w:val="tr-TR"/>
        </w:rPr>
      </w:pPr>
      <w:r w:rsidRPr="00493173">
        <w:rPr>
          <w:sz w:val="18"/>
          <w:szCs w:val="18"/>
          <w:lang w:val="tr-TR"/>
        </w:rPr>
        <w:footnoteRef/>
      </w:r>
      <w:r w:rsidRPr="00493173">
        <w:rPr>
          <w:sz w:val="18"/>
          <w:szCs w:val="18"/>
          <w:lang w:val="tr-TR"/>
        </w:rPr>
        <w:t xml:space="preserve"> Venedik Komisyonu, CDL-AD(2008)026, İnceleme No. 406/2006, </w:t>
      </w:r>
      <w:r w:rsidR="00D05E6C" w:rsidRPr="00493173">
        <w:rPr>
          <w:sz w:val="18"/>
          <w:szCs w:val="18"/>
          <w:lang w:val="tr-TR"/>
        </w:rPr>
        <w:t>İfade Özgürlüğü ve Din Özgürlüğü Arasındaki İlişki Hakkında Rapor: Dine Küfür, Dini Hakaret ve Dini Nefret</w:t>
      </w:r>
      <w:r w:rsidR="00C47203" w:rsidRPr="00493173">
        <w:rPr>
          <w:sz w:val="18"/>
          <w:szCs w:val="18"/>
          <w:lang w:val="tr-TR"/>
        </w:rPr>
        <w:t xml:space="preserve">i </w:t>
      </w:r>
      <w:r w:rsidR="00235EB8">
        <w:rPr>
          <w:sz w:val="18"/>
          <w:szCs w:val="18"/>
          <w:lang w:val="tr-TR"/>
        </w:rPr>
        <w:t>Tahrikin</w:t>
      </w:r>
      <w:r w:rsidR="00C47203" w:rsidRPr="00493173">
        <w:rPr>
          <w:sz w:val="18"/>
          <w:szCs w:val="18"/>
          <w:lang w:val="tr-TR"/>
        </w:rPr>
        <w:t xml:space="preserve"> Düzenlenmesi ve Kovuşturulması, 23 Ekim 2008. </w:t>
      </w:r>
    </w:p>
  </w:footnote>
  <w:footnote w:id="11">
    <w:p w14:paraId="32DCB99C" w14:textId="62D45D0F" w:rsidR="00326DC2" w:rsidRPr="00493173" w:rsidRDefault="00326DC2">
      <w:pPr>
        <w:pStyle w:val="DipnotMetni"/>
        <w:rPr>
          <w:sz w:val="18"/>
          <w:szCs w:val="18"/>
          <w:lang w:val="tr-TR"/>
        </w:rPr>
      </w:pPr>
      <w:r w:rsidRPr="00493173">
        <w:rPr>
          <w:rStyle w:val="DipnotBavurusu"/>
          <w:lang w:val="tr-TR"/>
        </w:rPr>
        <w:footnoteRef/>
      </w:r>
      <w:r w:rsidRPr="00493173">
        <w:rPr>
          <w:lang w:val="tr-TR"/>
        </w:rPr>
        <w:t xml:space="preserve"> </w:t>
      </w:r>
      <w:r w:rsidRPr="00493173">
        <w:rPr>
          <w:sz w:val="18"/>
          <w:szCs w:val="18"/>
          <w:lang w:val="tr-TR"/>
        </w:rPr>
        <w:t xml:space="preserve">AGİT, </w:t>
      </w:r>
      <w:r w:rsidR="00EE4B56" w:rsidRPr="00493173">
        <w:rPr>
          <w:sz w:val="18"/>
          <w:szCs w:val="18"/>
          <w:lang w:val="tr-TR"/>
        </w:rPr>
        <w:t>Türk Ceza Kanunu Taslağı</w:t>
      </w:r>
      <w:r w:rsidR="00D9215B" w:rsidRPr="00493173">
        <w:rPr>
          <w:sz w:val="18"/>
          <w:szCs w:val="18"/>
          <w:lang w:val="tr-TR"/>
        </w:rPr>
        <w:t xml:space="preserve"> Hakkında</w:t>
      </w:r>
      <w:r w:rsidR="00EE4B56" w:rsidRPr="00493173">
        <w:rPr>
          <w:sz w:val="18"/>
          <w:szCs w:val="18"/>
          <w:lang w:val="tr-TR"/>
        </w:rPr>
        <w:t xml:space="preserve"> İncele</w:t>
      </w:r>
      <w:r w:rsidR="00D9215B" w:rsidRPr="00493173">
        <w:rPr>
          <w:sz w:val="18"/>
          <w:szCs w:val="18"/>
          <w:lang w:val="tr-TR"/>
        </w:rPr>
        <w:t>me</w:t>
      </w:r>
      <w:r w:rsidR="00EE4B56" w:rsidRPr="00493173">
        <w:rPr>
          <w:sz w:val="18"/>
          <w:szCs w:val="18"/>
          <w:lang w:val="tr-TR"/>
        </w:rPr>
        <w:t xml:space="preserve">: Medya Özgürlüğüne ilişkin Endişeler, </w:t>
      </w:r>
      <w:r w:rsidR="00D9215B" w:rsidRPr="00493173">
        <w:rPr>
          <w:sz w:val="18"/>
          <w:szCs w:val="18"/>
          <w:lang w:val="tr-TR"/>
        </w:rPr>
        <w:t>Viyana</w:t>
      </w:r>
      <w:r w:rsidR="00EE4B56" w:rsidRPr="00493173">
        <w:rPr>
          <w:sz w:val="18"/>
          <w:szCs w:val="18"/>
          <w:lang w:val="tr-TR"/>
        </w:rPr>
        <w:t xml:space="preserve">, </w:t>
      </w:r>
      <w:r w:rsidR="00232C2D" w:rsidRPr="00493173">
        <w:rPr>
          <w:sz w:val="18"/>
          <w:szCs w:val="18"/>
          <w:lang w:val="tr-TR"/>
        </w:rPr>
        <w:t>Mayıs 2015.</w:t>
      </w:r>
    </w:p>
  </w:footnote>
  <w:footnote w:id="12">
    <w:p w14:paraId="11F667DA" w14:textId="6EE59135" w:rsidR="00BE626E" w:rsidRPr="00493173" w:rsidRDefault="00BE626E">
      <w:pPr>
        <w:pStyle w:val="DipnotMetni"/>
        <w:rPr>
          <w:sz w:val="18"/>
          <w:szCs w:val="18"/>
          <w:lang w:val="tr-TR"/>
        </w:rPr>
      </w:pPr>
      <w:r w:rsidRPr="00493173">
        <w:rPr>
          <w:sz w:val="18"/>
          <w:szCs w:val="18"/>
          <w:lang w:val="tr-TR"/>
        </w:rPr>
        <w:footnoteRef/>
      </w:r>
      <w:r w:rsidRPr="00493173">
        <w:rPr>
          <w:sz w:val="18"/>
          <w:szCs w:val="18"/>
          <w:lang w:val="tr-TR"/>
        </w:rPr>
        <w:t xml:space="preserve"> </w:t>
      </w:r>
      <w:proofErr w:type="spellStart"/>
      <w:r w:rsidRPr="00493173">
        <w:rPr>
          <w:sz w:val="18"/>
          <w:szCs w:val="18"/>
          <w:lang w:val="tr-TR"/>
        </w:rPr>
        <w:t>CommDH</w:t>
      </w:r>
      <w:proofErr w:type="spellEnd"/>
      <w:r w:rsidRPr="00493173">
        <w:rPr>
          <w:sz w:val="18"/>
          <w:szCs w:val="18"/>
          <w:lang w:val="tr-TR"/>
        </w:rPr>
        <w:t xml:space="preserve">(2011)25, </w:t>
      </w:r>
      <w:r w:rsidR="00B1483A" w:rsidRPr="00493173">
        <w:rPr>
          <w:sz w:val="18"/>
          <w:szCs w:val="18"/>
          <w:lang w:val="tr-TR"/>
        </w:rPr>
        <w:t xml:space="preserve">27-29 Nisan 2011 tarihlerinde </w:t>
      </w:r>
      <w:r w:rsidR="00B1483A" w:rsidRPr="00493173">
        <w:rPr>
          <w:i/>
          <w:iCs/>
          <w:sz w:val="18"/>
          <w:szCs w:val="18"/>
          <w:lang w:val="tr-TR"/>
        </w:rPr>
        <w:t xml:space="preserve">Türkiye’ye yaptığı ziyaret sonrasında </w:t>
      </w:r>
      <w:r w:rsidRPr="00493173">
        <w:rPr>
          <w:i/>
          <w:iCs/>
          <w:sz w:val="18"/>
          <w:szCs w:val="18"/>
          <w:lang w:val="tr-TR"/>
        </w:rPr>
        <w:t xml:space="preserve">Avrupa Konseyi İnsan Hakları Komiseri Thomas </w:t>
      </w:r>
      <w:proofErr w:type="spellStart"/>
      <w:r w:rsidRPr="00493173">
        <w:rPr>
          <w:i/>
          <w:iCs/>
          <w:sz w:val="18"/>
          <w:szCs w:val="18"/>
          <w:lang w:val="tr-TR"/>
        </w:rPr>
        <w:t>Hammarberg</w:t>
      </w:r>
      <w:proofErr w:type="spellEnd"/>
      <w:r w:rsidR="00B1483A" w:rsidRPr="00493173">
        <w:rPr>
          <w:i/>
          <w:iCs/>
          <w:sz w:val="18"/>
          <w:szCs w:val="18"/>
          <w:lang w:val="tr-TR"/>
        </w:rPr>
        <w:t xml:space="preserve"> tarafından hazırlanan Rapor</w:t>
      </w:r>
      <w:r w:rsidR="00B1483A" w:rsidRPr="00493173">
        <w:rPr>
          <w:sz w:val="18"/>
          <w:szCs w:val="18"/>
          <w:lang w:val="tr-TR"/>
        </w:rPr>
        <w:t xml:space="preserve">, </w:t>
      </w:r>
      <w:r w:rsidR="001645E7" w:rsidRPr="00493173">
        <w:rPr>
          <w:sz w:val="18"/>
          <w:szCs w:val="18"/>
          <w:lang w:val="tr-TR"/>
        </w:rPr>
        <w:t xml:space="preserve">12 Temmuz 2011. Ayrıca bakınız örneğin, </w:t>
      </w:r>
      <w:proofErr w:type="spellStart"/>
      <w:r w:rsidR="001645E7" w:rsidRPr="00493173">
        <w:rPr>
          <w:sz w:val="18"/>
          <w:szCs w:val="18"/>
          <w:lang w:val="tr-TR"/>
        </w:rPr>
        <w:t>CommDH</w:t>
      </w:r>
      <w:proofErr w:type="spellEnd"/>
      <w:r w:rsidR="001645E7" w:rsidRPr="00493173">
        <w:rPr>
          <w:sz w:val="18"/>
          <w:szCs w:val="18"/>
          <w:lang w:val="tr-TR"/>
        </w:rPr>
        <w:t xml:space="preserve">(2012)2, </w:t>
      </w:r>
      <w:r w:rsidR="005627A0" w:rsidRPr="00493173">
        <w:rPr>
          <w:i/>
          <w:iCs/>
          <w:sz w:val="18"/>
          <w:szCs w:val="18"/>
          <w:lang w:val="tr-TR"/>
        </w:rPr>
        <w:t xml:space="preserve">Avrupa Konseyi İnsan Hakları Komiserinin </w:t>
      </w:r>
      <w:r w:rsidR="007E0928" w:rsidRPr="00493173">
        <w:rPr>
          <w:i/>
          <w:iCs/>
          <w:sz w:val="18"/>
          <w:szCs w:val="18"/>
          <w:lang w:val="tr-TR"/>
        </w:rPr>
        <w:t>Türkiye ziyaretine ilişkin Raporu</w:t>
      </w:r>
      <w:r w:rsidR="00350FF1" w:rsidRPr="00493173">
        <w:rPr>
          <w:sz w:val="18"/>
          <w:szCs w:val="18"/>
          <w:lang w:val="tr-TR"/>
        </w:rPr>
        <w:t xml:space="preserve">. </w:t>
      </w:r>
      <w:r w:rsidR="00350FF1" w:rsidRPr="00493173">
        <w:rPr>
          <w:i/>
          <w:iCs/>
          <w:sz w:val="18"/>
          <w:szCs w:val="18"/>
          <w:lang w:val="tr-TR"/>
        </w:rPr>
        <w:t>İncelenen konular: Türkiye’de adalet yönetimi ve insan haklarının korunması,</w:t>
      </w:r>
      <w:r w:rsidR="00350FF1" w:rsidRPr="00493173">
        <w:rPr>
          <w:sz w:val="18"/>
          <w:szCs w:val="18"/>
          <w:lang w:val="tr-TR"/>
        </w:rPr>
        <w:t xml:space="preserve"> 10 Ocak 2012</w:t>
      </w:r>
      <w:r w:rsidR="00D8784D" w:rsidRPr="00493173">
        <w:rPr>
          <w:sz w:val="18"/>
          <w:szCs w:val="18"/>
          <w:lang w:val="tr-TR"/>
        </w:rPr>
        <w:t xml:space="preserve">; </w:t>
      </w:r>
      <w:proofErr w:type="spellStart"/>
      <w:r w:rsidR="00D8784D" w:rsidRPr="00493173">
        <w:rPr>
          <w:sz w:val="18"/>
          <w:szCs w:val="18"/>
          <w:lang w:val="tr-TR"/>
        </w:rPr>
        <w:t>CommDH</w:t>
      </w:r>
      <w:proofErr w:type="spellEnd"/>
      <w:r w:rsidR="00D8784D" w:rsidRPr="00493173">
        <w:rPr>
          <w:sz w:val="18"/>
          <w:szCs w:val="18"/>
          <w:lang w:val="tr-TR"/>
        </w:rPr>
        <w:t xml:space="preserve">(2013)24, </w:t>
      </w:r>
      <w:r w:rsidR="00D8784D" w:rsidRPr="00493173">
        <w:rPr>
          <w:i/>
          <w:iCs/>
          <w:sz w:val="18"/>
          <w:szCs w:val="18"/>
          <w:lang w:val="tr-TR"/>
        </w:rPr>
        <w:t xml:space="preserve">Avrupa Konseyi İnsan Hakları Komiseri </w:t>
      </w:r>
      <w:proofErr w:type="spellStart"/>
      <w:r w:rsidR="00D8784D" w:rsidRPr="00493173">
        <w:rPr>
          <w:i/>
          <w:iCs/>
          <w:sz w:val="18"/>
          <w:szCs w:val="18"/>
          <w:lang w:val="tr-TR"/>
        </w:rPr>
        <w:t>Nils</w:t>
      </w:r>
      <w:proofErr w:type="spellEnd"/>
      <w:r w:rsidR="00D8784D" w:rsidRPr="00493173">
        <w:rPr>
          <w:i/>
          <w:iCs/>
          <w:sz w:val="18"/>
          <w:szCs w:val="18"/>
          <w:lang w:val="tr-TR"/>
        </w:rPr>
        <w:t xml:space="preserve"> </w:t>
      </w:r>
      <w:proofErr w:type="spellStart"/>
      <w:r w:rsidR="00D8784D" w:rsidRPr="00493173">
        <w:rPr>
          <w:i/>
          <w:iCs/>
          <w:sz w:val="18"/>
          <w:szCs w:val="18"/>
          <w:lang w:val="tr-TR"/>
        </w:rPr>
        <w:t>Muižnieks’in</w:t>
      </w:r>
      <w:proofErr w:type="spellEnd"/>
      <w:r w:rsidR="00D8784D" w:rsidRPr="00493173">
        <w:rPr>
          <w:i/>
          <w:iCs/>
          <w:sz w:val="18"/>
          <w:szCs w:val="18"/>
          <w:lang w:val="tr-TR"/>
        </w:rPr>
        <w:t xml:space="preserve"> 1-5 Temmuz 2013 tarihlerinde Türkiye’ye yaptığı ziyaret sonrasında hazırladığı Rapor, 26 Kasım 2013</w:t>
      </w:r>
    </w:p>
  </w:footnote>
  <w:footnote w:id="13">
    <w:p w14:paraId="210586B9" w14:textId="197DB534" w:rsidR="00E84090" w:rsidRPr="00493173" w:rsidRDefault="00E84090">
      <w:pPr>
        <w:pStyle w:val="DipnotMetni"/>
        <w:rPr>
          <w:sz w:val="18"/>
          <w:szCs w:val="18"/>
          <w:lang w:val="tr-TR"/>
        </w:rPr>
      </w:pPr>
      <w:r w:rsidRPr="00493173">
        <w:rPr>
          <w:rStyle w:val="DipnotBavurusu"/>
          <w:lang w:val="tr-TR"/>
        </w:rPr>
        <w:footnoteRef/>
      </w:r>
      <w:r w:rsidRPr="00493173">
        <w:rPr>
          <w:lang w:val="tr-TR"/>
        </w:rPr>
        <w:t xml:space="preserve"> </w:t>
      </w:r>
      <w:proofErr w:type="spellStart"/>
      <w:r w:rsidR="00357B24" w:rsidRPr="00493173">
        <w:rPr>
          <w:sz w:val="18"/>
          <w:szCs w:val="18"/>
          <w:lang w:val="tr-TR"/>
        </w:rPr>
        <w:t>CommDH</w:t>
      </w:r>
      <w:proofErr w:type="spellEnd"/>
      <w:r w:rsidR="00357B24" w:rsidRPr="00493173">
        <w:rPr>
          <w:sz w:val="18"/>
          <w:szCs w:val="18"/>
          <w:lang w:val="tr-TR"/>
        </w:rPr>
        <w:t>(2011)25, s. 2.</w:t>
      </w:r>
    </w:p>
  </w:footnote>
  <w:footnote w:id="14">
    <w:p w14:paraId="07E5A564" w14:textId="79A5750C" w:rsidR="00A85066" w:rsidRPr="00493173" w:rsidRDefault="00A85066">
      <w:pPr>
        <w:pStyle w:val="DipnotMetni"/>
        <w:rPr>
          <w:lang w:val="tr-TR"/>
        </w:rPr>
      </w:pPr>
      <w:r w:rsidRPr="00493173">
        <w:rPr>
          <w:rStyle w:val="DipnotBavurusu"/>
          <w:lang w:val="tr-TR"/>
        </w:rPr>
        <w:footnoteRef/>
      </w:r>
      <w:r w:rsidRPr="00493173">
        <w:rPr>
          <w:lang w:val="tr-TR"/>
        </w:rPr>
        <w:t xml:space="preserve"> </w:t>
      </w:r>
      <w:proofErr w:type="spellStart"/>
      <w:r w:rsidR="00994B23" w:rsidRPr="00493173">
        <w:rPr>
          <w:lang w:val="tr-TR"/>
        </w:rPr>
        <w:t>a.g.e</w:t>
      </w:r>
      <w:proofErr w:type="spellEnd"/>
      <w:r w:rsidR="00994B23" w:rsidRPr="00493173">
        <w:rPr>
          <w:lang w:val="tr-TR"/>
        </w:rPr>
        <w:t>.</w:t>
      </w:r>
      <w:r w:rsidRPr="00493173">
        <w:rPr>
          <w:lang w:val="tr-TR"/>
        </w:rPr>
        <w:t xml:space="preserve"> para</w:t>
      </w:r>
      <w:r w:rsidR="00994B23" w:rsidRPr="00493173">
        <w:rPr>
          <w:lang w:val="tr-TR"/>
        </w:rPr>
        <w:t>g</w:t>
      </w:r>
      <w:r w:rsidRPr="00493173">
        <w:rPr>
          <w:lang w:val="tr-TR"/>
        </w:rPr>
        <w:t>. 16.</w:t>
      </w:r>
    </w:p>
  </w:footnote>
  <w:footnote w:id="15">
    <w:p w14:paraId="518BCF53" w14:textId="54E975C8" w:rsidR="00E1643C" w:rsidRPr="00493173" w:rsidRDefault="00E1643C">
      <w:pPr>
        <w:pStyle w:val="DipnotMetni"/>
        <w:rPr>
          <w:lang w:val="tr-TR"/>
        </w:rPr>
      </w:pPr>
      <w:r w:rsidRPr="00493173">
        <w:rPr>
          <w:rStyle w:val="DipnotBavurusu"/>
          <w:lang w:val="tr-TR"/>
        </w:rPr>
        <w:footnoteRef/>
      </w:r>
      <w:r w:rsidRPr="00493173">
        <w:rPr>
          <w:lang w:val="tr-TR"/>
        </w:rPr>
        <w:t xml:space="preserve"> </w:t>
      </w:r>
      <w:proofErr w:type="spellStart"/>
      <w:r w:rsidR="00352367" w:rsidRPr="00493173">
        <w:rPr>
          <w:lang w:val="tr-TR"/>
        </w:rPr>
        <w:t>a.g.e</w:t>
      </w:r>
      <w:proofErr w:type="spellEnd"/>
      <w:r w:rsidR="00352367" w:rsidRPr="00493173">
        <w:rPr>
          <w:lang w:val="tr-TR"/>
        </w:rPr>
        <w:t>.</w:t>
      </w:r>
    </w:p>
  </w:footnote>
  <w:footnote w:id="16">
    <w:p w14:paraId="17317DE8" w14:textId="65088F99" w:rsidR="008C4123" w:rsidRPr="00695D57" w:rsidRDefault="008C4123">
      <w:pPr>
        <w:pStyle w:val="DipnotMetni"/>
        <w:rPr>
          <w:sz w:val="18"/>
          <w:szCs w:val="18"/>
          <w:lang w:val="tr-TR"/>
        </w:rPr>
      </w:pPr>
      <w:r w:rsidRPr="00695D57">
        <w:rPr>
          <w:rStyle w:val="DipnotBavurusu"/>
          <w:sz w:val="18"/>
          <w:szCs w:val="18"/>
          <w:lang w:val="tr-TR"/>
        </w:rPr>
        <w:footnoteRef/>
      </w:r>
      <w:r w:rsidRPr="00695D57">
        <w:rPr>
          <w:sz w:val="18"/>
          <w:szCs w:val="18"/>
          <w:lang w:val="tr-TR"/>
        </w:rPr>
        <w:t xml:space="preserve"> </w:t>
      </w:r>
      <w:r w:rsidR="001E69EC" w:rsidRPr="00695D57">
        <w:rPr>
          <w:sz w:val="18"/>
          <w:szCs w:val="18"/>
          <w:lang w:val="tr-TR"/>
        </w:rPr>
        <w:t xml:space="preserve">Komiserin, </w:t>
      </w:r>
      <w:r w:rsidRPr="00695D57">
        <w:rPr>
          <w:sz w:val="18"/>
          <w:szCs w:val="18"/>
          <w:lang w:val="tr-TR"/>
        </w:rPr>
        <w:t xml:space="preserve">Türkiye’de </w:t>
      </w:r>
      <w:r w:rsidR="001E69EC" w:rsidRPr="00695D57">
        <w:rPr>
          <w:sz w:val="18"/>
          <w:szCs w:val="18"/>
          <w:lang w:val="tr-TR"/>
        </w:rPr>
        <w:t xml:space="preserve">gazetecilerin yakalanması üzerine endişesini </w:t>
      </w:r>
      <w:r w:rsidR="006967EB">
        <w:rPr>
          <w:sz w:val="18"/>
          <w:szCs w:val="18"/>
          <w:lang w:val="tr-TR"/>
        </w:rPr>
        <w:t xml:space="preserve">dile </w:t>
      </w:r>
      <w:r w:rsidR="001E69EC" w:rsidRPr="00695D57">
        <w:rPr>
          <w:sz w:val="18"/>
          <w:szCs w:val="18"/>
          <w:lang w:val="tr-TR"/>
        </w:rPr>
        <w:t>getirdiği açıklaması</w:t>
      </w:r>
      <w:r w:rsidRPr="00695D57">
        <w:rPr>
          <w:sz w:val="18"/>
          <w:szCs w:val="18"/>
          <w:lang w:val="tr-TR"/>
        </w:rPr>
        <w:t>: http://www.coe.int/en/web/commissioner/-/commissioner-concerned-about-arrest-of-journalists-in- turkey?inheritRedirect=true&amp;redirect=%2Fen%2Fweb%2Fcommissioner%2Fcountry-report%2Fturkey</w:t>
      </w:r>
    </w:p>
  </w:footnote>
  <w:footnote w:id="17">
    <w:p w14:paraId="4E27E902" w14:textId="1EFEF4C6" w:rsidR="00E67B1D" w:rsidRPr="00695D57" w:rsidRDefault="00E67B1D" w:rsidP="00E67B1D">
      <w:pPr>
        <w:pStyle w:val="DipnotMetni"/>
        <w:rPr>
          <w:sz w:val="18"/>
          <w:szCs w:val="18"/>
          <w:lang w:val="tr-TR"/>
        </w:rPr>
      </w:pPr>
      <w:r w:rsidRPr="00695D57">
        <w:rPr>
          <w:sz w:val="18"/>
          <w:szCs w:val="18"/>
          <w:lang w:val="tr-TR"/>
        </w:rPr>
        <w:footnoteRef/>
      </w:r>
      <w:r w:rsidRPr="00695D57">
        <w:rPr>
          <w:sz w:val="18"/>
          <w:szCs w:val="18"/>
          <w:lang w:val="tr-TR"/>
        </w:rPr>
        <w:t xml:space="preserve"> UN </w:t>
      </w:r>
      <w:proofErr w:type="spellStart"/>
      <w:r w:rsidRPr="00695D57">
        <w:rPr>
          <w:sz w:val="18"/>
          <w:szCs w:val="18"/>
          <w:lang w:val="tr-TR"/>
        </w:rPr>
        <w:t>Doc</w:t>
      </w:r>
      <w:proofErr w:type="spellEnd"/>
      <w:r w:rsidRPr="00695D57">
        <w:rPr>
          <w:sz w:val="18"/>
          <w:szCs w:val="18"/>
          <w:lang w:val="tr-TR"/>
        </w:rPr>
        <w:t xml:space="preserve">. CERD/C/TUR/CO/3, Irk Ayrımcılığının Ortadan Kaldırılması Komitesinin Sonuç Gözlemleri, 24 Mart 2009, parag.16. Ayrıca bakınız UN </w:t>
      </w:r>
      <w:proofErr w:type="spellStart"/>
      <w:r w:rsidRPr="00695D57">
        <w:rPr>
          <w:sz w:val="18"/>
          <w:szCs w:val="18"/>
          <w:lang w:val="tr-TR"/>
        </w:rPr>
        <w:t>Doc</w:t>
      </w:r>
      <w:proofErr w:type="spellEnd"/>
      <w:r w:rsidRPr="00695D57">
        <w:rPr>
          <w:sz w:val="18"/>
          <w:szCs w:val="18"/>
          <w:lang w:val="tr-TR"/>
        </w:rPr>
        <w:t>. A/HRC/15/13, Evrensel Periyodik İnceleme Çalışma Grubunun Raporu. Türkiye, 17 Haziran 2010.</w:t>
      </w:r>
    </w:p>
  </w:footnote>
  <w:footnote w:id="18">
    <w:p w14:paraId="2B3BF9C7" w14:textId="77016ACA" w:rsidR="00FE761A" w:rsidRPr="00695D57" w:rsidRDefault="00FE761A">
      <w:pPr>
        <w:pStyle w:val="DipnotMetni"/>
        <w:rPr>
          <w:sz w:val="18"/>
          <w:szCs w:val="18"/>
          <w:lang w:val="tr-TR"/>
        </w:rPr>
      </w:pPr>
      <w:r w:rsidRPr="00695D57">
        <w:rPr>
          <w:sz w:val="18"/>
          <w:szCs w:val="18"/>
          <w:lang w:val="tr-TR"/>
        </w:rPr>
        <w:footnoteRef/>
      </w:r>
      <w:r w:rsidRPr="00695D57">
        <w:rPr>
          <w:sz w:val="18"/>
          <w:szCs w:val="18"/>
          <w:lang w:val="tr-TR"/>
        </w:rPr>
        <w:t xml:space="preserve"> UN </w:t>
      </w:r>
      <w:proofErr w:type="spellStart"/>
      <w:r w:rsidRPr="00695D57">
        <w:rPr>
          <w:sz w:val="18"/>
          <w:szCs w:val="18"/>
          <w:lang w:val="tr-TR"/>
        </w:rPr>
        <w:t>Doc</w:t>
      </w:r>
      <w:proofErr w:type="spellEnd"/>
      <w:r w:rsidRPr="00695D57">
        <w:rPr>
          <w:sz w:val="18"/>
          <w:szCs w:val="18"/>
          <w:lang w:val="tr-TR"/>
        </w:rPr>
        <w:t xml:space="preserve">. CCPR/C/TUR/CO/1, Türkiye ile ilgili ilk rapora ilişkin sonuç gözlemleri, 13 </w:t>
      </w:r>
      <w:r w:rsidR="003D29E5" w:rsidRPr="00695D57">
        <w:rPr>
          <w:sz w:val="18"/>
          <w:szCs w:val="18"/>
          <w:lang w:val="tr-TR"/>
        </w:rPr>
        <w:t>K</w:t>
      </w:r>
      <w:r w:rsidRPr="00695D57">
        <w:rPr>
          <w:sz w:val="18"/>
          <w:szCs w:val="18"/>
          <w:lang w:val="tr-TR"/>
        </w:rPr>
        <w:t>asım 2012, Parag.24.</w:t>
      </w:r>
    </w:p>
  </w:footnote>
  <w:footnote w:id="19">
    <w:p w14:paraId="5B84803A" w14:textId="4F88C0D1" w:rsidR="00843D1D" w:rsidRPr="00695D57" w:rsidRDefault="00843D1D">
      <w:pPr>
        <w:pStyle w:val="DipnotMetni"/>
        <w:rPr>
          <w:sz w:val="18"/>
          <w:szCs w:val="18"/>
          <w:lang w:val="tr-TR"/>
        </w:rPr>
      </w:pPr>
      <w:r w:rsidRPr="00695D57">
        <w:rPr>
          <w:rStyle w:val="DipnotBavurusu"/>
          <w:sz w:val="18"/>
          <w:szCs w:val="18"/>
          <w:lang w:val="tr-TR"/>
        </w:rPr>
        <w:footnoteRef/>
      </w:r>
      <w:r w:rsidRPr="00695D57">
        <w:rPr>
          <w:sz w:val="18"/>
          <w:szCs w:val="18"/>
          <w:lang w:val="tr-TR"/>
        </w:rPr>
        <w:t xml:space="preserve"> SWD(2015)216Final, </w:t>
      </w:r>
      <w:r w:rsidR="00686E29" w:rsidRPr="00695D57">
        <w:rPr>
          <w:sz w:val="18"/>
          <w:szCs w:val="18"/>
          <w:lang w:val="tr-TR"/>
        </w:rPr>
        <w:t>Türkiye</w:t>
      </w:r>
      <w:r w:rsidRPr="00695D57">
        <w:rPr>
          <w:sz w:val="18"/>
          <w:szCs w:val="18"/>
          <w:lang w:val="tr-TR"/>
        </w:rPr>
        <w:t xml:space="preserve">: 2015 </w:t>
      </w:r>
      <w:r w:rsidR="00686E29" w:rsidRPr="00695D57">
        <w:rPr>
          <w:sz w:val="18"/>
          <w:szCs w:val="18"/>
          <w:lang w:val="tr-TR"/>
        </w:rPr>
        <w:t>Raporu</w:t>
      </w:r>
      <w:r w:rsidRPr="00695D57">
        <w:rPr>
          <w:sz w:val="18"/>
          <w:szCs w:val="18"/>
          <w:lang w:val="tr-TR"/>
        </w:rPr>
        <w:t>, 10 Kasım 2015, s. 63-64.</w:t>
      </w:r>
    </w:p>
  </w:footnote>
  <w:footnote w:id="20">
    <w:p w14:paraId="24E5DC4E" w14:textId="77777777" w:rsidR="00254446" w:rsidRPr="00695D57" w:rsidRDefault="00254446" w:rsidP="00254446">
      <w:pPr>
        <w:pStyle w:val="DipnotMetni"/>
        <w:rPr>
          <w:sz w:val="18"/>
          <w:szCs w:val="18"/>
          <w:lang w:val="tr-TR"/>
        </w:rPr>
      </w:pPr>
      <w:r w:rsidRPr="00695D57">
        <w:rPr>
          <w:rStyle w:val="DipnotBavurusu"/>
          <w:sz w:val="18"/>
          <w:szCs w:val="18"/>
          <w:lang w:val="tr-TR"/>
        </w:rPr>
        <w:footnoteRef/>
      </w:r>
      <w:r w:rsidRPr="00695D57">
        <w:rPr>
          <w:sz w:val="18"/>
          <w:szCs w:val="18"/>
          <w:lang w:val="tr-TR"/>
        </w:rPr>
        <w:t xml:space="preserve"> http://www.theguardian.com/world/2016/jan/15/turkey-rounds-up-academics-who-signed-petition-denouncing- </w:t>
      </w:r>
      <w:proofErr w:type="spellStart"/>
      <w:r w:rsidRPr="00695D57">
        <w:rPr>
          <w:sz w:val="18"/>
          <w:szCs w:val="18"/>
          <w:lang w:val="tr-TR"/>
        </w:rPr>
        <w:t>attacks</w:t>
      </w:r>
      <w:proofErr w:type="spellEnd"/>
      <w:r w:rsidRPr="00695D57">
        <w:rPr>
          <w:sz w:val="18"/>
          <w:szCs w:val="18"/>
          <w:lang w:val="tr-TR"/>
        </w:rPr>
        <w:t>-on-</w:t>
      </w:r>
      <w:proofErr w:type="spellStart"/>
      <w:r w:rsidRPr="00695D57">
        <w:rPr>
          <w:sz w:val="18"/>
          <w:szCs w:val="18"/>
          <w:lang w:val="tr-TR"/>
        </w:rPr>
        <w:t>kurds</w:t>
      </w:r>
      <w:proofErr w:type="spellEnd"/>
    </w:p>
    <w:p w14:paraId="094039CB" w14:textId="17DB3728" w:rsidR="00254446" w:rsidRPr="00695D57" w:rsidRDefault="00D42127" w:rsidP="00254446">
      <w:pPr>
        <w:pStyle w:val="DipnotMetni"/>
        <w:rPr>
          <w:sz w:val="18"/>
          <w:szCs w:val="18"/>
          <w:lang w:val="tr-TR"/>
        </w:rPr>
      </w:pPr>
      <w:r w:rsidRPr="00695D57">
        <w:rPr>
          <w:sz w:val="18"/>
          <w:szCs w:val="18"/>
          <w:lang w:val="tr-TR"/>
        </w:rPr>
        <w:t xml:space="preserve">Dilekçenin tam metni için </w:t>
      </w:r>
      <w:r w:rsidR="00643BCD" w:rsidRPr="00695D57">
        <w:rPr>
          <w:sz w:val="18"/>
          <w:szCs w:val="18"/>
          <w:lang w:val="tr-TR"/>
        </w:rPr>
        <w:t>bakınız</w:t>
      </w:r>
      <w:r w:rsidR="00254446" w:rsidRPr="00695D57">
        <w:rPr>
          <w:sz w:val="18"/>
          <w:szCs w:val="18"/>
          <w:lang w:val="tr-TR"/>
        </w:rPr>
        <w:t xml:space="preserve">: </w:t>
      </w:r>
      <w:hyperlink r:id="rId1" w:history="1">
        <w:r w:rsidR="00254446" w:rsidRPr="00695D57">
          <w:rPr>
            <w:rStyle w:val="Kpr"/>
            <w:sz w:val="18"/>
            <w:szCs w:val="18"/>
            <w:lang w:val="tr-TR"/>
          </w:rPr>
          <w:t>http://www.ibtimes.co.uk/turkish-dons-arrested-full-text-declaration-criticising- military-campaign-against-kurdish-1538161</w:t>
        </w:r>
      </w:hyperlink>
      <w:r w:rsidR="00254446" w:rsidRPr="00695D57">
        <w:rPr>
          <w:sz w:val="18"/>
          <w:szCs w:val="18"/>
          <w:lang w:val="tr-TR"/>
        </w:rPr>
        <w:t xml:space="preserve"> </w:t>
      </w:r>
    </w:p>
  </w:footnote>
  <w:footnote w:id="21">
    <w:p w14:paraId="352F6DFB" w14:textId="77777777" w:rsidR="00F355BE" w:rsidRPr="00695D57" w:rsidRDefault="00F355BE" w:rsidP="00F355BE">
      <w:pPr>
        <w:pStyle w:val="DipnotMetni"/>
        <w:rPr>
          <w:sz w:val="18"/>
          <w:szCs w:val="18"/>
          <w:lang w:val="tr-TR"/>
        </w:rPr>
      </w:pPr>
      <w:r w:rsidRPr="00695D57">
        <w:rPr>
          <w:rStyle w:val="DipnotBavurusu"/>
          <w:sz w:val="18"/>
          <w:szCs w:val="18"/>
          <w:lang w:val="tr-TR"/>
        </w:rPr>
        <w:footnoteRef/>
      </w:r>
      <w:r w:rsidRPr="00695D57">
        <w:rPr>
          <w:sz w:val="18"/>
          <w:szCs w:val="18"/>
          <w:lang w:val="tr-TR"/>
        </w:rPr>
        <w:t xml:space="preserve"> http://www.nytimes.com/2016/01/16/world/europe/turkey-kurds.html?_r=0</w:t>
      </w:r>
    </w:p>
    <w:p w14:paraId="3217677D" w14:textId="779B0B73" w:rsidR="00F355BE" w:rsidRPr="00695D57" w:rsidRDefault="00F355BE" w:rsidP="00F355BE">
      <w:pPr>
        <w:pStyle w:val="DipnotMetni"/>
        <w:rPr>
          <w:sz w:val="18"/>
          <w:szCs w:val="18"/>
          <w:lang w:val="tr-TR"/>
        </w:rPr>
      </w:pPr>
      <w:r w:rsidRPr="00695D57">
        <w:rPr>
          <w:sz w:val="18"/>
          <w:szCs w:val="18"/>
          <w:lang w:val="tr-TR"/>
        </w:rPr>
        <w:t xml:space="preserve">http://www.lefigaro.fr/flash-actu/2016/01/15/97001-20160115FILWWW00042-turquie-des-signataires-d-une- </w:t>
      </w:r>
      <w:proofErr w:type="spellStart"/>
      <w:r w:rsidRPr="00695D57">
        <w:rPr>
          <w:sz w:val="18"/>
          <w:szCs w:val="18"/>
          <w:lang w:val="tr-TR"/>
        </w:rPr>
        <w:t>petition-arretes.php</w:t>
      </w:r>
      <w:proofErr w:type="spellEnd"/>
    </w:p>
  </w:footnote>
  <w:footnote w:id="22">
    <w:p w14:paraId="040E63CD" w14:textId="34CCD4C6" w:rsidR="007841FE" w:rsidRPr="00695D57" w:rsidRDefault="007841FE">
      <w:pPr>
        <w:pStyle w:val="DipnotMetni"/>
        <w:rPr>
          <w:sz w:val="18"/>
          <w:szCs w:val="18"/>
          <w:lang w:val="tr-TR"/>
        </w:rPr>
      </w:pPr>
      <w:r w:rsidRPr="00695D57">
        <w:rPr>
          <w:rStyle w:val="DipnotBavurusu"/>
          <w:sz w:val="18"/>
          <w:szCs w:val="18"/>
          <w:lang w:val="tr-TR"/>
        </w:rPr>
        <w:footnoteRef/>
      </w:r>
      <w:r w:rsidRPr="00695D57">
        <w:rPr>
          <w:sz w:val="18"/>
          <w:szCs w:val="18"/>
          <w:lang w:val="tr-TR"/>
        </w:rPr>
        <w:t xml:space="preserve"> “</w:t>
      </w:r>
      <w:r w:rsidR="00D36C48" w:rsidRPr="00695D57">
        <w:rPr>
          <w:sz w:val="18"/>
          <w:szCs w:val="18"/>
          <w:lang w:val="tr-TR"/>
        </w:rPr>
        <w:t xml:space="preserve">“Türkiye’de bugün bazı akademisyenler ve </w:t>
      </w:r>
      <w:r w:rsidR="00695D57" w:rsidRPr="00695D57">
        <w:rPr>
          <w:sz w:val="18"/>
          <w:szCs w:val="18"/>
          <w:lang w:val="tr-TR"/>
        </w:rPr>
        <w:t>entelektüellerin</w:t>
      </w:r>
      <w:r w:rsidR="00D36C48" w:rsidRPr="00695D57">
        <w:rPr>
          <w:sz w:val="18"/>
          <w:szCs w:val="18"/>
          <w:lang w:val="tr-TR"/>
        </w:rPr>
        <w:t xml:space="preserve"> yakalandığına dair gelen haberler çok endişe vericidir. Türkiye’nin terör saldırılarından ötürü büyük bir zorlukla mücadele ettiği bu sıkıntılı</w:t>
      </w:r>
      <w:r w:rsidR="00D36C48" w:rsidRPr="00695D57">
        <w:rPr>
          <w:lang w:val="tr-TR"/>
        </w:rPr>
        <w:t xml:space="preserve"> </w:t>
      </w:r>
      <w:r w:rsidR="00D36C48" w:rsidRPr="00695D57">
        <w:rPr>
          <w:sz w:val="18"/>
          <w:szCs w:val="18"/>
          <w:lang w:val="tr-TR"/>
        </w:rPr>
        <w:t>zamanlarda, şiddete ve terörizme karşı herkesi güçlerini birleştirmeye ve ifade özgürlüğü dahil insan haklarına saygı göstermeye çağırıyorum. Durumu sakinleştirmek için her türlü gayret gösterilmelidir”.</w:t>
      </w:r>
      <w:r w:rsidRPr="00695D57">
        <w:rPr>
          <w:sz w:val="18"/>
          <w:szCs w:val="18"/>
          <w:lang w:val="tr-TR"/>
        </w:rPr>
        <w:t xml:space="preserve"> </w:t>
      </w:r>
    </w:p>
  </w:footnote>
  <w:footnote w:id="23">
    <w:p w14:paraId="58E83A2F" w14:textId="7A224A4E" w:rsidR="00354041" w:rsidRPr="004947B9" w:rsidRDefault="00354041">
      <w:pPr>
        <w:pStyle w:val="DipnotMetni"/>
        <w:rPr>
          <w:sz w:val="18"/>
          <w:szCs w:val="18"/>
          <w:lang w:val="tr-TR"/>
        </w:rPr>
      </w:pPr>
      <w:r w:rsidRPr="004947B9">
        <w:rPr>
          <w:rStyle w:val="DipnotBavurusu"/>
          <w:sz w:val="18"/>
          <w:szCs w:val="18"/>
          <w:lang w:val="tr-TR"/>
        </w:rPr>
        <w:footnoteRef/>
      </w:r>
      <w:r w:rsidRPr="004947B9">
        <w:rPr>
          <w:sz w:val="18"/>
          <w:szCs w:val="18"/>
          <w:lang w:val="tr-TR"/>
        </w:rPr>
        <w:t xml:space="preserve"> AİHM, Dink – Türkiye davası, Başvuru sayıları 2668/07, 6102/08, 30079/08, 7072/09 ve 7124/09, 14 Eylül 2010, parag. 137.</w:t>
      </w:r>
    </w:p>
  </w:footnote>
  <w:footnote w:id="24">
    <w:p w14:paraId="10B0000D" w14:textId="3E8BE9DF" w:rsidR="00A249F5" w:rsidRPr="004947B9" w:rsidRDefault="00A249F5" w:rsidP="00A94576">
      <w:pPr>
        <w:pStyle w:val="DipnotMetni"/>
        <w:rPr>
          <w:sz w:val="18"/>
          <w:szCs w:val="18"/>
          <w:lang w:val="tr-TR"/>
        </w:rPr>
      </w:pPr>
      <w:r w:rsidRPr="004947B9">
        <w:rPr>
          <w:sz w:val="18"/>
          <w:szCs w:val="18"/>
          <w:lang w:val="tr-TR"/>
        </w:rPr>
        <w:footnoteRef/>
      </w:r>
      <w:r w:rsidRPr="004947B9">
        <w:rPr>
          <w:sz w:val="18"/>
          <w:szCs w:val="18"/>
          <w:lang w:val="tr-TR"/>
        </w:rPr>
        <w:t xml:space="preserve"> </w:t>
      </w:r>
      <w:r w:rsidR="00B14F33" w:rsidRPr="004947B9">
        <w:rPr>
          <w:sz w:val="18"/>
          <w:szCs w:val="18"/>
          <w:lang w:val="tr-TR"/>
        </w:rPr>
        <w:t xml:space="preserve">Bakınız </w:t>
      </w:r>
      <w:r w:rsidR="00DC1D58" w:rsidRPr="004947B9">
        <w:rPr>
          <w:sz w:val="18"/>
          <w:szCs w:val="18"/>
          <w:lang w:val="tr-TR"/>
        </w:rPr>
        <w:t xml:space="preserve">Avrupa Konseyi </w:t>
      </w:r>
      <w:r w:rsidR="00CD3F05" w:rsidRPr="004947B9">
        <w:rPr>
          <w:sz w:val="18"/>
          <w:szCs w:val="18"/>
          <w:lang w:val="tr-TR"/>
        </w:rPr>
        <w:t xml:space="preserve">Bakanlar Komitesi </w:t>
      </w:r>
      <w:r w:rsidR="00EA3073" w:rsidRPr="004947B9">
        <w:rPr>
          <w:sz w:val="18"/>
          <w:szCs w:val="18"/>
          <w:lang w:val="tr-TR"/>
        </w:rPr>
        <w:t xml:space="preserve">tarafından </w:t>
      </w:r>
      <w:r w:rsidR="00302CEC" w:rsidRPr="004947B9">
        <w:rPr>
          <w:sz w:val="18"/>
          <w:szCs w:val="18"/>
          <w:lang w:val="tr-TR"/>
        </w:rPr>
        <w:t>Bakan Yardımcılarının 30 Nisan 2014 tarihinde düzenlenen</w:t>
      </w:r>
      <w:r w:rsidR="00A94576" w:rsidRPr="004947B9">
        <w:rPr>
          <w:sz w:val="18"/>
          <w:szCs w:val="18"/>
          <w:lang w:val="tr-TR"/>
        </w:rPr>
        <w:t xml:space="preserve"> 1</w:t>
      </w:r>
      <w:r w:rsidR="00302CEC" w:rsidRPr="004947B9">
        <w:rPr>
          <w:sz w:val="18"/>
          <w:szCs w:val="18"/>
          <w:lang w:val="tr-TR"/>
        </w:rPr>
        <w:t>198. toplantısında kabul edilen</w:t>
      </w:r>
      <w:r w:rsidR="004947B9">
        <w:rPr>
          <w:sz w:val="18"/>
          <w:szCs w:val="18"/>
          <w:lang w:val="tr-TR"/>
        </w:rPr>
        <w:t>,</w:t>
      </w:r>
      <w:r w:rsidR="00302CEC" w:rsidRPr="004947B9">
        <w:rPr>
          <w:sz w:val="18"/>
          <w:szCs w:val="18"/>
          <w:lang w:val="tr-TR"/>
        </w:rPr>
        <w:t xml:space="preserve"> </w:t>
      </w:r>
      <w:r w:rsidR="00A94576" w:rsidRPr="004947B9">
        <w:rPr>
          <w:sz w:val="18"/>
          <w:szCs w:val="18"/>
          <w:lang w:val="tr-TR"/>
        </w:rPr>
        <w:t>g</w:t>
      </w:r>
      <w:r w:rsidR="00DC1D58" w:rsidRPr="004947B9">
        <w:rPr>
          <w:sz w:val="18"/>
          <w:szCs w:val="18"/>
          <w:lang w:val="tr-TR"/>
        </w:rPr>
        <w:t>azeteciliğin korunması ve gazetecilerin ve diğer med</w:t>
      </w:r>
      <w:r w:rsidR="004947B9">
        <w:rPr>
          <w:sz w:val="18"/>
          <w:szCs w:val="18"/>
          <w:lang w:val="tr-TR"/>
        </w:rPr>
        <w:t>y</w:t>
      </w:r>
      <w:r w:rsidR="00DC1D58" w:rsidRPr="004947B9">
        <w:rPr>
          <w:sz w:val="18"/>
          <w:szCs w:val="18"/>
          <w:lang w:val="tr-TR"/>
        </w:rPr>
        <w:t xml:space="preserve">a aktörlerinin güvenliğine ilişkin </w:t>
      </w:r>
      <w:r w:rsidR="00B14F33" w:rsidRPr="004947B9">
        <w:rPr>
          <w:sz w:val="18"/>
          <w:szCs w:val="18"/>
          <w:lang w:val="tr-TR"/>
        </w:rPr>
        <w:t>Avrupa Konseyi Bakanlar Komitesi Bildirgesi</w:t>
      </w:r>
      <w:r w:rsidR="00A94576" w:rsidRPr="004947B9">
        <w:rPr>
          <w:sz w:val="18"/>
          <w:szCs w:val="18"/>
          <w:lang w:val="tr-TR"/>
        </w:rPr>
        <w:t>.</w:t>
      </w:r>
    </w:p>
  </w:footnote>
  <w:footnote w:id="25">
    <w:p w14:paraId="553A4E8F" w14:textId="1EF1D436" w:rsidR="00FD2442" w:rsidRPr="004947B9" w:rsidRDefault="00FD2442" w:rsidP="002006D8">
      <w:pPr>
        <w:pStyle w:val="DipnotMetni"/>
        <w:rPr>
          <w:sz w:val="18"/>
          <w:szCs w:val="18"/>
          <w:lang w:val="tr-TR"/>
        </w:rPr>
      </w:pPr>
      <w:r w:rsidRPr="004947B9">
        <w:rPr>
          <w:sz w:val="18"/>
          <w:szCs w:val="18"/>
          <w:lang w:val="tr-TR"/>
        </w:rPr>
        <w:footnoteRef/>
      </w:r>
      <w:r w:rsidRPr="004947B9">
        <w:rPr>
          <w:sz w:val="18"/>
          <w:szCs w:val="18"/>
          <w:lang w:val="tr-TR"/>
        </w:rPr>
        <w:t xml:space="preserve"> </w:t>
      </w:r>
      <w:r w:rsidR="004E7356" w:rsidRPr="004947B9">
        <w:rPr>
          <w:sz w:val="18"/>
          <w:szCs w:val="18"/>
          <w:lang w:val="tr-TR"/>
        </w:rPr>
        <w:t xml:space="preserve">4 Haziran 2015 tarihli ve </w:t>
      </w:r>
      <w:r w:rsidR="007536FD" w:rsidRPr="004947B9">
        <w:rPr>
          <w:sz w:val="18"/>
          <w:szCs w:val="18"/>
          <w:lang w:val="tr-TR"/>
        </w:rPr>
        <w:t xml:space="preserve">2014/12151 sayılı Anayasa Mahkemesi kararı, </w:t>
      </w:r>
      <w:r w:rsidR="004E7356" w:rsidRPr="004947B9">
        <w:rPr>
          <w:sz w:val="18"/>
          <w:szCs w:val="18"/>
          <w:lang w:val="tr-TR"/>
        </w:rPr>
        <w:t>1 Temmuz 2015 tarihli Resmi Gazete.</w:t>
      </w:r>
      <w:r w:rsidR="007536FD" w:rsidRPr="004947B9">
        <w:rPr>
          <w:sz w:val="18"/>
          <w:szCs w:val="18"/>
          <w:lang w:val="tr-TR"/>
        </w:rPr>
        <w:t xml:space="preserve"> </w:t>
      </w:r>
    </w:p>
  </w:footnote>
  <w:footnote w:id="26">
    <w:p w14:paraId="1DDE71E6" w14:textId="586DD1FF" w:rsidR="00262995" w:rsidRPr="004947B9" w:rsidRDefault="00262995">
      <w:pPr>
        <w:pStyle w:val="DipnotMetni"/>
        <w:rPr>
          <w:sz w:val="18"/>
          <w:szCs w:val="18"/>
          <w:lang w:val="tr-TR"/>
        </w:rPr>
      </w:pPr>
      <w:r w:rsidRPr="004947B9">
        <w:rPr>
          <w:sz w:val="18"/>
          <w:szCs w:val="18"/>
          <w:lang w:val="tr-TR"/>
        </w:rPr>
        <w:footnoteRef/>
      </w:r>
      <w:r w:rsidRPr="004947B9">
        <w:rPr>
          <w:sz w:val="18"/>
          <w:szCs w:val="18"/>
          <w:lang w:val="tr-TR"/>
        </w:rPr>
        <w:t xml:space="preserve"> Yargıtay, E. 2014/35434, K. 2015/22535, 12 Ekim 2015.</w:t>
      </w:r>
    </w:p>
  </w:footnote>
  <w:footnote w:id="27">
    <w:p w14:paraId="50BB5AB0" w14:textId="29B0C99C" w:rsidR="00481638" w:rsidRPr="004947B9" w:rsidRDefault="00481638" w:rsidP="00B86BD5">
      <w:pPr>
        <w:pStyle w:val="DipnotMetni"/>
        <w:rPr>
          <w:sz w:val="18"/>
          <w:szCs w:val="18"/>
          <w:lang w:val="tr-TR"/>
        </w:rPr>
      </w:pPr>
      <w:r w:rsidRPr="004947B9">
        <w:rPr>
          <w:sz w:val="18"/>
          <w:szCs w:val="18"/>
          <w:lang w:val="tr-TR"/>
        </w:rPr>
        <w:footnoteRef/>
      </w:r>
      <w:r w:rsidRPr="004947B9">
        <w:rPr>
          <w:sz w:val="18"/>
          <w:szCs w:val="18"/>
          <w:lang w:val="tr-TR"/>
        </w:rPr>
        <w:t xml:space="preserve"> </w:t>
      </w:r>
      <w:r w:rsidR="00F65E20" w:rsidRPr="004947B9">
        <w:rPr>
          <w:sz w:val="18"/>
          <w:szCs w:val="18"/>
          <w:lang w:val="tr-TR"/>
        </w:rPr>
        <w:t xml:space="preserve">Türk hukuk sisteminde </w:t>
      </w:r>
      <w:r w:rsidR="00163AA2" w:rsidRPr="004947B9">
        <w:rPr>
          <w:sz w:val="18"/>
          <w:szCs w:val="18"/>
          <w:lang w:val="tr-TR"/>
        </w:rPr>
        <w:t xml:space="preserve">ilk derece mahkemesi kararı temyiz edildiğinde, dava dosyası </w:t>
      </w:r>
      <w:r w:rsidR="002719BA" w:rsidRPr="004947B9">
        <w:rPr>
          <w:sz w:val="18"/>
          <w:szCs w:val="18"/>
          <w:lang w:val="tr-TR"/>
        </w:rPr>
        <w:t xml:space="preserve">önce </w:t>
      </w:r>
      <w:r w:rsidR="00163AA2" w:rsidRPr="004947B9">
        <w:rPr>
          <w:sz w:val="18"/>
          <w:szCs w:val="18"/>
          <w:lang w:val="tr-TR"/>
        </w:rPr>
        <w:t>Yargıtay Cumhuriyet Başsav</w:t>
      </w:r>
      <w:r w:rsidR="002719BA" w:rsidRPr="004947B9">
        <w:rPr>
          <w:sz w:val="18"/>
          <w:szCs w:val="18"/>
          <w:lang w:val="tr-TR"/>
        </w:rPr>
        <w:t>cılığına gönderil</w:t>
      </w:r>
      <w:r w:rsidR="00B86BD5" w:rsidRPr="004947B9">
        <w:rPr>
          <w:sz w:val="18"/>
          <w:szCs w:val="18"/>
          <w:lang w:val="tr-TR"/>
        </w:rPr>
        <w:t xml:space="preserve">ir. </w:t>
      </w:r>
      <w:r w:rsidR="002719BA" w:rsidRPr="004947B9">
        <w:rPr>
          <w:sz w:val="18"/>
          <w:szCs w:val="18"/>
          <w:lang w:val="tr-TR"/>
        </w:rPr>
        <w:t xml:space="preserve">Cumhuriyet Başsavcısı </w:t>
      </w:r>
      <w:r w:rsidR="00843AF0" w:rsidRPr="004947B9">
        <w:rPr>
          <w:sz w:val="18"/>
          <w:szCs w:val="18"/>
          <w:lang w:val="tr-TR"/>
        </w:rPr>
        <w:t xml:space="preserve">dava hakkında hazırladığı </w:t>
      </w:r>
      <w:r w:rsidR="00A232F3" w:rsidRPr="004947B9">
        <w:rPr>
          <w:sz w:val="18"/>
          <w:szCs w:val="18"/>
          <w:lang w:val="tr-TR"/>
        </w:rPr>
        <w:t>yazılı görüşü (</w:t>
      </w:r>
      <w:proofErr w:type="spellStart"/>
      <w:r w:rsidR="00843AF0" w:rsidRPr="004947B9">
        <w:rPr>
          <w:sz w:val="18"/>
          <w:szCs w:val="18"/>
          <w:lang w:val="tr-TR"/>
        </w:rPr>
        <w:t>tebliğname</w:t>
      </w:r>
      <w:proofErr w:type="spellEnd"/>
      <w:r w:rsidR="00A232F3" w:rsidRPr="004947B9">
        <w:rPr>
          <w:sz w:val="18"/>
          <w:szCs w:val="18"/>
          <w:lang w:val="tr-TR"/>
        </w:rPr>
        <w:t xml:space="preserve">) </w:t>
      </w:r>
      <w:r w:rsidR="00843AF0" w:rsidRPr="004947B9">
        <w:rPr>
          <w:sz w:val="18"/>
          <w:szCs w:val="18"/>
          <w:lang w:val="tr-TR"/>
        </w:rPr>
        <w:t xml:space="preserve">yetkili Yargıtay Dairesine </w:t>
      </w:r>
      <w:r w:rsidR="00B86BD5" w:rsidRPr="004947B9">
        <w:rPr>
          <w:sz w:val="18"/>
          <w:szCs w:val="18"/>
          <w:lang w:val="tr-TR"/>
        </w:rPr>
        <w:t xml:space="preserve">iletir. </w:t>
      </w:r>
    </w:p>
  </w:footnote>
  <w:footnote w:id="28">
    <w:p w14:paraId="10DBDAAD" w14:textId="5AF5FF11" w:rsidR="001E292A" w:rsidRPr="006E0E36" w:rsidRDefault="001E292A">
      <w:pPr>
        <w:pStyle w:val="DipnotMetni"/>
        <w:rPr>
          <w:sz w:val="18"/>
          <w:szCs w:val="18"/>
          <w:lang w:val="tr-TR"/>
        </w:rPr>
      </w:pPr>
      <w:r w:rsidRPr="006E0E36">
        <w:rPr>
          <w:rStyle w:val="DipnotBavurusu"/>
          <w:lang w:val="tr-TR"/>
        </w:rPr>
        <w:footnoteRef/>
      </w:r>
      <w:r w:rsidRPr="006E0E36">
        <w:rPr>
          <w:lang w:val="tr-TR"/>
        </w:rPr>
        <w:t xml:space="preserve"> </w:t>
      </w:r>
      <w:r w:rsidRPr="006E0E36">
        <w:rPr>
          <w:sz w:val="18"/>
          <w:szCs w:val="18"/>
          <w:lang w:val="tr-TR"/>
        </w:rPr>
        <w:t xml:space="preserve">AİHM, Dilipak - Türkiye, Başvuru </w:t>
      </w:r>
      <w:proofErr w:type="spellStart"/>
      <w:r w:rsidRPr="006E0E36">
        <w:rPr>
          <w:sz w:val="18"/>
          <w:szCs w:val="18"/>
          <w:lang w:val="tr-TR"/>
        </w:rPr>
        <w:t>no</w:t>
      </w:r>
      <w:proofErr w:type="spellEnd"/>
      <w:r w:rsidRPr="006E0E36">
        <w:rPr>
          <w:sz w:val="18"/>
          <w:szCs w:val="18"/>
          <w:lang w:val="tr-TR"/>
        </w:rPr>
        <w:t>. 29680/05, 15 Eylül 2015 (henüz sonuçlanmadı).</w:t>
      </w:r>
    </w:p>
  </w:footnote>
  <w:footnote w:id="29">
    <w:p w14:paraId="14902692" w14:textId="634E2CFC" w:rsidR="00C34FEB" w:rsidRPr="006E0E36" w:rsidRDefault="00C34FEB">
      <w:pPr>
        <w:pStyle w:val="DipnotMetni"/>
        <w:rPr>
          <w:sz w:val="18"/>
          <w:szCs w:val="18"/>
          <w:lang w:val="tr-TR"/>
        </w:rPr>
      </w:pPr>
      <w:r w:rsidRPr="006E0E36">
        <w:rPr>
          <w:rStyle w:val="DipnotBavurusu"/>
          <w:sz w:val="18"/>
          <w:szCs w:val="18"/>
          <w:lang w:val="tr-TR"/>
        </w:rPr>
        <w:footnoteRef/>
      </w:r>
      <w:r w:rsidRPr="006E0E36">
        <w:rPr>
          <w:sz w:val="18"/>
          <w:szCs w:val="18"/>
          <w:lang w:val="tr-TR"/>
        </w:rPr>
        <w:t xml:space="preserve"> AİHM, Taner Akçam - Türkiye, Başvuru </w:t>
      </w:r>
      <w:proofErr w:type="spellStart"/>
      <w:r w:rsidRPr="006E0E36">
        <w:rPr>
          <w:sz w:val="18"/>
          <w:szCs w:val="18"/>
          <w:lang w:val="tr-TR"/>
        </w:rPr>
        <w:t>no</w:t>
      </w:r>
      <w:proofErr w:type="spellEnd"/>
      <w:r w:rsidRPr="006E0E36">
        <w:rPr>
          <w:sz w:val="18"/>
          <w:szCs w:val="18"/>
          <w:lang w:val="tr-TR"/>
        </w:rPr>
        <w:t>. 27520/07, 25 Ekim 2011.</w:t>
      </w:r>
    </w:p>
  </w:footnote>
  <w:footnote w:id="30">
    <w:p w14:paraId="2C79DEF6" w14:textId="3B66EC96" w:rsidR="00503936" w:rsidRPr="006E0E36" w:rsidRDefault="00503936">
      <w:pPr>
        <w:pStyle w:val="DipnotMetni"/>
        <w:rPr>
          <w:sz w:val="18"/>
          <w:szCs w:val="18"/>
          <w:lang w:val="tr-TR"/>
        </w:rPr>
      </w:pPr>
      <w:r w:rsidRPr="006E0E36">
        <w:rPr>
          <w:rStyle w:val="DipnotBavurusu"/>
          <w:sz w:val="18"/>
          <w:szCs w:val="18"/>
          <w:lang w:val="tr-TR"/>
        </w:rPr>
        <w:footnoteRef/>
      </w:r>
      <w:r w:rsidRPr="006E0E36">
        <w:rPr>
          <w:sz w:val="18"/>
          <w:szCs w:val="18"/>
          <w:lang w:val="tr-TR"/>
        </w:rPr>
        <w:t xml:space="preserve"> AİHM, Nedim </w:t>
      </w:r>
      <w:r w:rsidR="00F4034B">
        <w:rPr>
          <w:sz w:val="18"/>
          <w:szCs w:val="18"/>
          <w:lang w:val="tr-TR"/>
        </w:rPr>
        <w:t>Ş</w:t>
      </w:r>
      <w:r w:rsidRPr="006E0E36">
        <w:rPr>
          <w:sz w:val="18"/>
          <w:szCs w:val="18"/>
          <w:lang w:val="tr-TR"/>
        </w:rPr>
        <w:t xml:space="preserve">ener v- Türkiye, Başvuru </w:t>
      </w:r>
      <w:proofErr w:type="spellStart"/>
      <w:r w:rsidRPr="006E0E36">
        <w:rPr>
          <w:sz w:val="18"/>
          <w:szCs w:val="18"/>
          <w:lang w:val="tr-TR"/>
        </w:rPr>
        <w:t>no</w:t>
      </w:r>
      <w:proofErr w:type="spellEnd"/>
      <w:r w:rsidRPr="006E0E36">
        <w:rPr>
          <w:sz w:val="18"/>
          <w:szCs w:val="18"/>
          <w:lang w:val="tr-TR"/>
        </w:rPr>
        <w:t>. 38270/11, 8 Temmuz 2014.</w:t>
      </w:r>
    </w:p>
  </w:footnote>
  <w:footnote w:id="31">
    <w:p w14:paraId="306F02C2" w14:textId="42E3734D" w:rsidR="005172CD" w:rsidRPr="006E0E36" w:rsidRDefault="005172CD" w:rsidP="005172CD">
      <w:pPr>
        <w:pStyle w:val="DipnotMetni"/>
        <w:rPr>
          <w:sz w:val="18"/>
          <w:szCs w:val="18"/>
          <w:lang w:val="tr-TR"/>
        </w:rPr>
      </w:pPr>
      <w:r w:rsidRPr="006E0E36">
        <w:rPr>
          <w:rStyle w:val="DipnotBavurusu"/>
          <w:lang w:val="tr-TR"/>
        </w:rPr>
        <w:footnoteRef/>
      </w:r>
      <w:r w:rsidRPr="006E0E36">
        <w:rPr>
          <w:lang w:val="tr-TR"/>
        </w:rPr>
        <w:t xml:space="preserve"> </w:t>
      </w:r>
      <w:r w:rsidR="00241305" w:rsidRPr="006E0E36">
        <w:rPr>
          <w:sz w:val="18"/>
          <w:szCs w:val="18"/>
          <w:lang w:val="tr-TR"/>
        </w:rPr>
        <w:t>Madde</w:t>
      </w:r>
      <w:r w:rsidRPr="006E0E36">
        <w:rPr>
          <w:sz w:val="18"/>
          <w:szCs w:val="18"/>
          <w:lang w:val="tr-TR"/>
        </w:rPr>
        <w:t xml:space="preserve"> hükümleri: (1) Bir cürmü alenen öven veya iyi gördüğünü söyleyen veya halkı kanuna uymamaya tahrik eden kimseye, altı aydan iki yıla kadar hapis cezası ve altı bin ile otuz bin Türk lirası arasında ağır para cezası verilir.</w:t>
      </w:r>
    </w:p>
    <w:p w14:paraId="2DC988CC" w14:textId="768EFE1C" w:rsidR="005172CD" w:rsidRPr="006E0E36" w:rsidRDefault="005172CD" w:rsidP="005172CD">
      <w:pPr>
        <w:pStyle w:val="DipnotMetni"/>
        <w:rPr>
          <w:sz w:val="18"/>
          <w:szCs w:val="18"/>
          <w:lang w:val="tr-TR"/>
        </w:rPr>
      </w:pPr>
      <w:r w:rsidRPr="006E0E36">
        <w:rPr>
          <w:sz w:val="18"/>
          <w:szCs w:val="18"/>
          <w:lang w:val="tr-TR"/>
        </w:rPr>
        <w:t>(2) Sosyal sınıf, ırk, din, mezhep veya bölge farklılığına dayanarak, halkı düşmanlığa veya kin beslemeye tahrik eden kimseye bir yıldan üç yıla kadar hapis cezası ve dokuz bin ile otuz</w:t>
      </w:r>
      <w:r w:rsidR="00F4034B">
        <w:rPr>
          <w:sz w:val="18"/>
          <w:szCs w:val="18"/>
          <w:lang w:val="tr-TR"/>
        </w:rPr>
        <w:t xml:space="preserve"> </w:t>
      </w:r>
      <w:r w:rsidRPr="006E0E36">
        <w:rPr>
          <w:sz w:val="18"/>
          <w:szCs w:val="18"/>
          <w:lang w:val="tr-TR"/>
        </w:rPr>
        <w:t>altı bin Türk lirası arasında para cezası verilir. Tahrik kamu güvenliğini tehlikeye sokan nitelikte ise, ceza üçte bir</w:t>
      </w:r>
      <w:r w:rsidR="00A04223" w:rsidRPr="006E0E36">
        <w:rPr>
          <w:sz w:val="18"/>
          <w:szCs w:val="18"/>
          <w:lang w:val="tr-TR"/>
        </w:rPr>
        <w:t xml:space="preserve"> </w:t>
      </w:r>
      <w:r w:rsidRPr="006E0E36">
        <w:rPr>
          <w:sz w:val="18"/>
          <w:szCs w:val="18"/>
          <w:lang w:val="tr-TR"/>
        </w:rPr>
        <w:t>ile yarısı oranında artırılır.</w:t>
      </w:r>
    </w:p>
  </w:footnote>
  <w:footnote w:id="32">
    <w:p w14:paraId="0F10FC8C" w14:textId="2D3FE1D1" w:rsidR="00B30A59" w:rsidRPr="006E0E36" w:rsidRDefault="00B30A59">
      <w:pPr>
        <w:pStyle w:val="DipnotMetni"/>
        <w:rPr>
          <w:sz w:val="18"/>
          <w:szCs w:val="18"/>
          <w:lang w:val="tr-TR"/>
        </w:rPr>
      </w:pPr>
      <w:r w:rsidRPr="006E0E36">
        <w:rPr>
          <w:sz w:val="18"/>
          <w:szCs w:val="18"/>
          <w:lang w:val="tr-TR"/>
        </w:rPr>
        <w:footnoteRef/>
      </w:r>
      <w:r w:rsidRPr="006E0E36">
        <w:rPr>
          <w:sz w:val="18"/>
          <w:szCs w:val="18"/>
          <w:lang w:val="tr-TR"/>
        </w:rPr>
        <w:t xml:space="preserve"> </w:t>
      </w:r>
      <w:r w:rsidR="006A1A45" w:rsidRPr="006E0E36">
        <w:rPr>
          <w:sz w:val="18"/>
          <w:szCs w:val="18"/>
          <w:lang w:val="tr-TR"/>
        </w:rPr>
        <w:t xml:space="preserve">Bakınız AİHM, </w:t>
      </w:r>
      <w:proofErr w:type="spellStart"/>
      <w:proofErr w:type="gramStart"/>
      <w:r w:rsidR="00F4034B">
        <w:rPr>
          <w:sz w:val="18"/>
          <w:szCs w:val="18"/>
          <w:lang w:val="tr-TR"/>
        </w:rPr>
        <w:t>İ</w:t>
      </w:r>
      <w:r w:rsidR="006A1A45" w:rsidRPr="006E0E36">
        <w:rPr>
          <w:sz w:val="18"/>
          <w:szCs w:val="18"/>
          <w:lang w:val="tr-TR"/>
        </w:rPr>
        <w:t>ncal</w:t>
      </w:r>
      <w:proofErr w:type="spellEnd"/>
      <w:r w:rsidR="006A1A45" w:rsidRPr="006E0E36">
        <w:rPr>
          <w:sz w:val="18"/>
          <w:szCs w:val="18"/>
          <w:lang w:val="tr-TR"/>
        </w:rPr>
        <w:t xml:space="preserve"> -</w:t>
      </w:r>
      <w:proofErr w:type="gramEnd"/>
      <w:r w:rsidR="006A1A45" w:rsidRPr="006E0E36">
        <w:rPr>
          <w:sz w:val="18"/>
          <w:szCs w:val="18"/>
          <w:lang w:val="tr-TR"/>
        </w:rPr>
        <w:t xml:space="preserve"> Türkiye davası, Başvuru No. 22678/93; Birdal - Türkiye davası, Başvuru No. 53047/99; Ceylan - Türkiye davası, Başvuru No. 23556/94; Dicle - Türkiye davası, Başvuru No. 34685/97; Gümüş ve diğerleri - Türkiye davası, Başvuru No. 40303/98; Gündüz Müslüm - Türkiye davası, Başvuru No. 35071/97; Yarar - Türkiye davası, Başvuru No. 57258/00.</w:t>
      </w:r>
    </w:p>
  </w:footnote>
  <w:footnote w:id="33">
    <w:p w14:paraId="5EB992DF" w14:textId="04669076" w:rsidR="00141E98" w:rsidRPr="00690170" w:rsidRDefault="00141E98" w:rsidP="00141E98">
      <w:pPr>
        <w:pStyle w:val="DipnotMetni"/>
        <w:rPr>
          <w:lang w:val="tr-TR"/>
        </w:rPr>
      </w:pPr>
      <w:r w:rsidRPr="00690170">
        <w:rPr>
          <w:rStyle w:val="DipnotBavurusu"/>
          <w:lang w:val="tr-TR"/>
        </w:rPr>
        <w:footnoteRef/>
      </w:r>
      <w:r w:rsidRPr="00690170">
        <w:rPr>
          <w:lang w:val="tr-TR"/>
        </w:rPr>
        <w:t xml:space="preserve"> </w:t>
      </w:r>
      <w:r w:rsidR="00E56C1B" w:rsidRPr="00690170">
        <w:rPr>
          <w:lang w:val="tr-TR"/>
        </w:rPr>
        <w:t>AİHM, Dicle - Türkiye davası, 10 Şubat 2005.</w:t>
      </w:r>
    </w:p>
  </w:footnote>
  <w:footnote w:id="34">
    <w:p w14:paraId="16ABB2F1" w14:textId="7878B6E5" w:rsidR="00E56C1B" w:rsidRPr="00690170" w:rsidRDefault="00E56C1B">
      <w:pPr>
        <w:pStyle w:val="DipnotMetni"/>
        <w:rPr>
          <w:lang w:val="tr-TR"/>
        </w:rPr>
      </w:pPr>
      <w:r w:rsidRPr="00690170">
        <w:rPr>
          <w:rStyle w:val="DipnotBavurusu"/>
          <w:lang w:val="tr-TR"/>
        </w:rPr>
        <w:footnoteRef/>
      </w:r>
      <w:r w:rsidRPr="00690170">
        <w:rPr>
          <w:lang w:val="tr-TR"/>
        </w:rPr>
        <w:t xml:space="preserve"> </w:t>
      </w:r>
      <w:r w:rsidR="007503B5" w:rsidRPr="00690170">
        <w:rPr>
          <w:lang w:val="tr-TR"/>
        </w:rPr>
        <w:t xml:space="preserve">AİHM, </w:t>
      </w:r>
      <w:proofErr w:type="spellStart"/>
      <w:r w:rsidR="00690170">
        <w:rPr>
          <w:lang w:val="tr-TR"/>
        </w:rPr>
        <w:t>I</w:t>
      </w:r>
      <w:r w:rsidR="007503B5" w:rsidRPr="00690170">
        <w:rPr>
          <w:lang w:val="tr-TR"/>
        </w:rPr>
        <w:t>ncal</w:t>
      </w:r>
      <w:proofErr w:type="spellEnd"/>
      <w:r w:rsidR="007503B5" w:rsidRPr="00690170">
        <w:rPr>
          <w:lang w:val="tr-TR"/>
        </w:rPr>
        <w:t xml:space="preserve"> - Türkiye davası, parag. 10.</w:t>
      </w:r>
    </w:p>
  </w:footnote>
  <w:footnote w:id="35">
    <w:p w14:paraId="7E0A4E55" w14:textId="31049F07" w:rsidR="009465F4" w:rsidRPr="00690170" w:rsidRDefault="009465F4">
      <w:pPr>
        <w:pStyle w:val="DipnotMetni"/>
        <w:rPr>
          <w:lang w:val="tr-TR"/>
        </w:rPr>
      </w:pPr>
      <w:r w:rsidRPr="00690170">
        <w:rPr>
          <w:rStyle w:val="DipnotBavurusu"/>
          <w:lang w:val="tr-TR"/>
        </w:rPr>
        <w:footnoteRef/>
      </w:r>
      <w:r w:rsidRPr="00690170">
        <w:rPr>
          <w:lang w:val="tr-TR"/>
        </w:rPr>
        <w:t xml:space="preserve"> </w:t>
      </w:r>
      <w:proofErr w:type="spellStart"/>
      <w:r w:rsidRPr="00690170">
        <w:rPr>
          <w:lang w:val="tr-TR"/>
        </w:rPr>
        <w:t>a.g.e</w:t>
      </w:r>
      <w:proofErr w:type="spellEnd"/>
      <w:r w:rsidRPr="00690170">
        <w:rPr>
          <w:lang w:val="tr-TR"/>
        </w:rPr>
        <w:t>.</w:t>
      </w:r>
    </w:p>
  </w:footnote>
  <w:footnote w:id="36">
    <w:p w14:paraId="02B52FCB" w14:textId="401302F9" w:rsidR="009465F4" w:rsidRPr="00690170" w:rsidRDefault="009465F4">
      <w:pPr>
        <w:pStyle w:val="DipnotMetni"/>
        <w:rPr>
          <w:lang w:val="tr-TR"/>
        </w:rPr>
      </w:pPr>
      <w:r w:rsidRPr="00690170">
        <w:rPr>
          <w:rStyle w:val="DipnotBavurusu"/>
          <w:lang w:val="tr-TR"/>
        </w:rPr>
        <w:footnoteRef/>
      </w:r>
      <w:r w:rsidRPr="00690170">
        <w:rPr>
          <w:lang w:val="tr-TR"/>
        </w:rPr>
        <w:t xml:space="preserve"> AİHM, Varlı ve diğerleri – Türkiye davası, parag. 11.</w:t>
      </w:r>
    </w:p>
  </w:footnote>
  <w:footnote w:id="37">
    <w:p w14:paraId="791ED693" w14:textId="20919B6F" w:rsidR="00576F02" w:rsidRPr="00690170" w:rsidRDefault="00576F02">
      <w:pPr>
        <w:pStyle w:val="DipnotMetni"/>
        <w:rPr>
          <w:lang w:val="tr-TR"/>
        </w:rPr>
      </w:pPr>
      <w:r w:rsidRPr="00690170">
        <w:rPr>
          <w:rStyle w:val="DipnotBavurusu"/>
          <w:lang w:val="tr-TR"/>
        </w:rPr>
        <w:footnoteRef/>
      </w:r>
      <w:r w:rsidRPr="00690170">
        <w:rPr>
          <w:lang w:val="tr-TR"/>
        </w:rPr>
        <w:t xml:space="preserve"> AİHM, Ceylan – Türkiye davası, parag. 33.</w:t>
      </w:r>
    </w:p>
  </w:footnote>
  <w:footnote w:id="38">
    <w:p w14:paraId="7BA05EC6" w14:textId="2B23D08A" w:rsidR="00026E78" w:rsidRPr="00690170" w:rsidRDefault="00026E78">
      <w:pPr>
        <w:pStyle w:val="DipnotMetni"/>
        <w:rPr>
          <w:lang w:val="tr-TR"/>
        </w:rPr>
      </w:pPr>
      <w:r w:rsidRPr="00690170">
        <w:rPr>
          <w:rStyle w:val="DipnotBavurusu"/>
          <w:lang w:val="tr-TR"/>
        </w:rPr>
        <w:footnoteRef/>
      </w:r>
      <w:r w:rsidRPr="00690170">
        <w:rPr>
          <w:lang w:val="tr-TR"/>
        </w:rPr>
        <w:t xml:space="preserve"> CM/</w:t>
      </w:r>
      <w:proofErr w:type="spellStart"/>
      <w:r w:rsidRPr="00690170">
        <w:rPr>
          <w:lang w:val="tr-TR"/>
        </w:rPr>
        <w:t>Inf</w:t>
      </w:r>
      <w:proofErr w:type="spellEnd"/>
      <w:r w:rsidRPr="00690170">
        <w:rPr>
          <w:lang w:val="tr-TR"/>
        </w:rPr>
        <w:t xml:space="preserve">/DH(2008)26, </w:t>
      </w:r>
      <w:r w:rsidR="009574F1" w:rsidRPr="00690170">
        <w:rPr>
          <w:lang w:val="tr-TR"/>
        </w:rPr>
        <w:t xml:space="preserve">Türkiye'de İfade Özgürlüğü: Kaydedilen İlerlemeler – Bekleyen Konular </w:t>
      </w:r>
      <w:r w:rsidRPr="00690170">
        <w:rPr>
          <w:lang w:val="tr-TR"/>
        </w:rPr>
        <w:t>23 Mayıs 2008.</w:t>
      </w:r>
    </w:p>
  </w:footnote>
  <w:footnote w:id="39">
    <w:p w14:paraId="3B52F2F4" w14:textId="19FC1113" w:rsidR="002639D5" w:rsidRPr="00F976CD" w:rsidRDefault="002639D5">
      <w:pPr>
        <w:pStyle w:val="DipnotMetni"/>
        <w:rPr>
          <w:lang w:val="tr-TR"/>
        </w:rPr>
      </w:pPr>
      <w:r>
        <w:rPr>
          <w:rStyle w:val="DipnotBavurusu"/>
        </w:rPr>
        <w:footnoteRef/>
      </w:r>
      <w:r>
        <w:t xml:space="preserve"> </w:t>
      </w:r>
      <w:r w:rsidRPr="00F976CD">
        <w:rPr>
          <w:lang w:val="tr-TR"/>
        </w:rPr>
        <w:t xml:space="preserve">CRI(2011)5, 10 </w:t>
      </w:r>
      <w:r w:rsidR="0032457E" w:rsidRPr="00F976CD">
        <w:rPr>
          <w:lang w:val="tr-TR"/>
        </w:rPr>
        <w:t>Aralık</w:t>
      </w:r>
      <w:r w:rsidRPr="00F976CD">
        <w:rPr>
          <w:lang w:val="tr-TR"/>
        </w:rPr>
        <w:t xml:space="preserve"> 2010</w:t>
      </w:r>
      <w:r w:rsidR="0032457E" w:rsidRPr="00F976CD">
        <w:rPr>
          <w:lang w:val="tr-TR"/>
        </w:rPr>
        <w:t xml:space="preserve"> tarihinde kabul edil</w:t>
      </w:r>
      <w:r w:rsidR="002C27D6" w:rsidRPr="00F976CD">
        <w:rPr>
          <w:lang w:val="tr-TR"/>
        </w:rPr>
        <w:t>di</w:t>
      </w:r>
      <w:r w:rsidRPr="00F976CD">
        <w:rPr>
          <w:lang w:val="tr-TR"/>
        </w:rPr>
        <w:t xml:space="preserve">, 8 </w:t>
      </w:r>
      <w:r w:rsidR="002C27D6" w:rsidRPr="00F976CD">
        <w:rPr>
          <w:lang w:val="tr-TR"/>
        </w:rPr>
        <w:t>Şubat</w:t>
      </w:r>
      <w:r w:rsidRPr="00F976CD">
        <w:rPr>
          <w:lang w:val="tr-TR"/>
        </w:rPr>
        <w:t xml:space="preserve"> 2011</w:t>
      </w:r>
      <w:r w:rsidR="002C27D6" w:rsidRPr="00F976CD">
        <w:rPr>
          <w:lang w:val="tr-TR"/>
        </w:rPr>
        <w:t>2’de yayınlandı</w:t>
      </w:r>
      <w:r w:rsidRPr="00F976CD">
        <w:rPr>
          <w:lang w:val="tr-TR"/>
        </w:rPr>
        <w:t>, para</w:t>
      </w:r>
      <w:r w:rsidR="0032457E" w:rsidRPr="00F976CD">
        <w:rPr>
          <w:lang w:val="tr-TR"/>
        </w:rPr>
        <w:t>g</w:t>
      </w:r>
      <w:r w:rsidRPr="00F976CD">
        <w:rPr>
          <w:lang w:val="tr-TR"/>
        </w:rPr>
        <w:t>. 25.</w:t>
      </w:r>
    </w:p>
  </w:footnote>
  <w:footnote w:id="40">
    <w:p w14:paraId="46D384E7" w14:textId="77777777" w:rsidR="00100003" w:rsidRPr="00F976CD" w:rsidRDefault="00100003" w:rsidP="00100003">
      <w:pPr>
        <w:pStyle w:val="DipnotMetni"/>
        <w:rPr>
          <w:lang w:val="tr-TR"/>
        </w:rPr>
      </w:pPr>
      <w:r w:rsidRPr="00F976CD">
        <w:rPr>
          <w:rStyle w:val="DipnotBavurusu"/>
          <w:lang w:val="tr-TR"/>
        </w:rPr>
        <w:footnoteRef/>
      </w:r>
      <w:r w:rsidRPr="00F976CD">
        <w:rPr>
          <w:lang w:val="tr-TR"/>
        </w:rPr>
        <w:t xml:space="preserve"> İstanbul 41. Asliye Ceza Mahkemesi, E. 2012/312, K. 2012/884, 26 Aralık 2012</w:t>
      </w:r>
    </w:p>
  </w:footnote>
  <w:footnote w:id="41">
    <w:p w14:paraId="063C9B93" w14:textId="4E44CA19" w:rsidR="00811F76" w:rsidRPr="00F976CD" w:rsidRDefault="00811F76" w:rsidP="00E93E0B">
      <w:pPr>
        <w:pStyle w:val="DipnotMetni"/>
        <w:rPr>
          <w:lang w:val="tr-TR"/>
        </w:rPr>
      </w:pPr>
      <w:r w:rsidRPr="00F976CD">
        <w:rPr>
          <w:rStyle w:val="DipnotBavurusu"/>
          <w:lang w:val="tr-TR"/>
        </w:rPr>
        <w:footnoteRef/>
      </w:r>
      <w:r w:rsidRPr="00F976CD">
        <w:rPr>
          <w:lang w:val="tr-TR"/>
        </w:rPr>
        <w:t xml:space="preserve"> </w:t>
      </w:r>
      <w:r w:rsidR="001A2B53" w:rsidRPr="00F976CD">
        <w:rPr>
          <w:lang w:val="tr-TR"/>
        </w:rPr>
        <w:t>Bakınız</w:t>
      </w:r>
      <w:r w:rsidRPr="00F976CD">
        <w:rPr>
          <w:lang w:val="tr-TR"/>
        </w:rPr>
        <w:t xml:space="preserve">, ECRI, </w:t>
      </w:r>
      <w:r w:rsidR="00E93E0B" w:rsidRPr="00F976CD">
        <w:rPr>
          <w:lang w:val="tr-TR"/>
        </w:rPr>
        <w:t xml:space="preserve">13 Aralık 2002’de kabul edilen </w:t>
      </w:r>
      <w:r w:rsidR="001A2B53" w:rsidRPr="00F976CD">
        <w:rPr>
          <w:lang w:val="tr-TR"/>
        </w:rPr>
        <w:t>Irkçılık ve Irksal Ayrımcılık ile Mücadele</w:t>
      </w:r>
      <w:r w:rsidR="0020630D" w:rsidRPr="00F976CD">
        <w:rPr>
          <w:lang w:val="tr-TR"/>
        </w:rPr>
        <w:t xml:space="preserve"> Ulusal Mevzuatı hakkında Genel Politika Tavsiyesi No. 7, </w:t>
      </w:r>
      <w:r w:rsidR="00241305" w:rsidRPr="00F976CD">
        <w:rPr>
          <w:lang w:val="tr-TR"/>
        </w:rPr>
        <w:t>madde</w:t>
      </w:r>
      <w:r w:rsidR="00E93E0B" w:rsidRPr="00F976CD">
        <w:rPr>
          <w:lang w:val="tr-TR"/>
        </w:rPr>
        <w:t xml:space="preserve"> 18.</w:t>
      </w:r>
    </w:p>
  </w:footnote>
  <w:footnote w:id="42">
    <w:p w14:paraId="78081ED8" w14:textId="78F28C3E" w:rsidR="009E134D" w:rsidRPr="00F976CD" w:rsidRDefault="009E134D" w:rsidP="000642E2">
      <w:pPr>
        <w:pStyle w:val="DipnotMetni"/>
        <w:rPr>
          <w:lang w:val="tr-TR"/>
        </w:rPr>
      </w:pPr>
      <w:r w:rsidRPr="00F976CD">
        <w:rPr>
          <w:rStyle w:val="DipnotBavurusu"/>
          <w:lang w:val="tr-TR"/>
        </w:rPr>
        <w:footnoteRef/>
      </w:r>
      <w:r w:rsidRPr="00F976CD">
        <w:rPr>
          <w:lang w:val="tr-TR"/>
        </w:rPr>
        <w:t xml:space="preserve"> CDL-AD(2008)026</w:t>
      </w:r>
      <w:r w:rsidR="008C7C90" w:rsidRPr="00F976CD">
        <w:rPr>
          <w:lang w:val="tr-TR"/>
        </w:rPr>
        <w:t xml:space="preserve"> İ</w:t>
      </w:r>
      <w:r w:rsidR="008C7C90" w:rsidRPr="00F976CD">
        <w:rPr>
          <w:iCs/>
          <w:lang w:val="tr-TR"/>
        </w:rPr>
        <w:t xml:space="preserve">fade Özgürlüğü ve Din Özgürlüğü arasındaki İlişki Hakkında Rapor: </w:t>
      </w:r>
      <w:r w:rsidR="00374884" w:rsidRPr="00F976CD">
        <w:rPr>
          <w:iCs/>
          <w:lang w:val="tr-TR"/>
        </w:rPr>
        <w:t xml:space="preserve">İfade Özgürlüğü ve Din Özgürlüğü Arasındaki İlişki Hakkında Rapor: Dine Küfür, Dini Hakaret ve Dini Nefreti </w:t>
      </w:r>
      <w:r w:rsidR="00696051">
        <w:rPr>
          <w:iCs/>
          <w:lang w:val="tr-TR"/>
        </w:rPr>
        <w:t>Tahrik</w:t>
      </w:r>
      <w:r w:rsidR="00DC493C">
        <w:rPr>
          <w:iCs/>
          <w:lang w:val="tr-TR"/>
        </w:rPr>
        <w:t>in</w:t>
      </w:r>
      <w:r w:rsidR="00824168">
        <w:rPr>
          <w:iCs/>
          <w:lang w:val="tr-TR"/>
        </w:rPr>
        <w:t xml:space="preserve"> </w:t>
      </w:r>
      <w:r w:rsidR="00374884" w:rsidRPr="00F976CD">
        <w:rPr>
          <w:iCs/>
          <w:lang w:val="tr-TR"/>
        </w:rPr>
        <w:t>Düzenlenmesi ve Kovuşturulması</w:t>
      </w:r>
      <w:r w:rsidR="00166540" w:rsidRPr="00F976CD">
        <w:rPr>
          <w:iCs/>
          <w:lang w:val="tr-TR"/>
        </w:rPr>
        <w:t>, parag.46</w:t>
      </w:r>
    </w:p>
  </w:footnote>
  <w:footnote w:id="43">
    <w:p w14:paraId="0AE669EC" w14:textId="740D34C6" w:rsidR="00772A08" w:rsidRPr="00F976CD" w:rsidRDefault="00772A08">
      <w:pPr>
        <w:pStyle w:val="DipnotMetni"/>
        <w:rPr>
          <w:lang w:val="tr-TR"/>
        </w:rPr>
      </w:pPr>
      <w:r w:rsidRPr="00F976CD">
        <w:rPr>
          <w:rStyle w:val="DipnotBavurusu"/>
          <w:lang w:val="tr-TR"/>
        </w:rPr>
        <w:footnoteRef/>
      </w:r>
      <w:r w:rsidRPr="00F976CD">
        <w:rPr>
          <w:lang w:val="tr-TR"/>
        </w:rPr>
        <w:t xml:space="preserve"> </w:t>
      </w:r>
      <w:proofErr w:type="spellStart"/>
      <w:r w:rsidR="004B1921" w:rsidRPr="00F976CD">
        <w:rPr>
          <w:lang w:val="tr-TR"/>
        </w:rPr>
        <w:t>a.g.e</w:t>
      </w:r>
      <w:proofErr w:type="spellEnd"/>
      <w:r w:rsidR="004B1921" w:rsidRPr="00F976CD">
        <w:rPr>
          <w:lang w:val="tr-TR"/>
        </w:rPr>
        <w:t xml:space="preserve">. parag. 89.  </w:t>
      </w:r>
    </w:p>
  </w:footnote>
  <w:footnote w:id="44">
    <w:p w14:paraId="5EC2B36B" w14:textId="37E307F1" w:rsidR="004F5A69" w:rsidRPr="00F976CD" w:rsidRDefault="004F5A69">
      <w:pPr>
        <w:pStyle w:val="DipnotMetni"/>
        <w:rPr>
          <w:lang w:val="tr-TR"/>
        </w:rPr>
      </w:pPr>
      <w:r w:rsidRPr="00F976CD">
        <w:rPr>
          <w:rStyle w:val="DipnotBavurusu"/>
          <w:lang w:val="tr-TR"/>
        </w:rPr>
        <w:footnoteRef/>
      </w:r>
      <w:r w:rsidRPr="00F976CD">
        <w:rPr>
          <w:lang w:val="tr-TR"/>
        </w:rPr>
        <w:t xml:space="preserve"> AİHM, Aydın </w:t>
      </w:r>
      <w:proofErr w:type="spellStart"/>
      <w:r w:rsidRPr="00F976CD">
        <w:rPr>
          <w:lang w:val="tr-TR"/>
        </w:rPr>
        <w:t>Tatlav</w:t>
      </w:r>
      <w:proofErr w:type="spellEnd"/>
      <w:r w:rsidRPr="00F976CD">
        <w:rPr>
          <w:lang w:val="tr-TR"/>
        </w:rPr>
        <w:t xml:space="preserve"> - Türkiye, Başvuru No. 50692/99, 2 Mayıs 2006.</w:t>
      </w:r>
    </w:p>
  </w:footnote>
  <w:footnote w:id="45">
    <w:p w14:paraId="5C8ED1A3" w14:textId="6A428261" w:rsidR="004E59BD" w:rsidRPr="00F976CD" w:rsidRDefault="004E59BD" w:rsidP="00681C8D">
      <w:pPr>
        <w:pStyle w:val="DipnotMetni"/>
        <w:rPr>
          <w:lang w:val="tr-TR"/>
        </w:rPr>
      </w:pPr>
      <w:r w:rsidRPr="00F976CD">
        <w:rPr>
          <w:rStyle w:val="DipnotBavurusu"/>
          <w:lang w:val="tr-TR"/>
        </w:rPr>
        <w:footnoteRef/>
      </w:r>
      <w:r w:rsidRPr="00F976CD">
        <w:rPr>
          <w:lang w:val="tr-TR"/>
        </w:rPr>
        <w:t xml:space="preserve"> </w:t>
      </w:r>
      <w:r w:rsidR="00706299" w:rsidRPr="00F976CD">
        <w:rPr>
          <w:lang w:val="tr-TR"/>
        </w:rPr>
        <w:t xml:space="preserve">DH-DD(2015)447rev. </w:t>
      </w:r>
      <w:r w:rsidR="0089089D" w:rsidRPr="00F976CD">
        <w:rPr>
          <w:lang w:val="tr-TR"/>
        </w:rPr>
        <w:t xml:space="preserve">Yaman Akdeniz, Kerem Altıparmak </w:t>
      </w:r>
      <w:r w:rsidR="00681C8D" w:rsidRPr="00F976CD">
        <w:rPr>
          <w:lang w:val="tr-TR"/>
        </w:rPr>
        <w:t>(</w:t>
      </w:r>
      <w:proofErr w:type="spellStart"/>
      <w:r w:rsidR="00681C8D" w:rsidRPr="00F976CD">
        <w:rPr>
          <w:lang w:val="tr-TR"/>
        </w:rPr>
        <w:t>The</w:t>
      </w:r>
      <w:proofErr w:type="spellEnd"/>
      <w:r w:rsidR="00681C8D" w:rsidRPr="00F976CD">
        <w:rPr>
          <w:lang w:val="tr-TR"/>
        </w:rPr>
        <w:t xml:space="preserve"> </w:t>
      </w:r>
      <w:proofErr w:type="spellStart"/>
      <w:r w:rsidR="00681C8D" w:rsidRPr="00F976CD">
        <w:rPr>
          <w:lang w:val="tr-TR"/>
        </w:rPr>
        <w:t>silencing</w:t>
      </w:r>
      <w:proofErr w:type="spellEnd"/>
      <w:r w:rsidR="00681C8D" w:rsidRPr="00F976CD">
        <w:rPr>
          <w:lang w:val="tr-TR"/>
        </w:rPr>
        <w:t xml:space="preserve"> </w:t>
      </w:r>
      <w:proofErr w:type="spellStart"/>
      <w:r w:rsidR="00681C8D" w:rsidRPr="00F976CD">
        <w:rPr>
          <w:lang w:val="tr-TR"/>
        </w:rPr>
        <w:t>effect</w:t>
      </w:r>
      <w:proofErr w:type="spellEnd"/>
      <w:r w:rsidR="00681C8D" w:rsidRPr="00F976CD">
        <w:rPr>
          <w:lang w:val="tr-TR"/>
        </w:rPr>
        <w:t xml:space="preserve"> on </w:t>
      </w:r>
      <w:proofErr w:type="spellStart"/>
      <w:r w:rsidR="00681C8D" w:rsidRPr="00F976CD">
        <w:rPr>
          <w:lang w:val="tr-TR"/>
        </w:rPr>
        <w:t>dissent</w:t>
      </w:r>
      <w:proofErr w:type="spellEnd"/>
      <w:r w:rsidR="00681C8D" w:rsidRPr="00F976CD">
        <w:rPr>
          <w:lang w:val="tr-TR"/>
        </w:rPr>
        <w:t xml:space="preserve"> </w:t>
      </w:r>
      <w:proofErr w:type="spellStart"/>
      <w:r w:rsidR="00681C8D" w:rsidRPr="00F976CD">
        <w:rPr>
          <w:lang w:val="tr-TR"/>
        </w:rPr>
        <w:t>and</w:t>
      </w:r>
      <w:proofErr w:type="spellEnd"/>
      <w:r w:rsidR="00681C8D" w:rsidRPr="00F976CD">
        <w:rPr>
          <w:lang w:val="tr-TR"/>
        </w:rPr>
        <w:t xml:space="preserve"> </w:t>
      </w:r>
      <w:proofErr w:type="spellStart"/>
      <w:r w:rsidR="00681C8D" w:rsidRPr="00F976CD">
        <w:rPr>
          <w:lang w:val="tr-TR"/>
        </w:rPr>
        <w:t>freedom</w:t>
      </w:r>
      <w:proofErr w:type="spellEnd"/>
      <w:r w:rsidR="00681C8D" w:rsidRPr="00F976CD">
        <w:rPr>
          <w:lang w:val="tr-TR"/>
        </w:rPr>
        <w:t xml:space="preserve"> of </w:t>
      </w:r>
      <w:proofErr w:type="spellStart"/>
      <w:r w:rsidR="00681C8D" w:rsidRPr="00F976CD">
        <w:rPr>
          <w:lang w:val="tr-TR"/>
        </w:rPr>
        <w:t>expression</w:t>
      </w:r>
      <w:proofErr w:type="spellEnd"/>
      <w:r w:rsidR="00681C8D" w:rsidRPr="00F976CD">
        <w:rPr>
          <w:lang w:val="tr-TR"/>
        </w:rPr>
        <w:t xml:space="preserve"> in </w:t>
      </w:r>
      <w:proofErr w:type="spellStart"/>
      <w:r w:rsidR="00681C8D" w:rsidRPr="00F976CD">
        <w:rPr>
          <w:lang w:val="tr-TR"/>
        </w:rPr>
        <w:t>Turkey</w:t>
      </w:r>
      <w:proofErr w:type="spellEnd"/>
      <w:r w:rsidR="00681C8D" w:rsidRPr="00F976CD">
        <w:rPr>
          <w:lang w:val="tr-TR"/>
        </w:rPr>
        <w:t xml:space="preserve">, in </w:t>
      </w:r>
      <w:proofErr w:type="spellStart"/>
      <w:r w:rsidR="00681C8D" w:rsidRPr="00F976CD">
        <w:rPr>
          <w:lang w:val="tr-TR"/>
        </w:rPr>
        <w:t>Journalism</w:t>
      </w:r>
      <w:proofErr w:type="spellEnd"/>
      <w:r w:rsidR="00681C8D" w:rsidRPr="00F976CD">
        <w:rPr>
          <w:lang w:val="tr-TR"/>
        </w:rPr>
        <w:t xml:space="preserve"> at Risk. </w:t>
      </w:r>
      <w:proofErr w:type="spellStart"/>
      <w:r w:rsidR="00681C8D" w:rsidRPr="00F976CD">
        <w:rPr>
          <w:lang w:val="tr-TR"/>
        </w:rPr>
        <w:t>Threats</w:t>
      </w:r>
      <w:proofErr w:type="spellEnd"/>
      <w:r w:rsidR="00681C8D" w:rsidRPr="00F976CD">
        <w:rPr>
          <w:lang w:val="tr-TR"/>
        </w:rPr>
        <w:t xml:space="preserve">, </w:t>
      </w:r>
      <w:proofErr w:type="spellStart"/>
      <w:r w:rsidR="00681C8D" w:rsidRPr="00F976CD">
        <w:rPr>
          <w:lang w:val="tr-TR"/>
        </w:rPr>
        <w:t>challenges</w:t>
      </w:r>
      <w:proofErr w:type="spellEnd"/>
      <w:r w:rsidR="00681C8D" w:rsidRPr="00F976CD">
        <w:rPr>
          <w:lang w:val="tr-TR"/>
        </w:rPr>
        <w:t xml:space="preserve"> </w:t>
      </w:r>
      <w:proofErr w:type="spellStart"/>
      <w:r w:rsidR="00681C8D" w:rsidRPr="00F976CD">
        <w:rPr>
          <w:lang w:val="tr-TR"/>
        </w:rPr>
        <w:t>and</w:t>
      </w:r>
      <w:proofErr w:type="spellEnd"/>
      <w:r w:rsidR="00681C8D" w:rsidRPr="00F976CD">
        <w:rPr>
          <w:lang w:val="tr-TR"/>
        </w:rPr>
        <w:t xml:space="preserve"> </w:t>
      </w:r>
      <w:proofErr w:type="spellStart"/>
      <w:r w:rsidR="00681C8D" w:rsidRPr="00F976CD">
        <w:rPr>
          <w:lang w:val="tr-TR"/>
        </w:rPr>
        <w:t>perspectives</w:t>
      </w:r>
      <w:proofErr w:type="spellEnd"/>
      <w:r w:rsidR="00681C8D" w:rsidRPr="00F976CD">
        <w:rPr>
          <w:lang w:val="tr-TR"/>
        </w:rPr>
        <w:t xml:space="preserve">, </w:t>
      </w:r>
      <w:r w:rsidR="00EC7330" w:rsidRPr="00F976CD">
        <w:rPr>
          <w:lang w:val="tr-TR"/>
        </w:rPr>
        <w:t>Avrupa Konseyi yayını</w:t>
      </w:r>
      <w:r w:rsidR="00681C8D" w:rsidRPr="00F976CD">
        <w:rPr>
          <w:lang w:val="tr-TR"/>
        </w:rPr>
        <w:t xml:space="preserve">, </w:t>
      </w:r>
      <w:r w:rsidR="00EC7330" w:rsidRPr="00F976CD">
        <w:rPr>
          <w:lang w:val="tr-TR"/>
        </w:rPr>
        <w:t>Ekim</w:t>
      </w:r>
      <w:r w:rsidR="00681C8D" w:rsidRPr="00F976CD">
        <w:rPr>
          <w:lang w:val="tr-TR"/>
        </w:rPr>
        <w:t xml:space="preserve"> 2015, </w:t>
      </w:r>
      <w:r w:rsidR="00EC7330" w:rsidRPr="00F976CD">
        <w:rPr>
          <w:lang w:val="tr-TR"/>
        </w:rPr>
        <w:t>s</w:t>
      </w:r>
      <w:r w:rsidR="00681C8D" w:rsidRPr="00F976CD">
        <w:rPr>
          <w:lang w:val="tr-TR"/>
        </w:rPr>
        <w:t xml:space="preserve">. 159) </w:t>
      </w:r>
      <w:r w:rsidR="0089089D" w:rsidRPr="00F976CD">
        <w:rPr>
          <w:lang w:val="tr-TR"/>
        </w:rPr>
        <w:t>tarafından atıfta bulunulan farklı bir istatistiki bilgiye göre</w:t>
      </w:r>
      <w:r w:rsidR="005E6D31" w:rsidRPr="00F976CD">
        <w:rPr>
          <w:lang w:val="tr-TR"/>
        </w:rPr>
        <w:t xml:space="preserve"> bu rakamlar şöyledir: 66(2012), 107(2013) ve 47(2014).</w:t>
      </w:r>
    </w:p>
  </w:footnote>
  <w:footnote w:id="46">
    <w:p w14:paraId="521C8C8C" w14:textId="08C47214" w:rsidR="00DD66A6" w:rsidRPr="00F976CD" w:rsidRDefault="00DD66A6">
      <w:pPr>
        <w:pStyle w:val="DipnotMetni"/>
        <w:rPr>
          <w:lang w:val="tr-TR"/>
        </w:rPr>
      </w:pPr>
      <w:r w:rsidRPr="00F976CD">
        <w:rPr>
          <w:rStyle w:val="DipnotBavurusu"/>
          <w:lang w:val="tr-TR"/>
        </w:rPr>
        <w:footnoteRef/>
      </w:r>
      <w:r w:rsidRPr="00F976CD">
        <w:rPr>
          <w:lang w:val="tr-TR"/>
        </w:rPr>
        <w:t xml:space="preserve"> </w:t>
      </w:r>
      <w:r w:rsidR="00E8310F" w:rsidRPr="00F976CD">
        <w:rPr>
          <w:lang w:val="tr-TR"/>
        </w:rPr>
        <w:t xml:space="preserve">Yaman Akdeniz, Kerem Altıparmak, </w:t>
      </w:r>
      <w:proofErr w:type="spellStart"/>
      <w:r w:rsidR="00F412AD" w:rsidRPr="00F976CD">
        <w:rPr>
          <w:lang w:val="tr-TR"/>
        </w:rPr>
        <w:t>a.g.e</w:t>
      </w:r>
      <w:proofErr w:type="spellEnd"/>
      <w:r w:rsidR="00F412AD" w:rsidRPr="00F976CD">
        <w:rPr>
          <w:lang w:val="tr-TR"/>
        </w:rPr>
        <w:t>.</w:t>
      </w:r>
      <w:r w:rsidR="00E8310F" w:rsidRPr="00F976CD">
        <w:rPr>
          <w:lang w:val="tr-TR"/>
        </w:rPr>
        <w:t xml:space="preserve"> sayfa.147.</w:t>
      </w:r>
    </w:p>
  </w:footnote>
  <w:footnote w:id="47">
    <w:p w14:paraId="1DE117E1" w14:textId="04EB6D01" w:rsidR="00A819FC" w:rsidRPr="00F976CD" w:rsidRDefault="00A819FC">
      <w:pPr>
        <w:pStyle w:val="DipnotMetni"/>
        <w:rPr>
          <w:lang w:val="tr-TR"/>
        </w:rPr>
      </w:pPr>
      <w:r w:rsidRPr="00F976CD">
        <w:rPr>
          <w:rStyle w:val="DipnotBavurusu"/>
          <w:lang w:val="tr-TR"/>
        </w:rPr>
        <w:footnoteRef/>
      </w:r>
      <w:r w:rsidRPr="00F976CD">
        <w:rPr>
          <w:lang w:val="tr-TR"/>
        </w:rPr>
        <w:t xml:space="preserve"> </w:t>
      </w:r>
      <w:r w:rsidR="00E536BE" w:rsidRPr="00F976CD">
        <w:rPr>
          <w:lang w:val="tr-TR"/>
        </w:rPr>
        <w:t>Başvuru No. 13470/87, 20 Eylül 1994</w:t>
      </w:r>
    </w:p>
  </w:footnote>
  <w:footnote w:id="48">
    <w:p w14:paraId="12A118CB" w14:textId="43953489" w:rsidR="00E536BE" w:rsidRPr="006D03AF" w:rsidRDefault="00E536BE">
      <w:pPr>
        <w:pStyle w:val="DipnotMetni"/>
        <w:rPr>
          <w:sz w:val="18"/>
          <w:szCs w:val="18"/>
          <w:lang w:val="tr-TR"/>
        </w:rPr>
      </w:pPr>
      <w:r w:rsidRPr="006D03AF">
        <w:rPr>
          <w:rStyle w:val="DipnotBavurusu"/>
          <w:sz w:val="18"/>
          <w:szCs w:val="18"/>
          <w:lang w:val="tr-TR"/>
        </w:rPr>
        <w:footnoteRef/>
      </w:r>
      <w:r w:rsidRPr="006D03AF">
        <w:rPr>
          <w:sz w:val="18"/>
          <w:szCs w:val="18"/>
          <w:lang w:val="tr-TR"/>
        </w:rPr>
        <w:t xml:space="preserve"> E. 2014/35434, K. 2015/22535, 12 Ekim 2015.</w:t>
      </w:r>
    </w:p>
  </w:footnote>
  <w:footnote w:id="49">
    <w:p w14:paraId="0F6FD221" w14:textId="4892C788" w:rsidR="00AA2BA6" w:rsidRPr="006D03AF" w:rsidRDefault="00AA2BA6">
      <w:pPr>
        <w:pStyle w:val="DipnotMetni"/>
        <w:rPr>
          <w:sz w:val="18"/>
          <w:szCs w:val="18"/>
          <w:lang w:val="tr-TR"/>
        </w:rPr>
      </w:pPr>
      <w:r w:rsidRPr="006D03AF">
        <w:rPr>
          <w:rStyle w:val="DipnotBavurusu"/>
          <w:sz w:val="18"/>
          <w:szCs w:val="18"/>
          <w:lang w:val="tr-TR"/>
        </w:rPr>
        <w:footnoteRef/>
      </w:r>
      <w:r w:rsidRPr="006D03AF">
        <w:rPr>
          <w:sz w:val="18"/>
          <w:szCs w:val="18"/>
          <w:lang w:val="tr-TR"/>
        </w:rPr>
        <w:t xml:space="preserve"> Bakınız </w:t>
      </w:r>
      <w:r w:rsidR="00EB6648" w:rsidRPr="006D03AF">
        <w:rPr>
          <w:sz w:val="18"/>
          <w:szCs w:val="18"/>
          <w:lang w:val="tr-TR"/>
        </w:rPr>
        <w:t xml:space="preserve">bu Görüşün </w:t>
      </w:r>
      <w:r w:rsidRPr="006D03AF">
        <w:rPr>
          <w:sz w:val="18"/>
          <w:szCs w:val="18"/>
          <w:lang w:val="tr-TR"/>
        </w:rPr>
        <w:t>özellikle. 39, 40, 41 ve 47</w:t>
      </w:r>
      <w:r w:rsidR="00EB6648" w:rsidRPr="006D03AF">
        <w:rPr>
          <w:sz w:val="18"/>
          <w:szCs w:val="18"/>
          <w:lang w:val="tr-TR"/>
        </w:rPr>
        <w:t>. paragrafları</w:t>
      </w:r>
      <w:r w:rsidRPr="006D03AF">
        <w:rPr>
          <w:sz w:val="18"/>
          <w:szCs w:val="18"/>
          <w:lang w:val="tr-TR"/>
        </w:rPr>
        <w:t>.</w:t>
      </w:r>
    </w:p>
  </w:footnote>
  <w:footnote w:id="50">
    <w:p w14:paraId="1280E9E1" w14:textId="61123617" w:rsidR="008C556E" w:rsidRPr="006D03AF" w:rsidRDefault="008C556E">
      <w:pPr>
        <w:pStyle w:val="DipnotMetni"/>
        <w:rPr>
          <w:sz w:val="18"/>
          <w:szCs w:val="18"/>
          <w:lang w:val="tr-TR"/>
        </w:rPr>
      </w:pPr>
      <w:r w:rsidRPr="006D03AF">
        <w:rPr>
          <w:rStyle w:val="DipnotBavurusu"/>
          <w:sz w:val="18"/>
          <w:szCs w:val="18"/>
          <w:lang w:val="tr-TR"/>
        </w:rPr>
        <w:footnoteRef/>
      </w:r>
      <w:r w:rsidRPr="006D03AF">
        <w:rPr>
          <w:sz w:val="18"/>
          <w:szCs w:val="18"/>
          <w:lang w:val="tr-TR"/>
        </w:rPr>
        <w:t xml:space="preserve"> Altuğ Taner Akçam – Türkiye davası (Başvuru No. 27520/07, 25 Ekim 2011) ve Dink – Türkiye davası (Başvuru Sayıları: 2668/07, 6102/08, 30079/08, 7072/09 ve 7124/09, 14 Eylül 2010).</w:t>
      </w:r>
    </w:p>
  </w:footnote>
  <w:footnote w:id="51">
    <w:p w14:paraId="2CAD5945" w14:textId="10D426DE" w:rsidR="00C7468F" w:rsidRPr="006D03AF" w:rsidRDefault="00C7468F">
      <w:pPr>
        <w:pStyle w:val="DipnotMetni"/>
        <w:rPr>
          <w:sz w:val="18"/>
          <w:szCs w:val="18"/>
          <w:lang w:val="tr-TR"/>
        </w:rPr>
      </w:pPr>
      <w:r w:rsidRPr="006D03AF">
        <w:rPr>
          <w:rStyle w:val="DipnotBavurusu"/>
          <w:sz w:val="18"/>
          <w:szCs w:val="18"/>
          <w:lang w:val="tr-TR"/>
        </w:rPr>
        <w:footnoteRef/>
      </w:r>
      <w:r w:rsidRPr="006D03AF">
        <w:rPr>
          <w:sz w:val="18"/>
          <w:szCs w:val="18"/>
          <w:lang w:val="tr-TR"/>
        </w:rPr>
        <w:t xml:space="preserve"> Bakınız bu Görüşün 90. </w:t>
      </w:r>
      <w:r w:rsidR="005E6F1C" w:rsidRPr="006D03AF">
        <w:rPr>
          <w:sz w:val="18"/>
          <w:szCs w:val="18"/>
          <w:lang w:val="tr-TR"/>
        </w:rPr>
        <w:t>v</w:t>
      </w:r>
      <w:r w:rsidRPr="006D03AF">
        <w:rPr>
          <w:sz w:val="18"/>
          <w:szCs w:val="18"/>
          <w:lang w:val="tr-TR"/>
        </w:rPr>
        <w:t xml:space="preserve">e takip eden paragrafları.  </w:t>
      </w:r>
    </w:p>
  </w:footnote>
  <w:footnote w:id="52">
    <w:p w14:paraId="12BA2507" w14:textId="060077A9" w:rsidR="00331BAB" w:rsidRPr="00640EAB" w:rsidRDefault="00331BAB">
      <w:pPr>
        <w:pStyle w:val="DipnotMetni"/>
        <w:rPr>
          <w:sz w:val="18"/>
          <w:szCs w:val="18"/>
          <w:lang w:val="tr-TR"/>
        </w:rPr>
      </w:pPr>
      <w:r w:rsidRPr="00640EAB">
        <w:rPr>
          <w:rStyle w:val="DipnotBavurusu"/>
          <w:sz w:val="18"/>
          <w:szCs w:val="18"/>
          <w:lang w:val="tr-TR"/>
        </w:rPr>
        <w:footnoteRef/>
      </w:r>
      <w:r w:rsidRPr="00640EAB">
        <w:rPr>
          <w:sz w:val="18"/>
          <w:szCs w:val="18"/>
          <w:lang w:val="tr-TR"/>
        </w:rPr>
        <w:t xml:space="preserve"> Adalet Bakanlığı, </w:t>
      </w:r>
      <w:r w:rsidR="001161CC" w:rsidRPr="00640EAB">
        <w:rPr>
          <w:sz w:val="18"/>
          <w:szCs w:val="18"/>
          <w:lang w:val="tr-TR"/>
        </w:rPr>
        <w:t>Ceza İşleri Genel Müdürlüğü</w:t>
      </w:r>
      <w:r w:rsidRPr="00640EAB">
        <w:rPr>
          <w:sz w:val="18"/>
          <w:szCs w:val="18"/>
          <w:lang w:val="tr-TR"/>
        </w:rPr>
        <w:t xml:space="preserve">, </w:t>
      </w:r>
      <w:r w:rsidR="001161CC" w:rsidRPr="00640EAB">
        <w:rPr>
          <w:sz w:val="18"/>
          <w:szCs w:val="18"/>
          <w:lang w:val="tr-TR"/>
        </w:rPr>
        <w:t>Belge</w:t>
      </w:r>
      <w:r w:rsidRPr="00640EAB">
        <w:rPr>
          <w:sz w:val="18"/>
          <w:szCs w:val="18"/>
          <w:lang w:val="tr-TR"/>
        </w:rPr>
        <w:t xml:space="preserve">. </w:t>
      </w:r>
      <w:proofErr w:type="spellStart"/>
      <w:r w:rsidRPr="00640EAB">
        <w:rPr>
          <w:sz w:val="18"/>
          <w:szCs w:val="18"/>
          <w:lang w:val="tr-TR"/>
        </w:rPr>
        <w:t>no</w:t>
      </w:r>
      <w:proofErr w:type="spellEnd"/>
      <w:r w:rsidRPr="00640EAB">
        <w:rPr>
          <w:sz w:val="18"/>
          <w:szCs w:val="18"/>
          <w:lang w:val="tr-TR"/>
        </w:rPr>
        <w:t>. 76608343-622-03-0079-2015/155/18839, 17 Mar</w:t>
      </w:r>
      <w:r w:rsidR="001161CC" w:rsidRPr="00640EAB">
        <w:rPr>
          <w:sz w:val="18"/>
          <w:szCs w:val="18"/>
          <w:lang w:val="tr-TR"/>
        </w:rPr>
        <w:t>t</w:t>
      </w:r>
      <w:r w:rsidRPr="00640EAB">
        <w:rPr>
          <w:sz w:val="18"/>
          <w:szCs w:val="18"/>
          <w:lang w:val="tr-TR"/>
        </w:rPr>
        <w:t xml:space="preserve"> 2015 (http://meldaonur.net/?p=5434).</w:t>
      </w:r>
    </w:p>
  </w:footnote>
  <w:footnote w:id="53">
    <w:p w14:paraId="05EBE1C6" w14:textId="0A4D1470" w:rsidR="008058BE" w:rsidRPr="00640EAB" w:rsidRDefault="008058BE">
      <w:pPr>
        <w:pStyle w:val="DipnotMetni"/>
        <w:rPr>
          <w:sz w:val="18"/>
          <w:szCs w:val="18"/>
          <w:lang w:val="tr-TR"/>
        </w:rPr>
      </w:pPr>
      <w:r w:rsidRPr="00640EAB">
        <w:rPr>
          <w:rStyle w:val="DipnotBavurusu"/>
          <w:sz w:val="18"/>
          <w:szCs w:val="18"/>
          <w:lang w:val="tr-TR"/>
        </w:rPr>
        <w:footnoteRef/>
      </w:r>
      <w:r w:rsidRPr="00640EAB">
        <w:rPr>
          <w:sz w:val="18"/>
          <w:szCs w:val="18"/>
          <w:lang w:val="tr-TR"/>
        </w:rPr>
        <w:t xml:space="preserve"> SWD(2015)216Final, s. 64.</w:t>
      </w:r>
    </w:p>
  </w:footnote>
  <w:footnote w:id="54">
    <w:p w14:paraId="143CB3A7" w14:textId="40297381" w:rsidR="007329B6" w:rsidRPr="00640EAB" w:rsidRDefault="007329B6">
      <w:pPr>
        <w:pStyle w:val="DipnotMetni"/>
        <w:rPr>
          <w:sz w:val="18"/>
          <w:szCs w:val="18"/>
          <w:lang w:val="tr-TR"/>
        </w:rPr>
      </w:pPr>
      <w:r w:rsidRPr="00640EAB">
        <w:rPr>
          <w:rStyle w:val="DipnotBavurusu"/>
          <w:sz w:val="18"/>
          <w:szCs w:val="18"/>
          <w:lang w:val="tr-TR"/>
        </w:rPr>
        <w:footnoteRef/>
      </w:r>
      <w:r w:rsidRPr="00640EAB">
        <w:rPr>
          <w:sz w:val="18"/>
          <w:szCs w:val="18"/>
          <w:lang w:val="tr-TR"/>
        </w:rPr>
        <w:t xml:space="preserve"> E.2009/9-190 K. 2009/253, 3 Kasım 2009</w:t>
      </w:r>
    </w:p>
  </w:footnote>
  <w:footnote w:id="55">
    <w:p w14:paraId="47FCDD77" w14:textId="693903C2" w:rsidR="002632D8" w:rsidRPr="00640EAB" w:rsidRDefault="002632D8">
      <w:pPr>
        <w:pStyle w:val="DipnotMetni"/>
        <w:rPr>
          <w:sz w:val="18"/>
          <w:szCs w:val="18"/>
          <w:lang w:val="tr-TR"/>
        </w:rPr>
      </w:pPr>
      <w:r w:rsidRPr="00640EAB">
        <w:rPr>
          <w:rStyle w:val="DipnotBavurusu"/>
          <w:sz w:val="18"/>
          <w:szCs w:val="18"/>
          <w:lang w:val="tr-TR"/>
        </w:rPr>
        <w:footnoteRef/>
      </w:r>
      <w:r w:rsidRPr="00640EAB">
        <w:rPr>
          <w:sz w:val="18"/>
          <w:szCs w:val="18"/>
          <w:lang w:val="tr-TR"/>
        </w:rPr>
        <w:t xml:space="preserve"> </w:t>
      </w:r>
      <w:r w:rsidR="00A6106E" w:rsidRPr="00640EAB">
        <w:rPr>
          <w:sz w:val="18"/>
          <w:szCs w:val="18"/>
          <w:lang w:val="tr-TR"/>
        </w:rPr>
        <w:t>Türkçede “</w:t>
      </w:r>
      <w:r w:rsidR="00EF42FA">
        <w:rPr>
          <w:sz w:val="18"/>
          <w:szCs w:val="18"/>
          <w:lang w:val="tr-TR"/>
        </w:rPr>
        <w:t>kına yakmak</w:t>
      </w:r>
      <w:r w:rsidR="00A6106E" w:rsidRPr="00640EAB">
        <w:rPr>
          <w:sz w:val="18"/>
          <w:szCs w:val="18"/>
          <w:lang w:val="tr-TR"/>
        </w:rPr>
        <w:t>” deyimi aşırı memnun olmak anlamına gelir.</w:t>
      </w:r>
    </w:p>
  </w:footnote>
  <w:footnote w:id="56">
    <w:p w14:paraId="0AC195AA" w14:textId="02737E2E" w:rsidR="00A6106E" w:rsidRPr="00640EAB" w:rsidRDefault="00A6106E">
      <w:pPr>
        <w:pStyle w:val="DipnotMetni"/>
        <w:rPr>
          <w:sz w:val="18"/>
          <w:szCs w:val="18"/>
          <w:lang w:val="tr-TR"/>
        </w:rPr>
      </w:pPr>
      <w:r w:rsidRPr="00640EAB">
        <w:rPr>
          <w:rStyle w:val="DipnotBavurusu"/>
          <w:sz w:val="18"/>
          <w:szCs w:val="18"/>
          <w:lang w:val="tr-TR"/>
        </w:rPr>
        <w:footnoteRef/>
      </w:r>
      <w:r w:rsidRPr="00640EAB">
        <w:rPr>
          <w:sz w:val="18"/>
          <w:szCs w:val="18"/>
          <w:lang w:val="tr-TR"/>
        </w:rPr>
        <w:t xml:space="preserve"> Türkiye</w:t>
      </w:r>
      <w:r w:rsidR="00BA6918" w:rsidRPr="00640EAB">
        <w:rPr>
          <w:sz w:val="18"/>
          <w:szCs w:val="18"/>
          <w:lang w:val="tr-TR"/>
        </w:rPr>
        <w:t>’de</w:t>
      </w:r>
      <w:r w:rsidR="00215AB8" w:rsidRPr="00640EAB">
        <w:rPr>
          <w:sz w:val="18"/>
          <w:szCs w:val="18"/>
          <w:lang w:val="tr-TR"/>
        </w:rPr>
        <w:t xml:space="preserve"> Cumhurbaşkanlarının eski</w:t>
      </w:r>
      <w:r w:rsidR="00386D55">
        <w:rPr>
          <w:sz w:val="18"/>
          <w:szCs w:val="18"/>
          <w:lang w:val="tr-TR"/>
        </w:rPr>
        <w:t xml:space="preserve"> </w:t>
      </w:r>
      <w:proofErr w:type="gramStart"/>
      <w:r w:rsidR="00386D55">
        <w:rPr>
          <w:sz w:val="18"/>
          <w:szCs w:val="18"/>
          <w:lang w:val="tr-TR"/>
        </w:rPr>
        <w:t>ikame</w:t>
      </w:r>
      <w:r w:rsidR="00C15FFB">
        <w:rPr>
          <w:sz w:val="18"/>
          <w:szCs w:val="18"/>
          <w:lang w:val="tr-TR"/>
        </w:rPr>
        <w:t>tgah</w:t>
      </w:r>
      <w:proofErr w:type="gramEnd"/>
      <w:r w:rsidR="00C15FFB">
        <w:rPr>
          <w:sz w:val="18"/>
          <w:szCs w:val="18"/>
          <w:lang w:val="tr-TR"/>
        </w:rPr>
        <w:t xml:space="preserve"> adresi</w:t>
      </w:r>
      <w:r w:rsidR="00215AB8" w:rsidRPr="00640EAB">
        <w:rPr>
          <w:sz w:val="18"/>
          <w:szCs w:val="18"/>
          <w:lang w:val="tr-TR"/>
        </w:rPr>
        <w:t xml:space="preserve"> </w:t>
      </w:r>
      <w:r w:rsidR="00386D55">
        <w:rPr>
          <w:sz w:val="18"/>
          <w:szCs w:val="18"/>
          <w:lang w:val="tr-TR"/>
        </w:rPr>
        <w:t>Çankaya</w:t>
      </w:r>
      <w:r w:rsidR="00C15FFB">
        <w:rPr>
          <w:sz w:val="18"/>
          <w:szCs w:val="18"/>
          <w:lang w:val="tr-TR"/>
        </w:rPr>
        <w:t xml:space="preserve"> idi.</w:t>
      </w:r>
    </w:p>
  </w:footnote>
  <w:footnote w:id="57">
    <w:p w14:paraId="037171B9" w14:textId="0A25BB46" w:rsidR="008E78AB" w:rsidRPr="00640EAB" w:rsidRDefault="008E78AB">
      <w:pPr>
        <w:pStyle w:val="DipnotMetni"/>
        <w:rPr>
          <w:sz w:val="18"/>
          <w:szCs w:val="18"/>
          <w:lang w:val="tr-TR"/>
        </w:rPr>
      </w:pPr>
      <w:r w:rsidRPr="00640EAB">
        <w:rPr>
          <w:rStyle w:val="DipnotBavurusu"/>
          <w:sz w:val="18"/>
          <w:szCs w:val="18"/>
          <w:lang w:val="tr-TR"/>
        </w:rPr>
        <w:footnoteRef/>
      </w:r>
      <w:r w:rsidRPr="00640EAB">
        <w:rPr>
          <w:sz w:val="18"/>
          <w:szCs w:val="18"/>
          <w:lang w:val="tr-TR"/>
        </w:rPr>
        <w:t xml:space="preserve"> AİHM, Artun ve </w:t>
      </w:r>
      <w:proofErr w:type="spellStart"/>
      <w:r w:rsidRPr="00640EAB">
        <w:rPr>
          <w:sz w:val="18"/>
          <w:szCs w:val="18"/>
          <w:lang w:val="tr-TR"/>
        </w:rPr>
        <w:t>Guvener</w:t>
      </w:r>
      <w:proofErr w:type="spellEnd"/>
      <w:r w:rsidRPr="00640EAB">
        <w:rPr>
          <w:sz w:val="18"/>
          <w:szCs w:val="18"/>
          <w:lang w:val="tr-TR"/>
        </w:rPr>
        <w:t xml:space="preserve"> – Türkiye davası, Başvuru No. 75510/01, 26 Haziran 2007; ve Güzel – Türkiye davası, </w:t>
      </w:r>
      <w:proofErr w:type="spellStart"/>
      <w:r w:rsidRPr="00640EAB">
        <w:rPr>
          <w:sz w:val="18"/>
          <w:szCs w:val="18"/>
          <w:lang w:val="tr-TR"/>
        </w:rPr>
        <w:t>no</w:t>
      </w:r>
      <w:proofErr w:type="spellEnd"/>
      <w:r w:rsidRPr="00640EAB">
        <w:rPr>
          <w:sz w:val="18"/>
          <w:szCs w:val="18"/>
          <w:lang w:val="tr-TR"/>
        </w:rPr>
        <w:t>. 6586/05, 24 Temmuz 2007</w:t>
      </w:r>
    </w:p>
  </w:footnote>
  <w:footnote w:id="58">
    <w:p w14:paraId="7457C121" w14:textId="670070ED" w:rsidR="00A931F7" w:rsidRPr="00640EAB" w:rsidRDefault="00A931F7">
      <w:pPr>
        <w:pStyle w:val="DipnotMetni"/>
        <w:rPr>
          <w:sz w:val="18"/>
          <w:szCs w:val="18"/>
          <w:lang w:val="tr-TR"/>
        </w:rPr>
      </w:pPr>
      <w:r w:rsidRPr="00640EAB">
        <w:rPr>
          <w:rStyle w:val="DipnotBavurusu"/>
          <w:sz w:val="18"/>
          <w:szCs w:val="18"/>
          <w:lang w:val="tr-TR"/>
        </w:rPr>
        <w:footnoteRef/>
      </w:r>
      <w:r w:rsidRPr="00640EAB">
        <w:rPr>
          <w:sz w:val="18"/>
          <w:szCs w:val="18"/>
          <w:lang w:val="tr-TR"/>
        </w:rPr>
        <w:t xml:space="preserve"> AİHM, Pakdemirli – Türkiye davası, Başvuru No. 35839/97, 22 Şubat 2005.</w:t>
      </w:r>
    </w:p>
  </w:footnote>
  <w:footnote w:id="59">
    <w:p w14:paraId="77D57F50" w14:textId="518D4C50" w:rsidR="008C0DD6" w:rsidRPr="00640EAB" w:rsidRDefault="008C0DD6">
      <w:pPr>
        <w:pStyle w:val="DipnotMetni"/>
        <w:rPr>
          <w:sz w:val="18"/>
          <w:szCs w:val="18"/>
          <w:lang w:val="tr-TR"/>
        </w:rPr>
      </w:pPr>
      <w:r w:rsidRPr="00640EAB">
        <w:rPr>
          <w:rStyle w:val="DipnotBavurusu"/>
          <w:sz w:val="18"/>
          <w:szCs w:val="18"/>
          <w:lang w:val="tr-TR"/>
        </w:rPr>
        <w:footnoteRef/>
      </w:r>
      <w:r w:rsidRPr="00640EAB">
        <w:rPr>
          <w:sz w:val="18"/>
          <w:szCs w:val="18"/>
          <w:lang w:val="tr-TR"/>
        </w:rPr>
        <w:t xml:space="preserve"> Almanya</w:t>
      </w:r>
      <w:r w:rsidR="00A467F0" w:rsidRPr="00640EAB">
        <w:rPr>
          <w:sz w:val="18"/>
          <w:szCs w:val="18"/>
          <w:lang w:val="tr-TR"/>
        </w:rPr>
        <w:t>: İfade özgürlüğü</w:t>
      </w:r>
      <w:r w:rsidR="00427FA1" w:rsidRPr="00640EAB">
        <w:rPr>
          <w:sz w:val="18"/>
          <w:szCs w:val="18"/>
          <w:lang w:val="tr-TR"/>
        </w:rPr>
        <w:t>ne ilişkin</w:t>
      </w:r>
      <w:r w:rsidR="00A467F0" w:rsidRPr="00640EAB">
        <w:rPr>
          <w:sz w:val="18"/>
          <w:szCs w:val="18"/>
          <w:lang w:val="tr-TR"/>
        </w:rPr>
        <w:t xml:space="preserve"> olumlu ortam</w:t>
      </w:r>
      <w:r w:rsidR="00E33860" w:rsidRPr="00640EAB">
        <w:rPr>
          <w:sz w:val="18"/>
          <w:szCs w:val="18"/>
          <w:lang w:val="tr-TR"/>
        </w:rPr>
        <w:t xml:space="preserve">a gözetim ile gölge düşürüldü, çevrimiçi: </w:t>
      </w:r>
      <w:r w:rsidRPr="00640EAB">
        <w:rPr>
          <w:sz w:val="18"/>
          <w:szCs w:val="18"/>
          <w:lang w:val="tr-TR"/>
        </w:rPr>
        <w:t xml:space="preserve">https://www.indexoncensorship.org/2013/08/germany-a-positive-environment-for-free-expression-clouded-by- </w:t>
      </w:r>
      <w:proofErr w:type="spellStart"/>
      <w:r w:rsidRPr="00640EAB">
        <w:rPr>
          <w:sz w:val="18"/>
          <w:szCs w:val="18"/>
          <w:lang w:val="tr-TR"/>
        </w:rPr>
        <w:t>surveillance</w:t>
      </w:r>
      <w:proofErr w:type="spellEnd"/>
      <w:r w:rsidRPr="00640EAB">
        <w:rPr>
          <w:sz w:val="18"/>
          <w:szCs w:val="18"/>
          <w:lang w:val="tr-TR"/>
        </w:rPr>
        <w:t>/</w:t>
      </w:r>
    </w:p>
  </w:footnote>
  <w:footnote w:id="60">
    <w:p w14:paraId="352B0BD7" w14:textId="33824572" w:rsidR="00233E09" w:rsidRPr="00640EAB" w:rsidRDefault="00233E09">
      <w:pPr>
        <w:pStyle w:val="DipnotMetni"/>
        <w:rPr>
          <w:sz w:val="18"/>
          <w:szCs w:val="18"/>
          <w:lang w:val="tr-TR"/>
        </w:rPr>
      </w:pPr>
      <w:r w:rsidRPr="00640EAB">
        <w:rPr>
          <w:rStyle w:val="DipnotBavurusu"/>
          <w:sz w:val="18"/>
          <w:szCs w:val="18"/>
          <w:lang w:val="tr-TR"/>
        </w:rPr>
        <w:footnoteRef/>
      </w:r>
      <w:r w:rsidRPr="00640EAB">
        <w:rPr>
          <w:sz w:val="18"/>
          <w:szCs w:val="18"/>
          <w:lang w:val="tr-TR"/>
        </w:rPr>
        <w:t xml:space="preserve"> Ayrıca bakınız PEN, </w:t>
      </w:r>
      <w:proofErr w:type="spellStart"/>
      <w:r w:rsidRPr="00640EAB">
        <w:rPr>
          <w:sz w:val="18"/>
          <w:szCs w:val="18"/>
          <w:lang w:val="tr-TR"/>
        </w:rPr>
        <w:t>Defamation</w:t>
      </w:r>
      <w:proofErr w:type="spellEnd"/>
      <w:r w:rsidRPr="00640EAB">
        <w:rPr>
          <w:sz w:val="18"/>
          <w:szCs w:val="18"/>
          <w:lang w:val="tr-TR"/>
        </w:rPr>
        <w:t xml:space="preserve"> </w:t>
      </w:r>
      <w:proofErr w:type="spellStart"/>
      <w:r w:rsidRPr="00640EAB">
        <w:rPr>
          <w:sz w:val="18"/>
          <w:szCs w:val="18"/>
          <w:lang w:val="tr-TR"/>
        </w:rPr>
        <w:t>And</w:t>
      </w:r>
      <w:proofErr w:type="spellEnd"/>
      <w:r w:rsidRPr="00640EAB">
        <w:rPr>
          <w:sz w:val="18"/>
          <w:szCs w:val="18"/>
          <w:lang w:val="tr-TR"/>
        </w:rPr>
        <w:t xml:space="preserve"> ‘</w:t>
      </w:r>
      <w:proofErr w:type="spellStart"/>
      <w:r w:rsidRPr="00640EAB">
        <w:rPr>
          <w:sz w:val="18"/>
          <w:szCs w:val="18"/>
          <w:lang w:val="tr-TR"/>
        </w:rPr>
        <w:t>Insult</w:t>
      </w:r>
      <w:proofErr w:type="spellEnd"/>
      <w:r w:rsidRPr="00640EAB">
        <w:rPr>
          <w:sz w:val="18"/>
          <w:szCs w:val="18"/>
          <w:lang w:val="tr-TR"/>
        </w:rPr>
        <w:t xml:space="preserve">’: </w:t>
      </w:r>
      <w:proofErr w:type="spellStart"/>
      <w:r w:rsidRPr="00640EAB">
        <w:rPr>
          <w:sz w:val="18"/>
          <w:szCs w:val="18"/>
          <w:lang w:val="tr-TR"/>
        </w:rPr>
        <w:t>Writers</w:t>
      </w:r>
      <w:proofErr w:type="spellEnd"/>
      <w:r w:rsidRPr="00640EAB">
        <w:rPr>
          <w:sz w:val="18"/>
          <w:szCs w:val="18"/>
          <w:lang w:val="tr-TR"/>
        </w:rPr>
        <w:t xml:space="preserve"> </w:t>
      </w:r>
      <w:proofErr w:type="spellStart"/>
      <w:r w:rsidRPr="00640EAB">
        <w:rPr>
          <w:sz w:val="18"/>
          <w:szCs w:val="18"/>
          <w:lang w:val="tr-TR"/>
        </w:rPr>
        <w:t>React</w:t>
      </w:r>
      <w:proofErr w:type="spellEnd"/>
      <w:r w:rsidRPr="00640EAB">
        <w:rPr>
          <w:sz w:val="18"/>
          <w:szCs w:val="18"/>
          <w:lang w:val="tr-TR"/>
        </w:rPr>
        <w:t xml:space="preserve">, </w:t>
      </w:r>
      <w:r w:rsidR="005E5213" w:rsidRPr="00640EAB">
        <w:rPr>
          <w:sz w:val="18"/>
          <w:szCs w:val="18"/>
          <w:lang w:val="tr-TR"/>
        </w:rPr>
        <w:t>Ekim</w:t>
      </w:r>
      <w:r w:rsidRPr="00640EAB">
        <w:rPr>
          <w:sz w:val="18"/>
          <w:szCs w:val="18"/>
          <w:lang w:val="tr-TR"/>
        </w:rPr>
        <w:t xml:space="preserve"> 2007.</w:t>
      </w:r>
    </w:p>
  </w:footnote>
  <w:footnote w:id="61">
    <w:p w14:paraId="7AF67E40" w14:textId="7389536A" w:rsidR="00895B2F" w:rsidRPr="00640EAB" w:rsidRDefault="00895B2F">
      <w:pPr>
        <w:pStyle w:val="DipnotMetni"/>
        <w:rPr>
          <w:sz w:val="18"/>
          <w:szCs w:val="18"/>
          <w:lang w:val="tr-TR"/>
        </w:rPr>
      </w:pPr>
      <w:r w:rsidRPr="00640EAB">
        <w:rPr>
          <w:rStyle w:val="DipnotBavurusu"/>
          <w:sz w:val="18"/>
          <w:szCs w:val="18"/>
          <w:lang w:val="tr-TR"/>
        </w:rPr>
        <w:footnoteRef/>
      </w:r>
      <w:r w:rsidRPr="00640EAB">
        <w:rPr>
          <w:sz w:val="18"/>
          <w:szCs w:val="18"/>
          <w:lang w:val="tr-TR"/>
        </w:rPr>
        <w:t xml:space="preserve"> </w:t>
      </w:r>
      <w:r w:rsidR="003402D5" w:rsidRPr="00640EAB">
        <w:rPr>
          <w:sz w:val="18"/>
          <w:szCs w:val="18"/>
          <w:lang w:val="tr-TR"/>
        </w:rPr>
        <w:t>No. 33348/96, 17 Aralık 2004, parag. 106.</w:t>
      </w:r>
    </w:p>
  </w:footnote>
  <w:footnote w:id="62">
    <w:p w14:paraId="66B17637" w14:textId="79AA70CF" w:rsidR="00CB75B0" w:rsidRPr="000B06B9" w:rsidRDefault="00CB75B0" w:rsidP="00BD69B2">
      <w:pPr>
        <w:pStyle w:val="DipnotMetni"/>
        <w:rPr>
          <w:sz w:val="18"/>
          <w:szCs w:val="18"/>
          <w:lang w:val="tr-TR"/>
        </w:rPr>
      </w:pPr>
      <w:r w:rsidRPr="000B06B9">
        <w:rPr>
          <w:rStyle w:val="DipnotBavurusu"/>
          <w:sz w:val="18"/>
          <w:szCs w:val="18"/>
          <w:lang w:val="tr-TR"/>
        </w:rPr>
        <w:footnoteRef/>
      </w:r>
      <w:r w:rsidRPr="000B06B9">
        <w:rPr>
          <w:sz w:val="18"/>
          <w:szCs w:val="18"/>
          <w:lang w:val="tr-TR"/>
        </w:rPr>
        <w:t xml:space="preserve"> CDL-AD(2013)024 </w:t>
      </w:r>
      <w:r w:rsidR="002726E9" w:rsidRPr="000B06B9">
        <w:rPr>
          <w:sz w:val="18"/>
          <w:szCs w:val="18"/>
          <w:lang w:val="tr-TR"/>
        </w:rPr>
        <w:t>Venedik Komisyonunun 96. Genel Oturumunda kabul edilen, Azerbaycan Cumhuri</w:t>
      </w:r>
      <w:r w:rsidR="00ED6166" w:rsidRPr="000B06B9">
        <w:rPr>
          <w:sz w:val="18"/>
          <w:szCs w:val="18"/>
          <w:lang w:val="tr-TR"/>
        </w:rPr>
        <w:t>yetine Hakaret Edilmesine Karşı Koruma Sağlanmasına ilişkin Mevzuat hakkında Görüş (</w:t>
      </w:r>
      <w:r w:rsidR="00BD69B2" w:rsidRPr="000B06B9">
        <w:rPr>
          <w:sz w:val="18"/>
          <w:szCs w:val="18"/>
          <w:lang w:val="tr-TR"/>
        </w:rPr>
        <w:t>V</w:t>
      </w:r>
      <w:r w:rsidR="00ED6166" w:rsidRPr="000B06B9">
        <w:rPr>
          <w:sz w:val="18"/>
          <w:szCs w:val="18"/>
          <w:lang w:val="tr-TR"/>
        </w:rPr>
        <w:t xml:space="preserve">enedik, 11-12 Ekim 2013), parag. 50 ve 51. </w:t>
      </w:r>
    </w:p>
  </w:footnote>
  <w:footnote w:id="63">
    <w:p w14:paraId="110EDED2" w14:textId="59FD40A1" w:rsidR="00296685" w:rsidRPr="000B06B9" w:rsidRDefault="00296685" w:rsidP="00265DFA">
      <w:pPr>
        <w:pStyle w:val="DipnotMetni"/>
        <w:rPr>
          <w:sz w:val="18"/>
          <w:szCs w:val="18"/>
          <w:lang w:val="tr-TR"/>
        </w:rPr>
      </w:pPr>
      <w:r w:rsidRPr="000B06B9">
        <w:rPr>
          <w:rStyle w:val="DipnotBavurusu"/>
          <w:sz w:val="18"/>
          <w:szCs w:val="18"/>
          <w:lang w:val="tr-TR"/>
        </w:rPr>
        <w:footnoteRef/>
      </w:r>
      <w:r w:rsidRPr="000B06B9">
        <w:rPr>
          <w:sz w:val="18"/>
          <w:szCs w:val="18"/>
          <w:lang w:val="tr-TR"/>
        </w:rPr>
        <w:t xml:space="preserve"> 19. </w:t>
      </w:r>
      <w:r w:rsidR="00241305" w:rsidRPr="000B06B9">
        <w:rPr>
          <w:sz w:val="18"/>
          <w:szCs w:val="18"/>
          <w:lang w:val="tr-TR"/>
        </w:rPr>
        <w:t>Madde</w:t>
      </w:r>
      <w:r w:rsidRPr="000B06B9">
        <w:rPr>
          <w:sz w:val="18"/>
          <w:szCs w:val="18"/>
          <w:lang w:val="tr-TR"/>
        </w:rPr>
        <w:t xml:space="preserve"> hakkında 34 sayılı Genel Yorum: Düşünce ve ifade özgürlükleri, İnsan Hakları Komitesi (2011) parag. 47</w:t>
      </w:r>
      <w:r w:rsidR="00265DFA" w:rsidRPr="000B06B9">
        <w:rPr>
          <w:sz w:val="18"/>
          <w:szCs w:val="18"/>
          <w:lang w:val="tr-TR"/>
        </w:rPr>
        <w:t xml:space="preserve"> (vurgulama eklenmiştir).</w:t>
      </w:r>
    </w:p>
  </w:footnote>
  <w:footnote w:id="64">
    <w:p w14:paraId="6D970788" w14:textId="273EBF4C" w:rsidR="00D45A6D" w:rsidRPr="000B06B9" w:rsidRDefault="00D45A6D" w:rsidP="00A232F3">
      <w:pPr>
        <w:pStyle w:val="DipnotMetni"/>
        <w:rPr>
          <w:sz w:val="18"/>
          <w:szCs w:val="18"/>
          <w:lang w:val="tr-TR"/>
        </w:rPr>
      </w:pPr>
      <w:r w:rsidRPr="000B06B9">
        <w:rPr>
          <w:rStyle w:val="DipnotBavurusu"/>
          <w:sz w:val="18"/>
          <w:szCs w:val="18"/>
          <w:lang w:val="tr-TR"/>
        </w:rPr>
        <w:footnoteRef/>
      </w:r>
      <w:r w:rsidRPr="000B06B9">
        <w:rPr>
          <w:sz w:val="18"/>
          <w:szCs w:val="18"/>
          <w:lang w:val="tr-TR"/>
        </w:rPr>
        <w:t xml:space="preserve"> </w:t>
      </w:r>
      <w:r w:rsidR="00A232F3" w:rsidRPr="000B06B9">
        <w:rPr>
          <w:sz w:val="18"/>
          <w:szCs w:val="18"/>
          <w:lang w:val="tr-TR"/>
        </w:rPr>
        <w:t>Türk hukuk sisteminde ilk derece mahkemesi kararı temyiz edildiğinde, dava dosyası önce Yargıtay Cumhuriyet Başsavcılığına gönderilir. Cumhuriyet Başsavcısı dava hakkında hazırladığı yazılı görüşü (</w:t>
      </w:r>
      <w:proofErr w:type="spellStart"/>
      <w:r w:rsidR="00A232F3" w:rsidRPr="000B06B9">
        <w:rPr>
          <w:sz w:val="18"/>
          <w:szCs w:val="18"/>
          <w:lang w:val="tr-TR"/>
        </w:rPr>
        <w:t>tebliğname</w:t>
      </w:r>
      <w:proofErr w:type="spellEnd"/>
      <w:r w:rsidR="00A232F3" w:rsidRPr="000B06B9">
        <w:rPr>
          <w:sz w:val="18"/>
          <w:szCs w:val="18"/>
          <w:lang w:val="tr-TR"/>
        </w:rPr>
        <w:t xml:space="preserve">) yetkili Yargıtay Dairesine iletir. </w:t>
      </w:r>
    </w:p>
  </w:footnote>
  <w:footnote w:id="65">
    <w:p w14:paraId="4F06DF0D" w14:textId="205DF65D" w:rsidR="00053938" w:rsidRPr="000B06B9" w:rsidRDefault="00053938">
      <w:pPr>
        <w:pStyle w:val="DipnotMetni"/>
        <w:rPr>
          <w:sz w:val="18"/>
          <w:szCs w:val="18"/>
          <w:lang w:val="tr-TR"/>
        </w:rPr>
      </w:pPr>
      <w:r w:rsidRPr="000B06B9">
        <w:rPr>
          <w:rStyle w:val="DipnotBavurusu"/>
          <w:sz w:val="18"/>
          <w:szCs w:val="18"/>
          <w:lang w:val="tr-TR"/>
        </w:rPr>
        <w:footnoteRef/>
      </w:r>
      <w:r w:rsidRPr="000B06B9">
        <w:rPr>
          <w:sz w:val="18"/>
          <w:szCs w:val="18"/>
          <w:lang w:val="tr-TR"/>
        </w:rPr>
        <w:t xml:space="preserve"> Yargıtay, E. 2015/2678, K. 2015/2921, 6 Ekim 2015.</w:t>
      </w:r>
    </w:p>
  </w:footnote>
  <w:footnote w:id="66">
    <w:p w14:paraId="6EBEAD1D" w14:textId="3965F016" w:rsidR="00875617" w:rsidRPr="00923B64" w:rsidRDefault="00875617">
      <w:pPr>
        <w:pStyle w:val="DipnotMetni"/>
        <w:rPr>
          <w:sz w:val="18"/>
          <w:szCs w:val="18"/>
          <w:lang w:val="tr-TR"/>
        </w:rPr>
      </w:pPr>
      <w:r w:rsidRPr="000B06B9">
        <w:rPr>
          <w:rStyle w:val="DipnotBavurusu"/>
          <w:sz w:val="18"/>
          <w:szCs w:val="18"/>
        </w:rPr>
        <w:footnoteRef/>
      </w:r>
      <w:r w:rsidRPr="000B06B9">
        <w:rPr>
          <w:sz w:val="18"/>
          <w:szCs w:val="18"/>
        </w:rPr>
        <w:t xml:space="preserve"> </w:t>
      </w:r>
      <w:r w:rsidRPr="00923B64">
        <w:rPr>
          <w:sz w:val="18"/>
          <w:szCs w:val="18"/>
          <w:lang w:val="tr-TR"/>
        </w:rPr>
        <w:t xml:space="preserve">Ampul, AKP’nin simgesidir. </w:t>
      </w:r>
    </w:p>
  </w:footnote>
  <w:footnote w:id="67">
    <w:p w14:paraId="26B86C30" w14:textId="3383FFCF" w:rsidR="00683923" w:rsidRPr="00923B64" w:rsidRDefault="00683923">
      <w:pPr>
        <w:pStyle w:val="DipnotMetni"/>
        <w:rPr>
          <w:sz w:val="18"/>
          <w:szCs w:val="18"/>
          <w:lang w:val="tr-TR"/>
        </w:rPr>
      </w:pPr>
      <w:r w:rsidRPr="00923B64">
        <w:rPr>
          <w:rStyle w:val="DipnotBavurusu"/>
          <w:sz w:val="18"/>
          <w:szCs w:val="18"/>
          <w:lang w:val="tr-TR"/>
        </w:rPr>
        <w:footnoteRef/>
      </w:r>
      <w:r w:rsidRPr="00923B64">
        <w:rPr>
          <w:sz w:val="18"/>
          <w:szCs w:val="18"/>
          <w:lang w:val="tr-TR"/>
        </w:rPr>
        <w:t xml:space="preserve"> </w:t>
      </w:r>
      <w:r w:rsidR="0024120A" w:rsidRPr="00923B64">
        <w:rPr>
          <w:sz w:val="18"/>
          <w:szCs w:val="18"/>
          <w:lang w:val="tr-TR"/>
        </w:rPr>
        <w:t>Bursa Asliye Ceza Mahkemesi, E. 2014/558, K. 2015/562, 15 Eylül 2015 ve Niğde Asliye Ceza Mahkemesi, E. 2014/499, K. 2015/477, 11 Eylül 2015.</w:t>
      </w:r>
    </w:p>
  </w:footnote>
  <w:footnote w:id="68">
    <w:p w14:paraId="496458FF" w14:textId="12E8F2A6" w:rsidR="0007542B" w:rsidRPr="00923B64" w:rsidRDefault="0007542B" w:rsidP="001A6421">
      <w:pPr>
        <w:pStyle w:val="DipnotMetni"/>
        <w:rPr>
          <w:sz w:val="18"/>
          <w:szCs w:val="18"/>
          <w:lang w:val="tr-TR"/>
        </w:rPr>
      </w:pPr>
      <w:r w:rsidRPr="00923B64">
        <w:rPr>
          <w:rStyle w:val="DipnotBavurusu"/>
          <w:sz w:val="18"/>
          <w:szCs w:val="18"/>
          <w:lang w:val="tr-TR"/>
        </w:rPr>
        <w:footnoteRef/>
      </w:r>
      <w:r w:rsidRPr="00923B64">
        <w:rPr>
          <w:sz w:val="18"/>
          <w:szCs w:val="18"/>
          <w:lang w:val="tr-TR"/>
        </w:rPr>
        <w:t xml:space="preserve">  Yargıtay Cumhuriyet Başsavcısının </w:t>
      </w:r>
      <w:proofErr w:type="spellStart"/>
      <w:r w:rsidRPr="00923B64">
        <w:rPr>
          <w:sz w:val="18"/>
          <w:szCs w:val="18"/>
          <w:lang w:val="tr-TR"/>
        </w:rPr>
        <w:t>Tebliğnamesi</w:t>
      </w:r>
      <w:proofErr w:type="spellEnd"/>
      <w:r w:rsidRPr="00923B64">
        <w:rPr>
          <w:sz w:val="18"/>
          <w:szCs w:val="18"/>
          <w:lang w:val="tr-TR"/>
        </w:rPr>
        <w:t xml:space="preserve">, </w:t>
      </w:r>
      <w:proofErr w:type="spellStart"/>
      <w:r w:rsidRPr="00923B64">
        <w:rPr>
          <w:sz w:val="18"/>
          <w:szCs w:val="18"/>
          <w:lang w:val="tr-TR"/>
        </w:rPr>
        <w:t>no</w:t>
      </w:r>
      <w:proofErr w:type="spellEnd"/>
      <w:r w:rsidRPr="00923B64">
        <w:rPr>
          <w:sz w:val="18"/>
          <w:szCs w:val="18"/>
          <w:lang w:val="tr-TR"/>
        </w:rPr>
        <w:t>. 2015/380064, 29 Aralık 2015.</w:t>
      </w:r>
    </w:p>
  </w:footnote>
  <w:footnote w:id="69">
    <w:p w14:paraId="2345B026" w14:textId="3A69AB11" w:rsidR="00A346FD" w:rsidRPr="00942CAE" w:rsidRDefault="00A346FD">
      <w:pPr>
        <w:pStyle w:val="DipnotMetni"/>
        <w:rPr>
          <w:sz w:val="18"/>
          <w:szCs w:val="18"/>
          <w:lang w:val="tr-TR"/>
        </w:rPr>
      </w:pPr>
      <w:r w:rsidRPr="00942CAE">
        <w:rPr>
          <w:rStyle w:val="DipnotBavurusu"/>
          <w:sz w:val="18"/>
          <w:szCs w:val="18"/>
          <w:lang w:val="tr-TR"/>
        </w:rPr>
        <w:footnoteRef/>
      </w:r>
      <w:r w:rsidRPr="00942CAE">
        <w:rPr>
          <w:sz w:val="18"/>
          <w:szCs w:val="18"/>
          <w:lang w:val="tr-TR"/>
        </w:rPr>
        <w:t xml:space="preserve"> </w:t>
      </w:r>
      <w:proofErr w:type="spellStart"/>
      <w:r w:rsidRPr="00942CAE">
        <w:rPr>
          <w:sz w:val="18"/>
          <w:szCs w:val="18"/>
          <w:lang w:val="tr-TR"/>
        </w:rPr>
        <w:t>a.g.e</w:t>
      </w:r>
      <w:proofErr w:type="spellEnd"/>
      <w:r w:rsidRPr="00942CAE">
        <w:rPr>
          <w:sz w:val="18"/>
          <w:szCs w:val="18"/>
          <w:lang w:val="tr-TR"/>
        </w:rPr>
        <w:t>.</w:t>
      </w:r>
    </w:p>
  </w:footnote>
  <w:footnote w:id="70">
    <w:p w14:paraId="28966688" w14:textId="12EF7F51" w:rsidR="00974C81" w:rsidRPr="00942CAE" w:rsidRDefault="00974C81">
      <w:pPr>
        <w:pStyle w:val="DipnotMetni"/>
        <w:rPr>
          <w:sz w:val="18"/>
          <w:szCs w:val="18"/>
          <w:lang w:val="tr-TR"/>
        </w:rPr>
      </w:pPr>
      <w:r w:rsidRPr="00942CAE">
        <w:rPr>
          <w:rStyle w:val="DipnotBavurusu"/>
          <w:sz w:val="18"/>
          <w:szCs w:val="18"/>
          <w:lang w:val="tr-TR"/>
        </w:rPr>
        <w:footnoteRef/>
      </w:r>
      <w:r w:rsidRPr="00942CAE">
        <w:rPr>
          <w:sz w:val="18"/>
          <w:szCs w:val="18"/>
          <w:lang w:val="tr-TR"/>
        </w:rPr>
        <w:t xml:space="preserve"> İstanbul 3. Çocuk Mahkemesi, E. 2014/445, K. 2014/820, 4 Kasım 2014.</w:t>
      </w:r>
    </w:p>
  </w:footnote>
  <w:footnote w:id="71">
    <w:p w14:paraId="3E8428B4" w14:textId="74C03AE1" w:rsidR="000B1536" w:rsidRPr="00942CAE" w:rsidRDefault="000B1536">
      <w:pPr>
        <w:pStyle w:val="DipnotMetni"/>
        <w:rPr>
          <w:sz w:val="18"/>
          <w:szCs w:val="18"/>
          <w:lang w:val="tr-TR"/>
        </w:rPr>
      </w:pPr>
      <w:r w:rsidRPr="00942CAE">
        <w:rPr>
          <w:rStyle w:val="DipnotBavurusu"/>
          <w:sz w:val="18"/>
          <w:szCs w:val="18"/>
          <w:lang w:val="tr-TR"/>
        </w:rPr>
        <w:footnoteRef/>
      </w:r>
      <w:r w:rsidRPr="00942CAE">
        <w:rPr>
          <w:sz w:val="18"/>
          <w:szCs w:val="18"/>
          <w:lang w:val="tr-TR"/>
        </w:rPr>
        <w:t xml:space="preserve"> Yargıtay, 16. Ceza Dairesi, E. 2015/906, K. 2015/3278, 21 Ekim 2015.</w:t>
      </w:r>
    </w:p>
  </w:footnote>
  <w:footnote w:id="72">
    <w:p w14:paraId="63F46794" w14:textId="1FE3AC5E" w:rsidR="00D63A8F" w:rsidRPr="00942CAE" w:rsidRDefault="00D63A8F">
      <w:pPr>
        <w:pStyle w:val="DipnotMetni"/>
        <w:rPr>
          <w:sz w:val="18"/>
          <w:szCs w:val="18"/>
          <w:lang w:val="tr-TR"/>
        </w:rPr>
      </w:pPr>
      <w:r w:rsidRPr="00942CAE">
        <w:rPr>
          <w:rStyle w:val="DipnotBavurusu"/>
          <w:sz w:val="18"/>
          <w:szCs w:val="18"/>
          <w:lang w:val="tr-TR"/>
        </w:rPr>
        <w:footnoteRef/>
      </w:r>
      <w:r w:rsidRPr="00942CAE">
        <w:rPr>
          <w:sz w:val="18"/>
          <w:szCs w:val="18"/>
          <w:lang w:val="tr-TR"/>
        </w:rPr>
        <w:t xml:space="preserve"> Yargıtay, 9. Ceza Dairesi, E. 2013/5019, K. 2014/551, 15 Ocak 2014. </w:t>
      </w:r>
    </w:p>
  </w:footnote>
  <w:footnote w:id="73">
    <w:p w14:paraId="07B4A98B" w14:textId="629CB7D0" w:rsidR="00F05CF5" w:rsidRPr="00942CAE" w:rsidRDefault="00F05CF5">
      <w:pPr>
        <w:pStyle w:val="DipnotMetni"/>
        <w:rPr>
          <w:sz w:val="18"/>
          <w:szCs w:val="18"/>
          <w:lang w:val="tr-TR"/>
        </w:rPr>
      </w:pPr>
      <w:r w:rsidRPr="00942CAE">
        <w:rPr>
          <w:rStyle w:val="DipnotBavurusu"/>
          <w:sz w:val="18"/>
          <w:szCs w:val="18"/>
          <w:lang w:val="tr-TR"/>
        </w:rPr>
        <w:footnoteRef/>
      </w:r>
      <w:r w:rsidRPr="00942CAE">
        <w:rPr>
          <w:sz w:val="18"/>
          <w:szCs w:val="18"/>
          <w:lang w:val="tr-TR"/>
        </w:rPr>
        <w:t xml:space="preserve"> Cumhuriyet gazetesinin genel yayın yönetmeni hakkında açılan soruşturma. Soruşturma Cumhuriyet başsavcısının kovuşturmaya yer olmadığı kararı ile sona erdirilmiştir. https://cpj.org/blog/2015/07/erdogan-vs-the-press-president- </w:t>
      </w:r>
      <w:proofErr w:type="spellStart"/>
      <w:r w:rsidRPr="00942CAE">
        <w:rPr>
          <w:sz w:val="18"/>
          <w:szCs w:val="18"/>
          <w:lang w:val="tr-TR"/>
        </w:rPr>
        <w:t>uses</w:t>
      </w:r>
      <w:proofErr w:type="spellEnd"/>
      <w:r w:rsidRPr="00942CAE">
        <w:rPr>
          <w:sz w:val="18"/>
          <w:szCs w:val="18"/>
          <w:lang w:val="tr-TR"/>
        </w:rPr>
        <w:t>-</w:t>
      </w:r>
      <w:proofErr w:type="spellStart"/>
      <w:r w:rsidRPr="00942CAE">
        <w:rPr>
          <w:sz w:val="18"/>
          <w:szCs w:val="18"/>
          <w:lang w:val="tr-TR"/>
        </w:rPr>
        <w:t>insult</w:t>
      </w:r>
      <w:proofErr w:type="spellEnd"/>
      <w:r w:rsidRPr="00942CAE">
        <w:rPr>
          <w:sz w:val="18"/>
          <w:szCs w:val="18"/>
          <w:lang w:val="tr-TR"/>
        </w:rPr>
        <w:t>-</w:t>
      </w:r>
      <w:proofErr w:type="spellStart"/>
      <w:r w:rsidRPr="00942CAE">
        <w:rPr>
          <w:sz w:val="18"/>
          <w:szCs w:val="18"/>
          <w:lang w:val="tr-TR"/>
        </w:rPr>
        <w:t>law</w:t>
      </w:r>
      <w:proofErr w:type="spellEnd"/>
      <w:r w:rsidRPr="00942CAE">
        <w:rPr>
          <w:sz w:val="18"/>
          <w:szCs w:val="18"/>
          <w:lang w:val="tr-TR"/>
        </w:rPr>
        <w:t>-to-.</w:t>
      </w:r>
      <w:proofErr w:type="spellStart"/>
      <w:r w:rsidRPr="00942CAE">
        <w:rPr>
          <w:sz w:val="18"/>
          <w:szCs w:val="18"/>
          <w:lang w:val="tr-TR"/>
        </w:rPr>
        <w:t>php</w:t>
      </w:r>
      <w:proofErr w:type="spellEnd"/>
      <w:r w:rsidRPr="00942CAE">
        <w:rPr>
          <w:sz w:val="18"/>
          <w:szCs w:val="18"/>
          <w:lang w:val="tr-TR"/>
        </w:rPr>
        <w:t xml:space="preserve"> </w:t>
      </w:r>
      <w:hyperlink r:id="rId2" w:history="1">
        <w:r w:rsidRPr="00942CAE">
          <w:rPr>
            <w:rStyle w:val="Kpr"/>
            <w:sz w:val="18"/>
            <w:szCs w:val="18"/>
            <w:lang w:val="tr-TR"/>
          </w:rPr>
          <w:t>http://www.cumhuriyet.com.tr/haber/turkiye/227225/Can_Dundar_in_yazi_dizisine_takipsizlik.html</w:t>
        </w:r>
      </w:hyperlink>
    </w:p>
  </w:footnote>
  <w:footnote w:id="74">
    <w:p w14:paraId="3EB4AE71" w14:textId="77777777" w:rsidR="00637633" w:rsidRPr="00942CAE" w:rsidRDefault="00D045EB" w:rsidP="00637633">
      <w:pPr>
        <w:pStyle w:val="DipnotMetni"/>
        <w:rPr>
          <w:sz w:val="18"/>
          <w:szCs w:val="18"/>
          <w:lang w:val="tr-TR"/>
        </w:rPr>
      </w:pPr>
      <w:r w:rsidRPr="00942CAE">
        <w:rPr>
          <w:rStyle w:val="DipnotBavurusu"/>
          <w:sz w:val="18"/>
          <w:szCs w:val="18"/>
          <w:lang w:val="tr-TR"/>
        </w:rPr>
        <w:footnoteRef/>
      </w:r>
      <w:r w:rsidRPr="00942CAE">
        <w:rPr>
          <w:sz w:val="18"/>
          <w:szCs w:val="18"/>
          <w:lang w:val="tr-TR"/>
        </w:rPr>
        <w:t xml:space="preserve"> </w:t>
      </w:r>
      <w:r w:rsidR="00637633" w:rsidRPr="00942CAE">
        <w:rPr>
          <w:sz w:val="18"/>
          <w:szCs w:val="18"/>
          <w:lang w:val="tr-TR"/>
        </w:rPr>
        <w:t>Suriye mülteci krizi hakkındaki yazısında Cumhurbaşkanını ülkeyi “babasının mülkü” olarak gören bir diktatör olarak tanımlayan Hürriyet gazetesi köşe yazarı hakkında yürütülen kovuşturma.</w:t>
      </w:r>
    </w:p>
    <w:p w14:paraId="2B1D3066" w14:textId="3BCDE8B5" w:rsidR="00637633" w:rsidRPr="00942CAE" w:rsidRDefault="00637633" w:rsidP="00637633">
      <w:pPr>
        <w:pStyle w:val="DipnotMetni"/>
        <w:rPr>
          <w:sz w:val="18"/>
          <w:szCs w:val="18"/>
          <w:lang w:val="tr-TR"/>
        </w:rPr>
      </w:pPr>
      <w:r w:rsidRPr="00942CAE">
        <w:rPr>
          <w:sz w:val="18"/>
          <w:szCs w:val="18"/>
          <w:lang w:val="tr-TR"/>
        </w:rPr>
        <w:t xml:space="preserve"> http://www.hurriyetdailynews.com/hurriyet-columnist-faces-up-to-five-years-in-prison-for-insulting-president- </w:t>
      </w:r>
      <w:proofErr w:type="spellStart"/>
      <w:r w:rsidRPr="00942CAE">
        <w:rPr>
          <w:sz w:val="18"/>
          <w:szCs w:val="18"/>
          <w:lang w:val="tr-TR"/>
        </w:rPr>
        <w:t>erdogan</w:t>
      </w:r>
      <w:proofErr w:type="spellEnd"/>
      <w:r w:rsidRPr="00942CAE">
        <w:rPr>
          <w:sz w:val="18"/>
          <w:szCs w:val="18"/>
          <w:lang w:val="tr-TR"/>
        </w:rPr>
        <w:t>-.</w:t>
      </w:r>
      <w:proofErr w:type="spellStart"/>
      <w:r w:rsidRPr="00942CAE">
        <w:rPr>
          <w:sz w:val="18"/>
          <w:szCs w:val="18"/>
          <w:lang w:val="tr-TR"/>
        </w:rPr>
        <w:t>aspx?pageID</w:t>
      </w:r>
      <w:proofErr w:type="spellEnd"/>
      <w:r w:rsidRPr="00942CAE">
        <w:rPr>
          <w:sz w:val="18"/>
          <w:szCs w:val="18"/>
          <w:lang w:val="tr-TR"/>
        </w:rPr>
        <w:t xml:space="preserve">=238&amp;nID=91776&amp;NewsCatID=339 </w:t>
      </w:r>
    </w:p>
  </w:footnote>
  <w:footnote w:id="75">
    <w:p w14:paraId="56C128B1" w14:textId="7A4A57DF" w:rsidR="00515583" w:rsidRDefault="00645CCC">
      <w:pPr>
        <w:pStyle w:val="DipnotMetni"/>
      </w:pPr>
      <w:r w:rsidRPr="00942CAE">
        <w:rPr>
          <w:rStyle w:val="DipnotBavurusu"/>
          <w:sz w:val="18"/>
          <w:szCs w:val="18"/>
          <w:lang w:val="tr-TR"/>
        </w:rPr>
        <w:footnoteRef/>
      </w:r>
      <w:r w:rsidRPr="00942CAE">
        <w:rPr>
          <w:sz w:val="18"/>
          <w:szCs w:val="18"/>
          <w:lang w:val="tr-TR"/>
        </w:rPr>
        <w:t xml:space="preserve"> </w:t>
      </w:r>
      <w:r w:rsidR="00515583" w:rsidRPr="00942CAE">
        <w:rPr>
          <w:sz w:val="18"/>
          <w:szCs w:val="18"/>
          <w:lang w:val="tr-TR"/>
        </w:rPr>
        <w:t xml:space="preserve">“Kendi düşüncelerini açıklayan akademisyenler bir diktatör bozuntusunun talimatıyla tek tek gözaltına alınıyor” diyen ana muhalefet partisinin lideri hakkında soruşturma. </w:t>
      </w:r>
      <w:hyperlink r:id="rId3" w:history="1">
        <w:r w:rsidR="00515583" w:rsidRPr="00942CAE">
          <w:rPr>
            <w:rStyle w:val="Kpr"/>
            <w:sz w:val="18"/>
            <w:szCs w:val="18"/>
            <w:lang w:val="tr-TR"/>
          </w:rPr>
          <w:t>http://www.reuters.com/article/us-turkey-president-idUSKCN0UW1FR</w:t>
        </w:r>
      </w:hyperlink>
    </w:p>
  </w:footnote>
  <w:footnote w:id="76">
    <w:p w14:paraId="56CFEDCD" w14:textId="5D6C0C52" w:rsidR="004F4781" w:rsidRPr="006B0830" w:rsidRDefault="004F4781">
      <w:pPr>
        <w:pStyle w:val="DipnotMetni"/>
        <w:rPr>
          <w:sz w:val="18"/>
          <w:szCs w:val="18"/>
          <w:lang w:val="tr-TR"/>
        </w:rPr>
      </w:pPr>
      <w:r w:rsidRPr="006B0830">
        <w:rPr>
          <w:rStyle w:val="DipnotBavurusu"/>
          <w:sz w:val="18"/>
          <w:szCs w:val="18"/>
          <w:lang w:val="tr-TR"/>
        </w:rPr>
        <w:footnoteRef/>
      </w:r>
      <w:r w:rsidRPr="006B0830">
        <w:rPr>
          <w:sz w:val="18"/>
          <w:szCs w:val="18"/>
          <w:lang w:val="tr-TR"/>
        </w:rPr>
        <w:t xml:space="preserve"> </w:t>
      </w:r>
      <w:hyperlink r:id="rId4" w:history="1">
        <w:r w:rsidRPr="006B0830">
          <w:rPr>
            <w:rStyle w:val="Kpr"/>
            <w:sz w:val="18"/>
            <w:szCs w:val="18"/>
            <w:lang w:val="tr-TR"/>
          </w:rPr>
          <w:t xml:space="preserve">http://www.cumhuriyet.com.tr/haber/turkiye/446146/BirGun_e_acilan </w:t>
        </w:r>
        <w:proofErr w:type="spellStart"/>
        <w:r w:rsidRPr="006B0830">
          <w:rPr>
            <w:rStyle w:val="Kpr"/>
            <w:sz w:val="18"/>
            <w:szCs w:val="18"/>
            <w:lang w:val="tr-TR"/>
          </w:rPr>
          <w:t>Erdogan</w:t>
        </w:r>
        <w:proofErr w:type="spellEnd"/>
        <w:r w:rsidRPr="006B0830">
          <w:rPr>
            <w:rStyle w:val="Kpr"/>
            <w:sz w:val="18"/>
            <w:szCs w:val="18"/>
            <w:lang w:val="tr-TR"/>
          </w:rPr>
          <w:t xml:space="preserve"> davasinda_hapis_cezasi.html</w:t>
        </w:r>
      </w:hyperlink>
    </w:p>
  </w:footnote>
  <w:footnote w:id="77">
    <w:p w14:paraId="4482F107" w14:textId="438CE11F" w:rsidR="00A97B85" w:rsidRPr="006B0830" w:rsidRDefault="00A97B85" w:rsidP="00A97B85">
      <w:pPr>
        <w:pStyle w:val="DipnotMetni"/>
        <w:rPr>
          <w:sz w:val="18"/>
          <w:szCs w:val="18"/>
          <w:lang w:val="tr-TR"/>
        </w:rPr>
      </w:pPr>
      <w:r w:rsidRPr="006B0830">
        <w:rPr>
          <w:rStyle w:val="DipnotBavurusu"/>
          <w:sz w:val="18"/>
          <w:szCs w:val="18"/>
          <w:lang w:val="tr-TR"/>
        </w:rPr>
        <w:footnoteRef/>
      </w:r>
      <w:r w:rsidRPr="006B0830">
        <w:rPr>
          <w:sz w:val="18"/>
          <w:szCs w:val="18"/>
          <w:lang w:val="tr-TR"/>
        </w:rPr>
        <w:t xml:space="preserve"> </w:t>
      </w:r>
      <w:hyperlink r:id="rId5" w:history="1">
        <w:r w:rsidRPr="006B0830">
          <w:rPr>
            <w:rStyle w:val="Kpr"/>
            <w:sz w:val="18"/>
            <w:szCs w:val="18"/>
            <w:lang w:val="tr-TR"/>
          </w:rPr>
          <w:t>http://www.theguardian.com/world/2015/sep/15/turkish-magazine-nokta-raided-and-copies-seized-for-mock-erdogan-selfie</w:t>
        </w:r>
      </w:hyperlink>
      <w:r w:rsidRPr="006B0830">
        <w:rPr>
          <w:sz w:val="18"/>
          <w:szCs w:val="18"/>
          <w:lang w:val="tr-TR"/>
        </w:rPr>
        <w:t xml:space="preserve">  </w:t>
      </w:r>
    </w:p>
  </w:footnote>
  <w:footnote w:id="78">
    <w:p w14:paraId="074DC5B6" w14:textId="1427D159" w:rsidR="005A55B1" w:rsidRPr="006B0830" w:rsidRDefault="005A55B1">
      <w:pPr>
        <w:pStyle w:val="DipnotMetni"/>
        <w:rPr>
          <w:sz w:val="18"/>
          <w:szCs w:val="18"/>
          <w:lang w:val="tr-TR"/>
        </w:rPr>
      </w:pPr>
      <w:r w:rsidRPr="006B0830">
        <w:rPr>
          <w:rStyle w:val="DipnotBavurusu"/>
          <w:sz w:val="18"/>
          <w:szCs w:val="18"/>
          <w:lang w:val="tr-TR"/>
        </w:rPr>
        <w:footnoteRef/>
      </w:r>
      <w:r w:rsidRPr="006B0830">
        <w:rPr>
          <w:sz w:val="18"/>
          <w:szCs w:val="18"/>
          <w:lang w:val="tr-TR"/>
        </w:rPr>
        <w:t xml:space="preserve"> </w:t>
      </w:r>
      <w:hyperlink r:id="rId6" w:history="1">
        <w:r w:rsidRPr="006B0830">
          <w:rPr>
            <w:rStyle w:val="Kpr"/>
            <w:sz w:val="18"/>
            <w:szCs w:val="18"/>
            <w:lang w:val="tr-TR"/>
          </w:rPr>
          <w:t>http://www.hurriyet.com.tr/2-karikaturiste-11-er-ay-hapis-28545792</w:t>
        </w:r>
      </w:hyperlink>
    </w:p>
  </w:footnote>
  <w:footnote w:id="79">
    <w:p w14:paraId="0B778BDC" w14:textId="56A8C336" w:rsidR="006F7C21" w:rsidRPr="006B0830" w:rsidRDefault="006F7C21" w:rsidP="006F7C21">
      <w:pPr>
        <w:pStyle w:val="DipnotMetni"/>
        <w:rPr>
          <w:sz w:val="18"/>
          <w:szCs w:val="18"/>
          <w:lang w:val="tr-TR"/>
        </w:rPr>
      </w:pPr>
      <w:r w:rsidRPr="006B0830">
        <w:rPr>
          <w:rStyle w:val="DipnotBavurusu"/>
          <w:sz w:val="18"/>
          <w:szCs w:val="18"/>
          <w:lang w:val="tr-TR"/>
        </w:rPr>
        <w:footnoteRef/>
      </w:r>
      <w:r w:rsidRPr="006B0830">
        <w:rPr>
          <w:sz w:val="18"/>
          <w:szCs w:val="18"/>
          <w:lang w:val="tr-TR"/>
        </w:rPr>
        <w:t xml:space="preserve"> http://www.hurriyetdailynews.com/how-turkish-cnn-insulted-erdogan-and-got-</w:t>
      </w:r>
    </w:p>
    <w:p w14:paraId="2C206BE0" w14:textId="1F473C20" w:rsidR="006F7C21" w:rsidRPr="006B0830" w:rsidRDefault="006F7C21" w:rsidP="006F7C21">
      <w:pPr>
        <w:pStyle w:val="DipnotMetni"/>
        <w:rPr>
          <w:sz w:val="18"/>
          <w:szCs w:val="18"/>
          <w:lang w:val="tr-TR"/>
        </w:rPr>
      </w:pPr>
      <w:proofErr w:type="spellStart"/>
      <w:r w:rsidRPr="006B0830">
        <w:rPr>
          <w:sz w:val="18"/>
          <w:szCs w:val="18"/>
          <w:lang w:val="tr-TR"/>
        </w:rPr>
        <w:t>sued.aspx?PageID</w:t>
      </w:r>
      <w:proofErr w:type="spellEnd"/>
      <w:r w:rsidRPr="006B0830">
        <w:rPr>
          <w:sz w:val="18"/>
          <w:szCs w:val="18"/>
          <w:lang w:val="tr-TR"/>
        </w:rPr>
        <w:t>=238&amp;NID=94373&amp;NewsCatID=411</w:t>
      </w:r>
    </w:p>
  </w:footnote>
  <w:footnote w:id="80">
    <w:p w14:paraId="1002A1A8" w14:textId="4823C8C4" w:rsidR="0026530E" w:rsidRPr="006B0830" w:rsidRDefault="0026530E">
      <w:pPr>
        <w:pStyle w:val="DipnotMetni"/>
        <w:rPr>
          <w:sz w:val="18"/>
          <w:szCs w:val="18"/>
          <w:lang w:val="tr-TR"/>
        </w:rPr>
      </w:pPr>
      <w:r w:rsidRPr="006B0830">
        <w:rPr>
          <w:rStyle w:val="DipnotBavurusu"/>
          <w:sz w:val="18"/>
          <w:szCs w:val="18"/>
          <w:lang w:val="tr-TR"/>
        </w:rPr>
        <w:footnoteRef/>
      </w:r>
      <w:r w:rsidRPr="006B0830">
        <w:rPr>
          <w:sz w:val="18"/>
          <w:szCs w:val="18"/>
          <w:lang w:val="tr-TR"/>
        </w:rPr>
        <w:t xml:space="preserve"> 80 http://ec.europa.eu/enlargement/pdf/key_documents/2015/20151110_report_turkey.pdf (SWD(2015) 216 final).</w:t>
      </w:r>
    </w:p>
  </w:footnote>
  <w:footnote w:id="81">
    <w:p w14:paraId="764EE177" w14:textId="08008597" w:rsidR="00480127" w:rsidRPr="006B0830" w:rsidRDefault="00480127">
      <w:pPr>
        <w:pStyle w:val="DipnotMetni"/>
        <w:rPr>
          <w:sz w:val="18"/>
          <w:szCs w:val="18"/>
          <w:lang w:val="tr-TR"/>
        </w:rPr>
      </w:pPr>
      <w:r w:rsidRPr="006B0830">
        <w:rPr>
          <w:rStyle w:val="DipnotBavurusu"/>
          <w:sz w:val="18"/>
          <w:szCs w:val="18"/>
          <w:lang w:val="tr-TR"/>
        </w:rPr>
        <w:footnoteRef/>
      </w:r>
      <w:r w:rsidRPr="006B0830">
        <w:rPr>
          <w:sz w:val="18"/>
          <w:szCs w:val="18"/>
          <w:lang w:val="tr-TR"/>
        </w:rPr>
        <w:t xml:space="preserve"> </w:t>
      </w:r>
      <w:hyperlink r:id="rId7" w:history="1">
        <w:r w:rsidRPr="006B0830">
          <w:rPr>
            <w:rStyle w:val="Kpr"/>
            <w:sz w:val="18"/>
            <w:szCs w:val="18"/>
            <w:lang w:val="tr-TR"/>
          </w:rPr>
          <w:t>http://dcr.coe.int/Wires/WiresLectureF.asp?WiresID=277192</w:t>
        </w:r>
      </w:hyperlink>
    </w:p>
  </w:footnote>
  <w:footnote w:id="82">
    <w:p w14:paraId="13351E0C" w14:textId="31D0672D" w:rsidR="004030CB" w:rsidRPr="006B0830" w:rsidRDefault="004030CB">
      <w:pPr>
        <w:pStyle w:val="DipnotMetni"/>
        <w:rPr>
          <w:sz w:val="18"/>
          <w:szCs w:val="18"/>
          <w:lang w:val="tr-TR"/>
        </w:rPr>
      </w:pPr>
      <w:r w:rsidRPr="006B0830">
        <w:rPr>
          <w:rStyle w:val="DipnotBavurusu"/>
          <w:sz w:val="18"/>
          <w:szCs w:val="18"/>
          <w:lang w:val="tr-TR"/>
        </w:rPr>
        <w:footnoteRef/>
      </w:r>
      <w:r w:rsidRPr="006B0830">
        <w:rPr>
          <w:sz w:val="18"/>
          <w:szCs w:val="18"/>
          <w:lang w:val="tr-TR"/>
        </w:rPr>
        <w:t xml:space="preserve"> AİHM, </w:t>
      </w:r>
      <w:proofErr w:type="spellStart"/>
      <w:r w:rsidRPr="006B0830">
        <w:rPr>
          <w:sz w:val="18"/>
          <w:szCs w:val="18"/>
          <w:lang w:val="tr-TR"/>
        </w:rPr>
        <w:t>Wingrove</w:t>
      </w:r>
      <w:proofErr w:type="spellEnd"/>
      <w:r w:rsidRPr="006B0830">
        <w:rPr>
          <w:sz w:val="18"/>
          <w:szCs w:val="18"/>
          <w:lang w:val="tr-TR"/>
        </w:rPr>
        <w:t xml:space="preserve"> – Birleşik Krallık, 25 Kasım 1996, Raporlar 1996-V, s. 1957-58, § 58.</w:t>
      </w:r>
    </w:p>
  </w:footnote>
  <w:footnote w:id="83">
    <w:p w14:paraId="790768D3" w14:textId="56B5636D" w:rsidR="00AA398F" w:rsidRPr="006B0830" w:rsidRDefault="00AA398F" w:rsidP="00E506A2">
      <w:pPr>
        <w:pStyle w:val="DipnotMetni"/>
        <w:rPr>
          <w:sz w:val="18"/>
          <w:szCs w:val="18"/>
          <w:lang w:val="tr-TR"/>
        </w:rPr>
      </w:pPr>
      <w:r w:rsidRPr="006B0830">
        <w:rPr>
          <w:rStyle w:val="DipnotBavurusu"/>
          <w:sz w:val="18"/>
          <w:szCs w:val="18"/>
          <w:lang w:val="tr-TR"/>
        </w:rPr>
        <w:footnoteRef/>
      </w:r>
      <w:r w:rsidRPr="006B0830">
        <w:rPr>
          <w:sz w:val="18"/>
          <w:szCs w:val="18"/>
          <w:lang w:val="tr-TR"/>
        </w:rPr>
        <w:t xml:space="preserve"> AİHM, </w:t>
      </w:r>
      <w:proofErr w:type="spellStart"/>
      <w:r w:rsidRPr="006B0830">
        <w:rPr>
          <w:sz w:val="18"/>
          <w:szCs w:val="18"/>
          <w:lang w:val="tr-TR"/>
        </w:rPr>
        <w:t>Tuşalp</w:t>
      </w:r>
      <w:proofErr w:type="spellEnd"/>
      <w:r w:rsidRPr="006B0830">
        <w:rPr>
          <w:sz w:val="18"/>
          <w:szCs w:val="18"/>
          <w:lang w:val="tr-TR"/>
        </w:rPr>
        <w:t xml:space="preserve"> - Türkiye, </w:t>
      </w:r>
      <w:r w:rsidR="00092334" w:rsidRPr="006B0830">
        <w:rPr>
          <w:sz w:val="18"/>
          <w:szCs w:val="18"/>
          <w:lang w:val="tr-TR"/>
        </w:rPr>
        <w:t>Başvuru</w:t>
      </w:r>
      <w:r w:rsidRPr="006B0830">
        <w:rPr>
          <w:sz w:val="18"/>
          <w:szCs w:val="18"/>
          <w:lang w:val="tr-TR"/>
        </w:rPr>
        <w:t xml:space="preserve"> </w:t>
      </w:r>
      <w:r w:rsidR="00092334" w:rsidRPr="006B0830">
        <w:rPr>
          <w:sz w:val="18"/>
          <w:szCs w:val="18"/>
          <w:lang w:val="tr-TR"/>
        </w:rPr>
        <w:t>sayıları</w:t>
      </w:r>
      <w:r w:rsidRPr="006B0830">
        <w:rPr>
          <w:sz w:val="18"/>
          <w:szCs w:val="18"/>
          <w:lang w:val="tr-TR"/>
        </w:rPr>
        <w:t xml:space="preserve"> 32131/08 </w:t>
      </w:r>
      <w:r w:rsidR="00092334" w:rsidRPr="006B0830">
        <w:rPr>
          <w:sz w:val="18"/>
          <w:szCs w:val="18"/>
          <w:lang w:val="tr-TR"/>
        </w:rPr>
        <w:t>ve</w:t>
      </w:r>
      <w:r w:rsidRPr="006B0830">
        <w:rPr>
          <w:sz w:val="18"/>
          <w:szCs w:val="18"/>
          <w:lang w:val="tr-TR"/>
        </w:rPr>
        <w:t xml:space="preserve"> 41617/08, 21 </w:t>
      </w:r>
      <w:r w:rsidR="00092334" w:rsidRPr="006B0830">
        <w:rPr>
          <w:sz w:val="18"/>
          <w:szCs w:val="18"/>
          <w:lang w:val="tr-TR"/>
        </w:rPr>
        <w:t>Şubat</w:t>
      </w:r>
      <w:r w:rsidRPr="006B0830">
        <w:rPr>
          <w:sz w:val="18"/>
          <w:szCs w:val="18"/>
          <w:lang w:val="tr-TR"/>
        </w:rPr>
        <w:t xml:space="preserve"> 2012, para</w:t>
      </w:r>
      <w:r w:rsidR="00092334" w:rsidRPr="006B0830">
        <w:rPr>
          <w:sz w:val="18"/>
          <w:szCs w:val="18"/>
          <w:lang w:val="tr-TR"/>
        </w:rPr>
        <w:t>g</w:t>
      </w:r>
      <w:r w:rsidRPr="006B0830">
        <w:rPr>
          <w:sz w:val="18"/>
          <w:szCs w:val="18"/>
          <w:lang w:val="tr-TR"/>
        </w:rPr>
        <w:t xml:space="preserve">. 48. </w:t>
      </w:r>
      <w:r w:rsidR="000B59FB" w:rsidRPr="006B0830">
        <w:rPr>
          <w:sz w:val="18"/>
          <w:szCs w:val="18"/>
          <w:lang w:val="tr-TR"/>
        </w:rPr>
        <w:t xml:space="preserve">BM İnsan Hakları Komitesi, ICCPR 19. </w:t>
      </w:r>
      <w:r w:rsidR="00241305" w:rsidRPr="006B0830">
        <w:rPr>
          <w:sz w:val="18"/>
          <w:szCs w:val="18"/>
          <w:lang w:val="tr-TR"/>
        </w:rPr>
        <w:t>Madde</w:t>
      </w:r>
      <w:r w:rsidR="000B59FB" w:rsidRPr="006B0830">
        <w:rPr>
          <w:sz w:val="18"/>
          <w:szCs w:val="18"/>
          <w:lang w:val="tr-TR"/>
        </w:rPr>
        <w:t xml:space="preserve">si hakkında 34 sayılı Genel Yorumunda, </w:t>
      </w:r>
      <w:r w:rsidR="00A02AD1" w:rsidRPr="006B0830">
        <w:rPr>
          <w:sz w:val="18"/>
          <w:szCs w:val="18"/>
          <w:lang w:val="tr-TR"/>
        </w:rPr>
        <w:t>“</w:t>
      </w:r>
      <w:r w:rsidR="00A02AD1" w:rsidRPr="006B0830">
        <w:rPr>
          <w:i/>
          <w:iCs/>
          <w:sz w:val="18"/>
          <w:szCs w:val="18"/>
          <w:lang w:val="tr-TR"/>
        </w:rPr>
        <w:t>ifade biçimlerinin kamuya mal olmuş bir kişiye hakaret olarak değerlendirilme</w:t>
      </w:r>
      <w:r w:rsidR="008C5BB1" w:rsidRPr="006B0830">
        <w:rPr>
          <w:i/>
          <w:iCs/>
          <w:sz w:val="18"/>
          <w:szCs w:val="18"/>
          <w:lang w:val="tr-TR"/>
        </w:rPr>
        <w:t>si,</w:t>
      </w:r>
      <w:r w:rsidR="00A02AD1" w:rsidRPr="006B0830">
        <w:rPr>
          <w:i/>
          <w:iCs/>
          <w:sz w:val="18"/>
          <w:szCs w:val="18"/>
          <w:lang w:val="tr-TR"/>
        </w:rPr>
        <w:t xml:space="preserve"> ceza verilmesin</w:t>
      </w:r>
      <w:r w:rsidR="00EE248F" w:rsidRPr="006B0830">
        <w:rPr>
          <w:i/>
          <w:iCs/>
          <w:sz w:val="18"/>
          <w:szCs w:val="18"/>
          <w:lang w:val="tr-TR"/>
        </w:rPr>
        <w:t>i</w:t>
      </w:r>
      <w:r w:rsidR="00A02AD1" w:rsidRPr="006B0830">
        <w:rPr>
          <w:i/>
          <w:iCs/>
          <w:sz w:val="18"/>
          <w:szCs w:val="18"/>
          <w:lang w:val="tr-TR"/>
        </w:rPr>
        <w:t xml:space="preserve"> </w:t>
      </w:r>
      <w:r w:rsidR="00050308" w:rsidRPr="006B0830">
        <w:rPr>
          <w:i/>
          <w:iCs/>
          <w:sz w:val="18"/>
          <w:szCs w:val="18"/>
          <w:lang w:val="tr-TR"/>
        </w:rPr>
        <w:t>haklı</w:t>
      </w:r>
      <w:r w:rsidR="008C5BB1" w:rsidRPr="006B0830">
        <w:rPr>
          <w:i/>
          <w:iCs/>
          <w:sz w:val="18"/>
          <w:szCs w:val="18"/>
          <w:lang w:val="tr-TR"/>
        </w:rPr>
        <w:t xml:space="preserve"> kılmaya tek başına yeterli değildir</w:t>
      </w:r>
      <w:r w:rsidR="00EE248F" w:rsidRPr="006B0830">
        <w:rPr>
          <w:sz w:val="18"/>
          <w:szCs w:val="18"/>
          <w:lang w:val="tr-TR"/>
        </w:rPr>
        <w:t>”</w:t>
      </w:r>
      <w:r w:rsidR="00E506A2" w:rsidRPr="006B0830">
        <w:rPr>
          <w:sz w:val="18"/>
          <w:szCs w:val="18"/>
          <w:lang w:val="tr-TR"/>
        </w:rPr>
        <w:t xml:space="preserve"> değerlendirmesini yapmıştır</w:t>
      </w:r>
      <w:r w:rsidR="008C5BB1" w:rsidRPr="006B0830">
        <w:rPr>
          <w:sz w:val="18"/>
          <w:szCs w:val="18"/>
          <w:lang w:val="tr-TR"/>
        </w:rPr>
        <w:t xml:space="preserve">. </w:t>
      </w:r>
    </w:p>
  </w:footnote>
  <w:footnote w:id="84">
    <w:p w14:paraId="5221126E" w14:textId="558289E0" w:rsidR="007B12C1" w:rsidRPr="006B0830" w:rsidRDefault="007B12C1">
      <w:pPr>
        <w:pStyle w:val="DipnotMetni"/>
        <w:rPr>
          <w:sz w:val="18"/>
          <w:szCs w:val="18"/>
          <w:lang w:val="tr-TR"/>
        </w:rPr>
      </w:pPr>
      <w:r w:rsidRPr="006B0830">
        <w:rPr>
          <w:rStyle w:val="DipnotBavurusu"/>
          <w:sz w:val="18"/>
          <w:szCs w:val="18"/>
          <w:lang w:val="tr-TR"/>
        </w:rPr>
        <w:footnoteRef/>
      </w:r>
      <w:r w:rsidRPr="006B0830">
        <w:rPr>
          <w:sz w:val="18"/>
          <w:szCs w:val="18"/>
          <w:lang w:val="tr-TR"/>
        </w:rPr>
        <w:t xml:space="preserve"> </w:t>
      </w:r>
      <w:r w:rsidR="009D47C0" w:rsidRPr="006B0830">
        <w:rPr>
          <w:sz w:val="18"/>
          <w:szCs w:val="18"/>
          <w:lang w:val="tr-TR"/>
        </w:rPr>
        <w:t>İnsan Hakları Komitesi</w:t>
      </w:r>
      <w:r w:rsidRPr="006B0830">
        <w:rPr>
          <w:sz w:val="18"/>
          <w:szCs w:val="18"/>
          <w:lang w:val="tr-TR"/>
        </w:rPr>
        <w:t xml:space="preserve">, </w:t>
      </w:r>
      <w:r w:rsidR="009D47C0" w:rsidRPr="006B0830">
        <w:rPr>
          <w:sz w:val="18"/>
          <w:szCs w:val="18"/>
          <w:lang w:val="tr-TR"/>
        </w:rPr>
        <w:t>Genel Yorum</w:t>
      </w:r>
      <w:r w:rsidRPr="006B0830">
        <w:rPr>
          <w:sz w:val="18"/>
          <w:szCs w:val="18"/>
          <w:lang w:val="tr-TR"/>
        </w:rPr>
        <w:t xml:space="preserve"> No. 34 (2011), para</w:t>
      </w:r>
      <w:r w:rsidR="009D47C0" w:rsidRPr="006B0830">
        <w:rPr>
          <w:sz w:val="18"/>
          <w:szCs w:val="18"/>
          <w:lang w:val="tr-TR"/>
        </w:rPr>
        <w:t>g</w:t>
      </w:r>
      <w:r w:rsidRPr="006B0830">
        <w:rPr>
          <w:sz w:val="18"/>
          <w:szCs w:val="18"/>
          <w:lang w:val="tr-TR"/>
        </w:rPr>
        <w:t>. 38.</w:t>
      </w:r>
    </w:p>
  </w:footnote>
  <w:footnote w:id="85">
    <w:p w14:paraId="2DF4451F" w14:textId="53D12BA6" w:rsidR="000E4FA7" w:rsidRPr="00872D54" w:rsidRDefault="000E4FA7">
      <w:pPr>
        <w:pStyle w:val="DipnotMetni"/>
        <w:rPr>
          <w:sz w:val="18"/>
          <w:szCs w:val="18"/>
          <w:lang w:val="tr-TR"/>
        </w:rPr>
      </w:pPr>
      <w:r w:rsidRPr="00872D54">
        <w:rPr>
          <w:rStyle w:val="DipnotBavurusu"/>
          <w:sz w:val="18"/>
          <w:szCs w:val="18"/>
          <w:lang w:val="tr-TR"/>
        </w:rPr>
        <w:footnoteRef/>
      </w:r>
      <w:r w:rsidRPr="00872D54">
        <w:rPr>
          <w:sz w:val="18"/>
          <w:szCs w:val="18"/>
          <w:lang w:val="tr-TR"/>
        </w:rPr>
        <w:t xml:space="preserve"> AİHM, Artun ve Güvener - Türkiye, parag. 26.</w:t>
      </w:r>
    </w:p>
  </w:footnote>
  <w:footnote w:id="86">
    <w:p w14:paraId="0E8BFDE6" w14:textId="29203C28" w:rsidR="00DE3463" w:rsidRPr="00872D54" w:rsidRDefault="00DE3463">
      <w:pPr>
        <w:pStyle w:val="DipnotMetni"/>
        <w:rPr>
          <w:sz w:val="18"/>
          <w:szCs w:val="18"/>
          <w:lang w:val="tr-TR"/>
        </w:rPr>
      </w:pPr>
      <w:r w:rsidRPr="00872D54">
        <w:rPr>
          <w:rStyle w:val="DipnotBavurusu"/>
          <w:sz w:val="18"/>
          <w:szCs w:val="18"/>
          <w:lang w:val="tr-TR"/>
        </w:rPr>
        <w:footnoteRef/>
      </w:r>
      <w:r w:rsidRPr="00872D54">
        <w:rPr>
          <w:sz w:val="18"/>
          <w:szCs w:val="18"/>
          <w:lang w:val="tr-TR"/>
        </w:rPr>
        <w:t xml:space="preserve"> Bakınız, </w:t>
      </w:r>
      <w:proofErr w:type="spellStart"/>
      <w:r w:rsidRPr="00872D54">
        <w:rPr>
          <w:i/>
          <w:sz w:val="18"/>
          <w:szCs w:val="18"/>
          <w:lang w:val="tr-TR"/>
        </w:rPr>
        <w:t>mutatis</w:t>
      </w:r>
      <w:proofErr w:type="spellEnd"/>
      <w:r w:rsidRPr="00872D54">
        <w:rPr>
          <w:i/>
          <w:sz w:val="18"/>
          <w:szCs w:val="18"/>
          <w:lang w:val="tr-TR"/>
        </w:rPr>
        <w:t xml:space="preserve"> </w:t>
      </w:r>
      <w:proofErr w:type="spellStart"/>
      <w:r w:rsidRPr="00872D54">
        <w:rPr>
          <w:i/>
          <w:sz w:val="18"/>
          <w:szCs w:val="18"/>
          <w:lang w:val="tr-TR"/>
        </w:rPr>
        <w:t>mutandis</w:t>
      </w:r>
      <w:proofErr w:type="spellEnd"/>
      <w:r w:rsidRPr="00872D54">
        <w:rPr>
          <w:i/>
          <w:sz w:val="18"/>
          <w:szCs w:val="18"/>
          <w:lang w:val="tr-TR"/>
        </w:rPr>
        <w:t xml:space="preserve">, </w:t>
      </w:r>
      <w:r w:rsidRPr="00872D54">
        <w:rPr>
          <w:sz w:val="18"/>
          <w:szCs w:val="18"/>
          <w:lang w:val="tr-TR"/>
        </w:rPr>
        <w:t xml:space="preserve">AİHM, </w:t>
      </w:r>
      <w:proofErr w:type="spellStart"/>
      <w:r w:rsidRPr="00872D54">
        <w:rPr>
          <w:i/>
          <w:sz w:val="18"/>
          <w:szCs w:val="18"/>
          <w:lang w:val="tr-TR"/>
        </w:rPr>
        <w:t>Skalka</w:t>
      </w:r>
      <w:proofErr w:type="spellEnd"/>
      <w:r w:rsidRPr="00872D54">
        <w:rPr>
          <w:i/>
          <w:sz w:val="18"/>
          <w:szCs w:val="18"/>
          <w:lang w:val="tr-TR"/>
        </w:rPr>
        <w:t xml:space="preserve"> – Polonya</w:t>
      </w:r>
      <w:r w:rsidR="005F4464" w:rsidRPr="00872D54">
        <w:rPr>
          <w:i/>
          <w:sz w:val="18"/>
          <w:szCs w:val="18"/>
          <w:lang w:val="tr-TR"/>
        </w:rPr>
        <w:t xml:space="preserve"> davası</w:t>
      </w:r>
      <w:r w:rsidRPr="00872D54">
        <w:rPr>
          <w:i/>
          <w:sz w:val="18"/>
          <w:szCs w:val="18"/>
          <w:lang w:val="tr-TR"/>
        </w:rPr>
        <w:t xml:space="preserve">, </w:t>
      </w:r>
      <w:proofErr w:type="spellStart"/>
      <w:r w:rsidRPr="00872D54">
        <w:rPr>
          <w:sz w:val="18"/>
          <w:szCs w:val="18"/>
          <w:lang w:val="tr-TR"/>
        </w:rPr>
        <w:t>no</w:t>
      </w:r>
      <w:proofErr w:type="spellEnd"/>
      <w:r w:rsidRPr="00872D54">
        <w:rPr>
          <w:sz w:val="18"/>
          <w:szCs w:val="18"/>
          <w:lang w:val="tr-TR"/>
        </w:rPr>
        <w:t>. 43425/98</w:t>
      </w:r>
      <w:r w:rsidRPr="00872D54">
        <w:rPr>
          <w:i/>
          <w:sz w:val="18"/>
          <w:szCs w:val="18"/>
          <w:lang w:val="tr-TR"/>
        </w:rPr>
        <w:t xml:space="preserve">, </w:t>
      </w:r>
      <w:r w:rsidRPr="00872D54">
        <w:rPr>
          <w:sz w:val="18"/>
          <w:szCs w:val="18"/>
          <w:lang w:val="tr-TR"/>
        </w:rPr>
        <w:t xml:space="preserve">27 Mayıs 2003, parag. 34, </w:t>
      </w:r>
      <w:r w:rsidRPr="00872D54">
        <w:rPr>
          <w:i/>
          <w:sz w:val="18"/>
          <w:szCs w:val="18"/>
          <w:lang w:val="tr-TR"/>
        </w:rPr>
        <w:t xml:space="preserve">Pakdemirli </w:t>
      </w:r>
      <w:r w:rsidR="005F4464" w:rsidRPr="00872D54">
        <w:rPr>
          <w:i/>
          <w:sz w:val="18"/>
          <w:szCs w:val="18"/>
          <w:lang w:val="tr-TR"/>
        </w:rPr>
        <w:t>–</w:t>
      </w:r>
      <w:r w:rsidRPr="00872D54">
        <w:rPr>
          <w:i/>
          <w:sz w:val="18"/>
          <w:szCs w:val="18"/>
          <w:lang w:val="tr-TR"/>
        </w:rPr>
        <w:t xml:space="preserve"> T</w:t>
      </w:r>
      <w:r w:rsidR="005F4464" w:rsidRPr="00872D54">
        <w:rPr>
          <w:i/>
          <w:sz w:val="18"/>
          <w:szCs w:val="18"/>
          <w:lang w:val="tr-TR"/>
        </w:rPr>
        <w:t>ürkiye davası</w:t>
      </w:r>
      <w:r w:rsidRPr="00872D54">
        <w:rPr>
          <w:sz w:val="18"/>
          <w:szCs w:val="18"/>
          <w:lang w:val="tr-TR"/>
        </w:rPr>
        <w:t>, para</w:t>
      </w:r>
      <w:r w:rsidR="005F4464" w:rsidRPr="00872D54">
        <w:rPr>
          <w:sz w:val="18"/>
          <w:szCs w:val="18"/>
          <w:lang w:val="tr-TR"/>
        </w:rPr>
        <w:t>g</w:t>
      </w:r>
      <w:r w:rsidRPr="00872D54">
        <w:rPr>
          <w:sz w:val="18"/>
          <w:szCs w:val="18"/>
          <w:lang w:val="tr-TR"/>
        </w:rPr>
        <w:t>. 46.</w:t>
      </w:r>
    </w:p>
  </w:footnote>
  <w:footnote w:id="87">
    <w:p w14:paraId="461A72D2" w14:textId="6B5F8A85" w:rsidR="0036627A" w:rsidRPr="00872D54" w:rsidRDefault="0036627A">
      <w:pPr>
        <w:pStyle w:val="DipnotMetni"/>
        <w:rPr>
          <w:sz w:val="18"/>
          <w:szCs w:val="18"/>
          <w:lang w:val="tr-TR"/>
        </w:rPr>
      </w:pPr>
      <w:r w:rsidRPr="00872D54">
        <w:rPr>
          <w:rStyle w:val="DipnotBavurusu"/>
          <w:sz w:val="18"/>
          <w:szCs w:val="18"/>
          <w:lang w:val="tr-TR"/>
        </w:rPr>
        <w:footnoteRef/>
      </w:r>
      <w:r w:rsidRPr="00872D54">
        <w:rPr>
          <w:sz w:val="18"/>
          <w:szCs w:val="18"/>
          <w:lang w:val="tr-TR"/>
        </w:rPr>
        <w:t xml:space="preserve"> </w:t>
      </w:r>
      <w:hyperlink r:id="rId8" w:history="1">
        <w:r w:rsidRPr="00872D54">
          <w:rPr>
            <w:rStyle w:val="Kpr"/>
            <w:sz w:val="18"/>
            <w:szCs w:val="18"/>
            <w:lang w:val="tr-TR"/>
          </w:rPr>
          <w:t>http://www.bbc.com/news/world-europe-30602250</w:t>
        </w:r>
      </w:hyperlink>
      <w:r w:rsidRPr="00872D54">
        <w:rPr>
          <w:sz w:val="18"/>
          <w:szCs w:val="18"/>
          <w:lang w:val="tr-TR"/>
        </w:rPr>
        <w:t xml:space="preserve"> </w:t>
      </w:r>
    </w:p>
  </w:footnote>
  <w:footnote w:id="88">
    <w:p w14:paraId="101AB308" w14:textId="20C3089C" w:rsidR="00C67690" w:rsidRPr="00872D54" w:rsidRDefault="00C67690">
      <w:pPr>
        <w:pStyle w:val="DipnotMetni"/>
        <w:rPr>
          <w:sz w:val="18"/>
          <w:szCs w:val="18"/>
          <w:lang w:val="tr-TR"/>
        </w:rPr>
      </w:pPr>
      <w:r w:rsidRPr="00872D54">
        <w:rPr>
          <w:rStyle w:val="DipnotBavurusu"/>
          <w:sz w:val="18"/>
          <w:szCs w:val="18"/>
          <w:lang w:val="tr-TR"/>
        </w:rPr>
        <w:footnoteRef/>
      </w:r>
      <w:r w:rsidRPr="00872D54">
        <w:rPr>
          <w:sz w:val="18"/>
          <w:szCs w:val="18"/>
          <w:lang w:val="tr-TR"/>
        </w:rPr>
        <w:t xml:space="preserve"> İnsan Hakları Komitesi, Genel Yorum No. 34 (2011), parag. 34.</w:t>
      </w:r>
    </w:p>
  </w:footnote>
  <w:footnote w:id="89">
    <w:p w14:paraId="1B188103" w14:textId="5FE7AE46" w:rsidR="00F56E59" w:rsidRPr="00872D54" w:rsidRDefault="00F56E59">
      <w:pPr>
        <w:pStyle w:val="DipnotMetni"/>
        <w:rPr>
          <w:sz w:val="18"/>
          <w:szCs w:val="18"/>
          <w:lang w:val="tr-TR"/>
        </w:rPr>
      </w:pPr>
      <w:r w:rsidRPr="00872D54">
        <w:rPr>
          <w:rStyle w:val="DipnotBavurusu"/>
          <w:sz w:val="18"/>
          <w:szCs w:val="18"/>
          <w:lang w:val="tr-TR"/>
        </w:rPr>
        <w:footnoteRef/>
      </w:r>
      <w:r w:rsidRPr="00872D54">
        <w:rPr>
          <w:sz w:val="18"/>
          <w:szCs w:val="18"/>
          <w:lang w:val="tr-TR"/>
        </w:rPr>
        <w:t xml:space="preserve"> </w:t>
      </w:r>
      <w:proofErr w:type="spellStart"/>
      <w:r w:rsidRPr="00872D54">
        <w:rPr>
          <w:sz w:val="18"/>
          <w:szCs w:val="18"/>
          <w:lang w:val="tr-TR"/>
        </w:rPr>
        <w:t>a.g.e</w:t>
      </w:r>
      <w:proofErr w:type="spellEnd"/>
      <w:r w:rsidRPr="00872D54">
        <w:rPr>
          <w:sz w:val="18"/>
          <w:szCs w:val="18"/>
          <w:lang w:val="tr-TR"/>
        </w:rPr>
        <w:t>., parag.35</w:t>
      </w:r>
    </w:p>
  </w:footnote>
  <w:footnote w:id="90">
    <w:p w14:paraId="7717AD12" w14:textId="63771845" w:rsidR="007445CF" w:rsidRPr="00872D54" w:rsidRDefault="007445CF">
      <w:pPr>
        <w:pStyle w:val="DipnotMetni"/>
        <w:rPr>
          <w:sz w:val="18"/>
          <w:szCs w:val="18"/>
          <w:lang w:val="tr-TR"/>
        </w:rPr>
      </w:pPr>
      <w:r w:rsidRPr="00872D54">
        <w:rPr>
          <w:rStyle w:val="DipnotBavurusu"/>
          <w:sz w:val="18"/>
          <w:szCs w:val="18"/>
          <w:lang w:val="tr-TR"/>
        </w:rPr>
        <w:footnoteRef/>
      </w:r>
      <w:r w:rsidRPr="00872D54">
        <w:rPr>
          <w:sz w:val="18"/>
          <w:szCs w:val="18"/>
          <w:lang w:val="tr-TR"/>
        </w:rPr>
        <w:t xml:space="preserve"> Bakınız, AİHM, </w:t>
      </w:r>
      <w:r w:rsidRPr="00872D54">
        <w:rPr>
          <w:i/>
          <w:iCs/>
          <w:sz w:val="18"/>
          <w:szCs w:val="18"/>
          <w:lang w:val="tr-TR"/>
        </w:rPr>
        <w:t>Pakdemirli – Türkiye davası</w:t>
      </w:r>
      <w:r w:rsidRPr="00872D54">
        <w:rPr>
          <w:sz w:val="18"/>
          <w:szCs w:val="18"/>
          <w:lang w:val="tr-TR"/>
        </w:rPr>
        <w:t>.</w:t>
      </w:r>
    </w:p>
  </w:footnote>
  <w:footnote w:id="91">
    <w:p w14:paraId="7569E370" w14:textId="66095F6F" w:rsidR="00B228B9" w:rsidRPr="00872D54" w:rsidRDefault="00B228B9">
      <w:pPr>
        <w:pStyle w:val="DipnotMetni"/>
        <w:rPr>
          <w:sz w:val="18"/>
          <w:szCs w:val="18"/>
          <w:lang w:val="tr-TR"/>
        </w:rPr>
      </w:pPr>
      <w:r w:rsidRPr="00872D54">
        <w:rPr>
          <w:rStyle w:val="DipnotBavurusu"/>
          <w:sz w:val="18"/>
          <w:szCs w:val="18"/>
          <w:lang w:val="tr-TR"/>
        </w:rPr>
        <w:footnoteRef/>
      </w:r>
      <w:r w:rsidRPr="00872D54">
        <w:rPr>
          <w:sz w:val="18"/>
          <w:szCs w:val="18"/>
          <w:lang w:val="tr-TR"/>
        </w:rPr>
        <w:t xml:space="preserve"> Örneğin bakınız AİHM, “</w:t>
      </w:r>
      <w:proofErr w:type="spellStart"/>
      <w:r w:rsidRPr="00872D54">
        <w:rPr>
          <w:sz w:val="18"/>
          <w:szCs w:val="18"/>
          <w:lang w:val="tr-TR"/>
        </w:rPr>
        <w:t>vesti</w:t>
      </w:r>
      <w:proofErr w:type="spellEnd"/>
      <w:r w:rsidRPr="00872D54">
        <w:rPr>
          <w:sz w:val="18"/>
          <w:szCs w:val="18"/>
          <w:lang w:val="tr-TR"/>
        </w:rPr>
        <w:t xml:space="preserve">” ve </w:t>
      </w:r>
      <w:proofErr w:type="spellStart"/>
      <w:r w:rsidRPr="00872D54">
        <w:rPr>
          <w:sz w:val="18"/>
          <w:szCs w:val="18"/>
          <w:lang w:val="tr-TR"/>
        </w:rPr>
        <w:t>Ukhov</w:t>
      </w:r>
      <w:proofErr w:type="spellEnd"/>
      <w:r w:rsidRPr="00872D54">
        <w:rPr>
          <w:sz w:val="18"/>
          <w:szCs w:val="18"/>
          <w:lang w:val="tr-TR"/>
        </w:rPr>
        <w:t xml:space="preserve"> – Rusya, Başvuru </w:t>
      </w:r>
      <w:proofErr w:type="spellStart"/>
      <w:r w:rsidRPr="00872D54">
        <w:rPr>
          <w:sz w:val="18"/>
          <w:szCs w:val="18"/>
          <w:lang w:val="tr-TR"/>
        </w:rPr>
        <w:t>no</w:t>
      </w:r>
      <w:proofErr w:type="spellEnd"/>
      <w:r w:rsidRPr="00872D54">
        <w:rPr>
          <w:sz w:val="18"/>
          <w:szCs w:val="18"/>
          <w:lang w:val="tr-TR"/>
        </w:rPr>
        <w:t>. 21724/03, 30 Mayıs 2013, parag. 60.</w:t>
      </w:r>
    </w:p>
  </w:footnote>
  <w:footnote w:id="92">
    <w:p w14:paraId="70782DA9" w14:textId="558C3A68" w:rsidR="009D5C14" w:rsidRPr="00872D54" w:rsidRDefault="009D5C14">
      <w:pPr>
        <w:pStyle w:val="DipnotMetni"/>
        <w:rPr>
          <w:sz w:val="18"/>
          <w:szCs w:val="18"/>
          <w:lang w:val="tr-TR"/>
        </w:rPr>
      </w:pPr>
      <w:r w:rsidRPr="00872D54">
        <w:rPr>
          <w:rStyle w:val="DipnotBavurusu"/>
          <w:sz w:val="18"/>
          <w:szCs w:val="18"/>
          <w:lang w:val="tr-TR"/>
        </w:rPr>
        <w:footnoteRef/>
      </w:r>
      <w:r w:rsidRPr="00872D54">
        <w:rPr>
          <w:sz w:val="18"/>
          <w:szCs w:val="18"/>
          <w:lang w:val="tr-TR"/>
        </w:rPr>
        <w:t xml:space="preserve"> AİHM, </w:t>
      </w:r>
      <w:proofErr w:type="spellStart"/>
      <w:r w:rsidRPr="00872D54">
        <w:rPr>
          <w:sz w:val="18"/>
          <w:szCs w:val="18"/>
          <w:lang w:val="tr-TR"/>
        </w:rPr>
        <w:t>Lingens</w:t>
      </w:r>
      <w:proofErr w:type="spellEnd"/>
      <w:r w:rsidRPr="00872D54">
        <w:rPr>
          <w:sz w:val="18"/>
          <w:szCs w:val="18"/>
          <w:lang w:val="tr-TR"/>
        </w:rPr>
        <w:t xml:space="preserve"> - Avusturya, Başvuru No. 9815/82, 8 Temmuz 1986, parag. 46.</w:t>
      </w:r>
    </w:p>
  </w:footnote>
  <w:footnote w:id="93">
    <w:p w14:paraId="6A68118C" w14:textId="34C01B77" w:rsidR="009E1462" w:rsidRPr="00872D54" w:rsidRDefault="009E1462">
      <w:pPr>
        <w:pStyle w:val="DipnotMetni"/>
        <w:rPr>
          <w:sz w:val="18"/>
          <w:szCs w:val="18"/>
          <w:lang w:val="tr-TR"/>
        </w:rPr>
      </w:pPr>
      <w:r w:rsidRPr="00872D54">
        <w:rPr>
          <w:rStyle w:val="DipnotBavurusu"/>
          <w:sz w:val="18"/>
          <w:szCs w:val="18"/>
          <w:lang w:val="tr-TR"/>
        </w:rPr>
        <w:footnoteRef/>
      </w:r>
      <w:r w:rsidRPr="00872D54">
        <w:rPr>
          <w:sz w:val="18"/>
          <w:szCs w:val="18"/>
          <w:lang w:val="tr-TR"/>
        </w:rPr>
        <w:t xml:space="preserve"> </w:t>
      </w:r>
      <w:proofErr w:type="spellStart"/>
      <w:r w:rsidR="00B20035" w:rsidRPr="00872D54">
        <w:rPr>
          <w:sz w:val="18"/>
          <w:szCs w:val="18"/>
          <w:lang w:val="tr-TR"/>
        </w:rPr>
        <w:t>Jacobs</w:t>
      </w:r>
      <w:proofErr w:type="spellEnd"/>
      <w:r w:rsidR="00B20035" w:rsidRPr="00872D54">
        <w:rPr>
          <w:sz w:val="18"/>
          <w:szCs w:val="18"/>
          <w:lang w:val="tr-TR"/>
        </w:rPr>
        <w:t xml:space="preserve">, White ve </w:t>
      </w:r>
      <w:proofErr w:type="spellStart"/>
      <w:r w:rsidR="00B20035" w:rsidRPr="00872D54">
        <w:rPr>
          <w:sz w:val="18"/>
          <w:szCs w:val="18"/>
          <w:lang w:val="tr-TR"/>
        </w:rPr>
        <w:t>Ovey</w:t>
      </w:r>
      <w:proofErr w:type="spellEnd"/>
      <w:r w:rsidR="00B20035" w:rsidRPr="00872D54">
        <w:rPr>
          <w:sz w:val="18"/>
          <w:szCs w:val="18"/>
          <w:lang w:val="tr-TR"/>
        </w:rPr>
        <w:t>, Avrupa İnsan Hakları Sözleşmesi, 2010, s. 435.</w:t>
      </w:r>
    </w:p>
  </w:footnote>
  <w:footnote w:id="94">
    <w:p w14:paraId="34F9D2A2" w14:textId="25AC22EE" w:rsidR="00ED39CA" w:rsidRPr="00872D54" w:rsidRDefault="00ED39CA">
      <w:pPr>
        <w:pStyle w:val="DipnotMetni"/>
        <w:rPr>
          <w:sz w:val="18"/>
          <w:szCs w:val="18"/>
          <w:lang w:val="tr-TR"/>
        </w:rPr>
      </w:pPr>
      <w:r w:rsidRPr="00872D54">
        <w:rPr>
          <w:rStyle w:val="DipnotBavurusu"/>
          <w:sz w:val="18"/>
          <w:szCs w:val="18"/>
          <w:lang w:val="tr-TR"/>
        </w:rPr>
        <w:footnoteRef/>
      </w:r>
      <w:r w:rsidRPr="00872D54">
        <w:rPr>
          <w:sz w:val="18"/>
          <w:szCs w:val="18"/>
          <w:lang w:val="tr-TR"/>
        </w:rPr>
        <w:t xml:space="preserve"> Bakınız Türk Ceza Kanununun 125. </w:t>
      </w:r>
      <w:r w:rsidR="00241305" w:rsidRPr="00872D54">
        <w:rPr>
          <w:sz w:val="18"/>
          <w:szCs w:val="18"/>
          <w:lang w:val="tr-TR"/>
        </w:rPr>
        <w:t>Madde</w:t>
      </w:r>
      <w:r w:rsidRPr="00872D54">
        <w:rPr>
          <w:sz w:val="18"/>
          <w:szCs w:val="18"/>
          <w:lang w:val="tr-TR"/>
        </w:rPr>
        <w:t>si (hakaret suçuna ilişkin genel hüküm).</w:t>
      </w:r>
    </w:p>
  </w:footnote>
  <w:footnote w:id="95">
    <w:p w14:paraId="73C3A494" w14:textId="662EC88F" w:rsidR="009459F4" w:rsidRPr="009E502B" w:rsidRDefault="009459F4">
      <w:pPr>
        <w:pStyle w:val="DipnotMetni"/>
        <w:rPr>
          <w:sz w:val="18"/>
          <w:szCs w:val="18"/>
          <w:lang w:val="tr-TR"/>
        </w:rPr>
      </w:pPr>
      <w:r w:rsidRPr="009E502B">
        <w:rPr>
          <w:rStyle w:val="DipnotBavurusu"/>
          <w:sz w:val="18"/>
          <w:szCs w:val="18"/>
          <w:lang w:val="tr-TR"/>
        </w:rPr>
        <w:footnoteRef/>
      </w:r>
      <w:r w:rsidRPr="009E502B">
        <w:rPr>
          <w:sz w:val="18"/>
          <w:szCs w:val="18"/>
          <w:lang w:val="tr-TR"/>
        </w:rPr>
        <w:t xml:space="preserve"> </w:t>
      </w:r>
      <w:hyperlink r:id="rId9" w:history="1">
        <w:r w:rsidRPr="009E502B">
          <w:rPr>
            <w:rStyle w:val="Kpr"/>
            <w:sz w:val="18"/>
            <w:szCs w:val="18"/>
            <w:lang w:val="tr-TR"/>
          </w:rPr>
          <w:t>http://www.internethaber.com/mahkemeden-erdogana-altin-klozet-reddi-1555538h.htm</w:t>
        </w:r>
      </w:hyperlink>
    </w:p>
  </w:footnote>
  <w:footnote w:id="96">
    <w:p w14:paraId="0588A012" w14:textId="42AB4B3E" w:rsidR="00583A95" w:rsidRPr="009E502B" w:rsidRDefault="00583A95">
      <w:pPr>
        <w:pStyle w:val="DipnotMetni"/>
        <w:rPr>
          <w:sz w:val="18"/>
          <w:szCs w:val="18"/>
          <w:lang w:val="tr-TR"/>
        </w:rPr>
      </w:pPr>
      <w:r w:rsidRPr="009E502B">
        <w:rPr>
          <w:rStyle w:val="DipnotBavurusu"/>
          <w:sz w:val="18"/>
          <w:szCs w:val="18"/>
          <w:lang w:val="tr-TR"/>
        </w:rPr>
        <w:footnoteRef/>
      </w:r>
      <w:r w:rsidRPr="009E502B">
        <w:rPr>
          <w:sz w:val="18"/>
          <w:szCs w:val="18"/>
          <w:lang w:val="tr-TR"/>
        </w:rPr>
        <w:t xml:space="preserve"> </w:t>
      </w:r>
      <w:proofErr w:type="spellStart"/>
      <w:r w:rsidRPr="009E502B">
        <w:rPr>
          <w:sz w:val="18"/>
          <w:szCs w:val="18"/>
          <w:lang w:val="tr-TR"/>
        </w:rPr>
        <w:t>Jacobs</w:t>
      </w:r>
      <w:proofErr w:type="spellEnd"/>
      <w:r w:rsidRPr="009E502B">
        <w:rPr>
          <w:sz w:val="18"/>
          <w:szCs w:val="18"/>
          <w:lang w:val="tr-TR"/>
        </w:rPr>
        <w:t xml:space="preserve">, White </w:t>
      </w:r>
      <w:proofErr w:type="spellStart"/>
      <w:r w:rsidRPr="009E502B">
        <w:rPr>
          <w:sz w:val="18"/>
          <w:szCs w:val="18"/>
          <w:lang w:val="tr-TR"/>
        </w:rPr>
        <w:t>and</w:t>
      </w:r>
      <w:proofErr w:type="spellEnd"/>
      <w:r w:rsidRPr="009E502B">
        <w:rPr>
          <w:sz w:val="18"/>
          <w:szCs w:val="18"/>
          <w:lang w:val="tr-TR"/>
        </w:rPr>
        <w:t xml:space="preserve"> </w:t>
      </w:r>
      <w:proofErr w:type="spellStart"/>
      <w:r w:rsidRPr="009E502B">
        <w:rPr>
          <w:sz w:val="18"/>
          <w:szCs w:val="18"/>
          <w:lang w:val="tr-TR"/>
        </w:rPr>
        <w:t>Ovey</w:t>
      </w:r>
      <w:proofErr w:type="spellEnd"/>
      <w:r w:rsidRPr="009E502B">
        <w:rPr>
          <w:sz w:val="18"/>
          <w:szCs w:val="18"/>
          <w:lang w:val="tr-TR"/>
        </w:rPr>
        <w:t xml:space="preserve">, </w:t>
      </w:r>
      <w:proofErr w:type="spellStart"/>
      <w:r w:rsidR="001F15CB" w:rsidRPr="009E502B">
        <w:rPr>
          <w:i/>
          <w:sz w:val="18"/>
          <w:szCs w:val="18"/>
          <w:lang w:val="tr-TR"/>
        </w:rPr>
        <w:t>a.g.e</w:t>
      </w:r>
      <w:proofErr w:type="spellEnd"/>
      <w:r w:rsidR="001F15CB" w:rsidRPr="009E502B">
        <w:rPr>
          <w:i/>
          <w:sz w:val="18"/>
          <w:szCs w:val="18"/>
          <w:lang w:val="tr-TR"/>
        </w:rPr>
        <w:t>.</w:t>
      </w:r>
      <w:r w:rsidRPr="009E502B">
        <w:rPr>
          <w:i/>
          <w:sz w:val="18"/>
          <w:szCs w:val="18"/>
          <w:lang w:val="tr-TR"/>
        </w:rPr>
        <w:t xml:space="preserve"> </w:t>
      </w:r>
      <w:r w:rsidR="00A70B32" w:rsidRPr="009E502B">
        <w:rPr>
          <w:sz w:val="18"/>
          <w:szCs w:val="18"/>
          <w:lang w:val="tr-TR"/>
        </w:rPr>
        <w:t>s</w:t>
      </w:r>
      <w:r w:rsidRPr="009E502B">
        <w:rPr>
          <w:sz w:val="18"/>
          <w:szCs w:val="18"/>
          <w:lang w:val="tr-TR"/>
        </w:rPr>
        <w:t>. 435</w:t>
      </w:r>
    </w:p>
  </w:footnote>
  <w:footnote w:id="97">
    <w:p w14:paraId="157D0864" w14:textId="282F5221" w:rsidR="00E563D9" w:rsidRPr="009E502B" w:rsidRDefault="00E563D9">
      <w:pPr>
        <w:pStyle w:val="DipnotMetni"/>
        <w:rPr>
          <w:sz w:val="18"/>
          <w:szCs w:val="18"/>
          <w:lang w:val="tr-TR"/>
        </w:rPr>
      </w:pPr>
      <w:r w:rsidRPr="009E502B">
        <w:rPr>
          <w:rStyle w:val="DipnotBavurusu"/>
          <w:sz w:val="18"/>
          <w:szCs w:val="18"/>
          <w:lang w:val="tr-TR"/>
        </w:rPr>
        <w:footnoteRef/>
      </w:r>
      <w:r w:rsidRPr="009E502B">
        <w:rPr>
          <w:sz w:val="18"/>
          <w:szCs w:val="18"/>
          <w:lang w:val="tr-TR"/>
        </w:rPr>
        <w:t xml:space="preserve"> Bakınız, diğer davaların yanı sıra </w:t>
      </w:r>
      <w:proofErr w:type="spellStart"/>
      <w:r w:rsidRPr="009E502B">
        <w:rPr>
          <w:i/>
          <w:iCs/>
          <w:sz w:val="18"/>
          <w:szCs w:val="18"/>
          <w:lang w:val="tr-TR"/>
        </w:rPr>
        <w:t>Colombani</w:t>
      </w:r>
      <w:proofErr w:type="spellEnd"/>
      <w:r w:rsidRPr="009E502B">
        <w:rPr>
          <w:i/>
          <w:iCs/>
          <w:sz w:val="18"/>
          <w:szCs w:val="18"/>
          <w:lang w:val="tr-TR"/>
        </w:rPr>
        <w:t xml:space="preserve"> ve diğerleri - Fransa</w:t>
      </w:r>
      <w:r w:rsidRPr="009E502B">
        <w:rPr>
          <w:sz w:val="18"/>
          <w:szCs w:val="18"/>
          <w:lang w:val="tr-TR"/>
        </w:rPr>
        <w:t xml:space="preserve">, </w:t>
      </w:r>
      <w:proofErr w:type="spellStart"/>
      <w:r w:rsidRPr="009E502B">
        <w:rPr>
          <w:sz w:val="18"/>
          <w:szCs w:val="18"/>
          <w:lang w:val="tr-TR"/>
        </w:rPr>
        <w:t>no</w:t>
      </w:r>
      <w:proofErr w:type="spellEnd"/>
      <w:r w:rsidRPr="009E502B">
        <w:rPr>
          <w:sz w:val="18"/>
          <w:szCs w:val="18"/>
          <w:lang w:val="tr-TR"/>
        </w:rPr>
        <w:t>. 51279/99, 25 Haziran 2002, parag. 66.</w:t>
      </w:r>
    </w:p>
  </w:footnote>
  <w:footnote w:id="98">
    <w:p w14:paraId="7512BDDF" w14:textId="372156D2" w:rsidR="00B11AD7" w:rsidRPr="009E502B" w:rsidRDefault="00B11AD7">
      <w:pPr>
        <w:pStyle w:val="DipnotMetni"/>
        <w:rPr>
          <w:sz w:val="18"/>
          <w:szCs w:val="18"/>
          <w:lang w:val="tr-TR"/>
        </w:rPr>
      </w:pPr>
      <w:r w:rsidRPr="009E502B">
        <w:rPr>
          <w:rStyle w:val="DipnotBavurusu"/>
          <w:sz w:val="18"/>
          <w:szCs w:val="18"/>
          <w:lang w:val="tr-TR"/>
        </w:rPr>
        <w:footnoteRef/>
      </w:r>
      <w:r w:rsidRPr="009E502B">
        <w:rPr>
          <w:sz w:val="18"/>
          <w:szCs w:val="18"/>
          <w:lang w:val="tr-TR"/>
        </w:rPr>
        <w:t xml:space="preserve"> İnsan Hakları Komitesi, Genel Yorum No. 34 (2011), para. 47</w:t>
      </w:r>
    </w:p>
  </w:footnote>
  <w:footnote w:id="99">
    <w:p w14:paraId="575D172A" w14:textId="5B9CFE24" w:rsidR="003A71E5" w:rsidRPr="009E502B" w:rsidRDefault="003A71E5">
      <w:pPr>
        <w:pStyle w:val="DipnotMetni"/>
        <w:rPr>
          <w:sz w:val="18"/>
          <w:szCs w:val="18"/>
          <w:lang w:val="tr-TR"/>
        </w:rPr>
      </w:pPr>
      <w:r w:rsidRPr="009E502B">
        <w:rPr>
          <w:rStyle w:val="DipnotBavurusu"/>
          <w:sz w:val="18"/>
          <w:szCs w:val="18"/>
          <w:lang w:val="tr-TR"/>
        </w:rPr>
        <w:footnoteRef/>
      </w:r>
      <w:r w:rsidRPr="009E502B">
        <w:rPr>
          <w:sz w:val="18"/>
          <w:szCs w:val="18"/>
          <w:lang w:val="tr-TR"/>
        </w:rPr>
        <w:t xml:space="preserve"> AİHM, </w:t>
      </w:r>
      <w:proofErr w:type="spellStart"/>
      <w:r w:rsidRPr="009E502B">
        <w:rPr>
          <w:i/>
          <w:sz w:val="18"/>
          <w:szCs w:val="18"/>
          <w:lang w:val="tr-TR"/>
        </w:rPr>
        <w:t>Kasabova</w:t>
      </w:r>
      <w:proofErr w:type="spellEnd"/>
      <w:r w:rsidRPr="009E502B">
        <w:rPr>
          <w:i/>
          <w:sz w:val="18"/>
          <w:szCs w:val="18"/>
          <w:lang w:val="tr-TR"/>
        </w:rPr>
        <w:t xml:space="preserve"> – Bulgaristan, </w:t>
      </w:r>
      <w:r w:rsidRPr="009E502B">
        <w:rPr>
          <w:iCs/>
          <w:sz w:val="18"/>
          <w:szCs w:val="18"/>
          <w:lang w:val="tr-TR"/>
        </w:rPr>
        <w:t xml:space="preserve">Başvuru </w:t>
      </w:r>
      <w:proofErr w:type="spellStart"/>
      <w:r w:rsidRPr="009E502B">
        <w:rPr>
          <w:iCs/>
          <w:sz w:val="18"/>
          <w:szCs w:val="18"/>
          <w:lang w:val="tr-TR"/>
        </w:rPr>
        <w:t>no</w:t>
      </w:r>
      <w:proofErr w:type="spellEnd"/>
      <w:r w:rsidRPr="009E502B">
        <w:rPr>
          <w:iCs/>
          <w:sz w:val="18"/>
          <w:szCs w:val="18"/>
          <w:lang w:val="tr-TR"/>
        </w:rPr>
        <w:t>.</w:t>
      </w:r>
      <w:r w:rsidRPr="009E502B">
        <w:rPr>
          <w:i/>
          <w:sz w:val="18"/>
          <w:szCs w:val="18"/>
          <w:lang w:val="tr-TR"/>
        </w:rPr>
        <w:t xml:space="preserve"> </w:t>
      </w:r>
      <w:r w:rsidRPr="009E502B">
        <w:rPr>
          <w:sz w:val="18"/>
          <w:szCs w:val="18"/>
          <w:lang w:val="tr-TR"/>
        </w:rPr>
        <w:t>22385/03, parag.46</w:t>
      </w:r>
    </w:p>
  </w:footnote>
  <w:footnote w:id="100">
    <w:p w14:paraId="30988823" w14:textId="37D7AA27" w:rsidR="00FD7361" w:rsidRPr="009E502B" w:rsidRDefault="00FD7361">
      <w:pPr>
        <w:pStyle w:val="DipnotMetni"/>
        <w:rPr>
          <w:sz w:val="18"/>
          <w:szCs w:val="18"/>
          <w:lang w:val="tr-TR"/>
        </w:rPr>
      </w:pPr>
      <w:r w:rsidRPr="009E502B">
        <w:rPr>
          <w:rStyle w:val="DipnotBavurusu"/>
          <w:sz w:val="18"/>
          <w:szCs w:val="18"/>
          <w:lang w:val="tr-TR"/>
        </w:rPr>
        <w:footnoteRef/>
      </w:r>
      <w:r w:rsidRPr="009E502B">
        <w:rPr>
          <w:sz w:val="18"/>
          <w:szCs w:val="18"/>
          <w:lang w:val="tr-TR"/>
        </w:rPr>
        <w:t xml:space="preserve"> </w:t>
      </w:r>
      <w:proofErr w:type="spellStart"/>
      <w:r w:rsidRPr="009E502B">
        <w:rPr>
          <w:sz w:val="18"/>
          <w:szCs w:val="18"/>
          <w:lang w:val="tr-TR"/>
        </w:rPr>
        <w:t>no</w:t>
      </w:r>
      <w:proofErr w:type="spellEnd"/>
      <w:r w:rsidRPr="009E502B">
        <w:rPr>
          <w:sz w:val="18"/>
          <w:szCs w:val="18"/>
          <w:lang w:val="tr-TR"/>
        </w:rPr>
        <w:t>. 22824/04, 29 Temmuz 2005, parag. 31.</w:t>
      </w:r>
    </w:p>
  </w:footnote>
  <w:footnote w:id="101">
    <w:p w14:paraId="5A5492CA" w14:textId="338EA44E" w:rsidR="00F22739" w:rsidRPr="009E502B" w:rsidRDefault="00F22739">
      <w:pPr>
        <w:pStyle w:val="DipnotMetni"/>
        <w:rPr>
          <w:sz w:val="18"/>
          <w:szCs w:val="18"/>
          <w:lang w:val="tr-TR"/>
        </w:rPr>
      </w:pPr>
      <w:r w:rsidRPr="009E502B">
        <w:rPr>
          <w:rStyle w:val="DipnotBavurusu"/>
          <w:sz w:val="18"/>
          <w:szCs w:val="18"/>
          <w:lang w:val="tr-TR"/>
        </w:rPr>
        <w:footnoteRef/>
      </w:r>
      <w:r w:rsidRPr="009E502B">
        <w:rPr>
          <w:sz w:val="18"/>
          <w:szCs w:val="18"/>
          <w:lang w:val="tr-TR"/>
        </w:rPr>
        <w:t xml:space="preserve"> Bakınız, Lawrence </w:t>
      </w:r>
      <w:proofErr w:type="spellStart"/>
      <w:r w:rsidRPr="009E502B">
        <w:rPr>
          <w:sz w:val="18"/>
          <w:szCs w:val="18"/>
          <w:lang w:val="tr-TR"/>
        </w:rPr>
        <w:t>Early</w:t>
      </w:r>
      <w:proofErr w:type="spellEnd"/>
      <w:r w:rsidRPr="009E502B">
        <w:rPr>
          <w:sz w:val="18"/>
          <w:szCs w:val="18"/>
          <w:lang w:val="tr-TR"/>
        </w:rPr>
        <w:t xml:space="preserve">, </w:t>
      </w:r>
      <w:r w:rsidR="00241305" w:rsidRPr="009E502B">
        <w:rPr>
          <w:sz w:val="18"/>
          <w:szCs w:val="18"/>
          <w:lang w:val="tr-TR"/>
        </w:rPr>
        <w:t>Madde</w:t>
      </w:r>
      <w:r w:rsidRPr="009E502B">
        <w:rPr>
          <w:sz w:val="18"/>
          <w:szCs w:val="18"/>
          <w:lang w:val="tr-TR"/>
        </w:rPr>
        <w:t xml:space="preserve"> 10: </w:t>
      </w:r>
      <w:proofErr w:type="spellStart"/>
      <w:r w:rsidRPr="009E502B">
        <w:rPr>
          <w:sz w:val="18"/>
          <w:szCs w:val="18"/>
          <w:lang w:val="tr-TR"/>
        </w:rPr>
        <w:t>Issues</w:t>
      </w:r>
      <w:proofErr w:type="spellEnd"/>
      <w:r w:rsidRPr="009E502B">
        <w:rPr>
          <w:sz w:val="18"/>
          <w:szCs w:val="18"/>
          <w:lang w:val="tr-TR"/>
        </w:rPr>
        <w:t xml:space="preserve"> of </w:t>
      </w:r>
      <w:proofErr w:type="spellStart"/>
      <w:r w:rsidRPr="009E502B">
        <w:rPr>
          <w:sz w:val="18"/>
          <w:szCs w:val="18"/>
          <w:lang w:val="tr-TR"/>
        </w:rPr>
        <w:t>Fairness</w:t>
      </w:r>
      <w:proofErr w:type="spellEnd"/>
      <w:r w:rsidRPr="009E502B">
        <w:rPr>
          <w:sz w:val="18"/>
          <w:szCs w:val="18"/>
          <w:lang w:val="tr-TR"/>
        </w:rPr>
        <w:t xml:space="preserve">, </w:t>
      </w:r>
      <w:proofErr w:type="spellStart"/>
      <w:r w:rsidRPr="009E502B">
        <w:rPr>
          <w:sz w:val="18"/>
          <w:szCs w:val="18"/>
          <w:lang w:val="tr-TR"/>
        </w:rPr>
        <w:t>Proof</w:t>
      </w:r>
      <w:proofErr w:type="spellEnd"/>
      <w:r w:rsidRPr="009E502B">
        <w:rPr>
          <w:sz w:val="18"/>
          <w:szCs w:val="18"/>
          <w:lang w:val="tr-TR"/>
        </w:rPr>
        <w:t xml:space="preserve"> </w:t>
      </w:r>
      <w:proofErr w:type="spellStart"/>
      <w:r w:rsidRPr="009E502B">
        <w:rPr>
          <w:sz w:val="18"/>
          <w:szCs w:val="18"/>
          <w:lang w:val="tr-TR"/>
        </w:rPr>
        <w:t>and</w:t>
      </w:r>
      <w:proofErr w:type="spellEnd"/>
      <w:r w:rsidRPr="009E502B">
        <w:rPr>
          <w:sz w:val="18"/>
          <w:szCs w:val="18"/>
          <w:lang w:val="tr-TR"/>
        </w:rPr>
        <w:t xml:space="preserve"> </w:t>
      </w:r>
      <w:proofErr w:type="spellStart"/>
      <w:r w:rsidRPr="009E502B">
        <w:rPr>
          <w:sz w:val="18"/>
          <w:szCs w:val="18"/>
          <w:lang w:val="tr-TR"/>
        </w:rPr>
        <w:t>Evidence</w:t>
      </w:r>
      <w:proofErr w:type="spellEnd"/>
      <w:r w:rsidRPr="009E502B">
        <w:rPr>
          <w:sz w:val="18"/>
          <w:szCs w:val="18"/>
          <w:lang w:val="tr-TR"/>
        </w:rPr>
        <w:t xml:space="preserve">, in </w:t>
      </w:r>
      <w:proofErr w:type="spellStart"/>
      <w:r w:rsidRPr="009E502B">
        <w:rPr>
          <w:sz w:val="18"/>
          <w:szCs w:val="18"/>
          <w:lang w:val="tr-TR"/>
        </w:rPr>
        <w:t>Freedom</w:t>
      </w:r>
      <w:proofErr w:type="spellEnd"/>
      <w:r w:rsidRPr="009E502B">
        <w:rPr>
          <w:sz w:val="18"/>
          <w:szCs w:val="18"/>
          <w:lang w:val="tr-TR"/>
        </w:rPr>
        <w:t xml:space="preserve"> of </w:t>
      </w:r>
      <w:proofErr w:type="spellStart"/>
      <w:r w:rsidRPr="009E502B">
        <w:rPr>
          <w:sz w:val="18"/>
          <w:szCs w:val="18"/>
          <w:lang w:val="tr-TR"/>
        </w:rPr>
        <w:t>Expression</w:t>
      </w:r>
      <w:proofErr w:type="spellEnd"/>
      <w:r w:rsidRPr="009E502B">
        <w:rPr>
          <w:sz w:val="18"/>
          <w:szCs w:val="18"/>
          <w:lang w:val="tr-TR"/>
        </w:rPr>
        <w:t xml:space="preserve">, </w:t>
      </w:r>
      <w:proofErr w:type="spellStart"/>
      <w:r w:rsidRPr="009E502B">
        <w:rPr>
          <w:sz w:val="18"/>
          <w:szCs w:val="18"/>
          <w:lang w:val="tr-TR"/>
        </w:rPr>
        <w:t>Essays</w:t>
      </w:r>
      <w:proofErr w:type="spellEnd"/>
      <w:r w:rsidRPr="009E502B">
        <w:rPr>
          <w:sz w:val="18"/>
          <w:szCs w:val="18"/>
          <w:lang w:val="tr-TR"/>
        </w:rPr>
        <w:t xml:space="preserve"> in </w:t>
      </w:r>
      <w:proofErr w:type="spellStart"/>
      <w:r w:rsidRPr="009E502B">
        <w:rPr>
          <w:sz w:val="18"/>
          <w:szCs w:val="18"/>
          <w:lang w:val="tr-TR"/>
        </w:rPr>
        <w:t>honour</w:t>
      </w:r>
      <w:proofErr w:type="spellEnd"/>
      <w:r w:rsidRPr="009E502B">
        <w:rPr>
          <w:sz w:val="18"/>
          <w:szCs w:val="18"/>
          <w:lang w:val="tr-TR"/>
        </w:rPr>
        <w:t xml:space="preserve"> of Nicolas </w:t>
      </w:r>
      <w:proofErr w:type="spellStart"/>
      <w:r w:rsidRPr="009E502B">
        <w:rPr>
          <w:sz w:val="18"/>
          <w:szCs w:val="18"/>
          <w:lang w:val="tr-TR"/>
        </w:rPr>
        <w:t>Bratza</w:t>
      </w:r>
      <w:proofErr w:type="spellEnd"/>
      <w:r w:rsidRPr="009E502B">
        <w:rPr>
          <w:sz w:val="18"/>
          <w:szCs w:val="18"/>
          <w:lang w:val="tr-TR"/>
        </w:rPr>
        <w:t xml:space="preserve">, 2012, </w:t>
      </w:r>
      <w:r w:rsidR="008A3F51" w:rsidRPr="009E502B">
        <w:rPr>
          <w:sz w:val="18"/>
          <w:szCs w:val="18"/>
          <w:lang w:val="tr-TR"/>
        </w:rPr>
        <w:t>s</w:t>
      </w:r>
      <w:r w:rsidRPr="009E502B">
        <w:rPr>
          <w:sz w:val="18"/>
          <w:szCs w:val="18"/>
          <w:lang w:val="tr-TR"/>
        </w:rPr>
        <w:t xml:space="preserve">. 561 </w:t>
      </w:r>
    </w:p>
  </w:footnote>
  <w:footnote w:id="102">
    <w:p w14:paraId="3E053699" w14:textId="3C44C4C3" w:rsidR="00CC72C0" w:rsidRPr="009E502B" w:rsidRDefault="00CC72C0" w:rsidP="00935CAC">
      <w:pPr>
        <w:pStyle w:val="DipnotMetni"/>
        <w:rPr>
          <w:sz w:val="18"/>
          <w:szCs w:val="18"/>
          <w:lang w:val="tr-TR"/>
        </w:rPr>
      </w:pPr>
      <w:r w:rsidRPr="009E502B">
        <w:rPr>
          <w:rStyle w:val="DipnotBavurusu"/>
          <w:sz w:val="18"/>
          <w:szCs w:val="18"/>
          <w:lang w:val="tr-TR"/>
        </w:rPr>
        <w:footnoteRef/>
      </w:r>
      <w:r w:rsidRPr="009E502B">
        <w:rPr>
          <w:sz w:val="18"/>
          <w:szCs w:val="18"/>
          <w:lang w:val="tr-TR"/>
        </w:rPr>
        <w:t xml:space="preserve"> </w:t>
      </w:r>
      <w:r w:rsidR="00237E1C" w:rsidRPr="009E502B">
        <w:rPr>
          <w:sz w:val="18"/>
          <w:szCs w:val="18"/>
          <w:lang w:val="tr-TR"/>
        </w:rPr>
        <w:t xml:space="preserve">Anayasanın 39. </w:t>
      </w:r>
      <w:r w:rsidR="00241305" w:rsidRPr="009E502B">
        <w:rPr>
          <w:sz w:val="18"/>
          <w:szCs w:val="18"/>
          <w:lang w:val="tr-TR"/>
        </w:rPr>
        <w:t>Madde</w:t>
      </w:r>
      <w:r w:rsidR="00237E1C" w:rsidRPr="009E502B">
        <w:rPr>
          <w:sz w:val="18"/>
          <w:szCs w:val="18"/>
          <w:lang w:val="tr-TR"/>
        </w:rPr>
        <w:t>si: “</w:t>
      </w:r>
      <w:r w:rsidR="006074CB" w:rsidRPr="009E502B">
        <w:rPr>
          <w:sz w:val="18"/>
          <w:szCs w:val="18"/>
          <w:lang w:val="tr-TR"/>
        </w:rPr>
        <w:t>Kamu görev ve hizmetinde bulunanlara karşı, bu görev ve hizmetin yerine getirilmesiyle ilgili olarak yapılan isnatlardan dolayı açılan hakaret davalarında, sanık, isnadın doğruluğunu ispat hakkına sahiptir. Bunun dışındaki hallerde ispat isteminin kabulü, ancak isnat olunan fiilin doğru olup olmadığının anlaşılmasında kamu yararı bulunmasına veya şikayetçinin ispata razı olmasına bağlıdır.</w:t>
      </w:r>
      <w:r w:rsidRPr="009E502B">
        <w:rPr>
          <w:sz w:val="18"/>
          <w:szCs w:val="18"/>
          <w:lang w:val="tr-TR"/>
        </w:rPr>
        <w:t>”</w:t>
      </w:r>
    </w:p>
  </w:footnote>
  <w:footnote w:id="103">
    <w:p w14:paraId="344EC564" w14:textId="74243C96" w:rsidR="00FA7161" w:rsidRPr="00262C0F" w:rsidRDefault="00FA7161">
      <w:pPr>
        <w:pStyle w:val="DipnotMetni"/>
        <w:rPr>
          <w:sz w:val="18"/>
          <w:szCs w:val="18"/>
          <w:lang w:val="tr-TR"/>
        </w:rPr>
      </w:pPr>
      <w:r w:rsidRPr="00262C0F">
        <w:rPr>
          <w:rStyle w:val="DipnotBavurusu"/>
          <w:sz w:val="18"/>
          <w:szCs w:val="18"/>
          <w:lang w:val="tr-TR"/>
        </w:rPr>
        <w:footnoteRef/>
      </w:r>
      <w:r w:rsidRPr="00262C0F">
        <w:rPr>
          <w:sz w:val="18"/>
          <w:szCs w:val="18"/>
          <w:lang w:val="tr-TR"/>
        </w:rPr>
        <w:t xml:space="preserve"> Bakınız AİHM, </w:t>
      </w:r>
      <w:r w:rsidRPr="00262C0F">
        <w:rPr>
          <w:i/>
          <w:sz w:val="18"/>
          <w:szCs w:val="18"/>
          <w:lang w:val="tr-TR"/>
        </w:rPr>
        <w:t xml:space="preserve">Altuğ Taner Akçam – Türkiye davası, </w:t>
      </w:r>
      <w:r w:rsidRPr="00262C0F">
        <w:rPr>
          <w:sz w:val="18"/>
          <w:szCs w:val="18"/>
          <w:lang w:val="tr-TR"/>
        </w:rPr>
        <w:t>parag. 27-29.</w:t>
      </w:r>
    </w:p>
  </w:footnote>
  <w:footnote w:id="104">
    <w:p w14:paraId="7202F5DA" w14:textId="3F23766F" w:rsidR="00CB7B96" w:rsidRPr="00262C0F" w:rsidRDefault="00CB2241" w:rsidP="00CB7B96">
      <w:pPr>
        <w:spacing w:before="71"/>
        <w:rPr>
          <w:sz w:val="18"/>
          <w:szCs w:val="18"/>
          <w:lang w:val="tr-TR"/>
        </w:rPr>
      </w:pPr>
      <w:r w:rsidRPr="00262C0F">
        <w:rPr>
          <w:rStyle w:val="DipnotBavurusu"/>
          <w:sz w:val="18"/>
          <w:szCs w:val="18"/>
          <w:lang w:val="tr-TR"/>
        </w:rPr>
        <w:footnoteRef/>
      </w:r>
      <w:r w:rsidRPr="00262C0F">
        <w:rPr>
          <w:sz w:val="18"/>
          <w:szCs w:val="18"/>
          <w:lang w:val="tr-TR"/>
        </w:rPr>
        <w:t xml:space="preserve"> Bakınız AİHM, </w:t>
      </w:r>
      <w:r w:rsidRPr="00262C0F">
        <w:rPr>
          <w:i/>
          <w:sz w:val="18"/>
          <w:szCs w:val="18"/>
          <w:lang w:val="tr-TR"/>
        </w:rPr>
        <w:t xml:space="preserve">Altuğ Taner Akçam </w:t>
      </w:r>
      <w:r w:rsidR="00262C0F">
        <w:rPr>
          <w:i/>
          <w:sz w:val="18"/>
          <w:szCs w:val="18"/>
          <w:lang w:val="tr-TR"/>
        </w:rPr>
        <w:t>–</w:t>
      </w:r>
      <w:r w:rsidRPr="00262C0F">
        <w:rPr>
          <w:i/>
          <w:sz w:val="18"/>
          <w:szCs w:val="18"/>
          <w:lang w:val="tr-TR"/>
        </w:rPr>
        <w:t xml:space="preserve"> T</w:t>
      </w:r>
      <w:r w:rsidR="004E1C58" w:rsidRPr="00262C0F">
        <w:rPr>
          <w:i/>
          <w:sz w:val="18"/>
          <w:szCs w:val="18"/>
          <w:lang w:val="tr-TR"/>
        </w:rPr>
        <w:t>ü</w:t>
      </w:r>
      <w:r w:rsidRPr="00262C0F">
        <w:rPr>
          <w:i/>
          <w:sz w:val="18"/>
          <w:szCs w:val="18"/>
          <w:lang w:val="tr-TR"/>
        </w:rPr>
        <w:t>rkiye</w:t>
      </w:r>
      <w:r w:rsidR="00262C0F">
        <w:rPr>
          <w:i/>
          <w:sz w:val="18"/>
          <w:szCs w:val="18"/>
          <w:lang w:val="tr-TR"/>
        </w:rPr>
        <w:t xml:space="preserve"> davası</w:t>
      </w:r>
      <w:r w:rsidRPr="00262C0F">
        <w:rPr>
          <w:i/>
          <w:sz w:val="18"/>
          <w:szCs w:val="18"/>
          <w:lang w:val="tr-TR"/>
        </w:rPr>
        <w:t xml:space="preserve">, </w:t>
      </w:r>
      <w:r w:rsidRPr="00262C0F">
        <w:rPr>
          <w:sz w:val="18"/>
          <w:szCs w:val="18"/>
          <w:lang w:val="tr-TR"/>
        </w:rPr>
        <w:t>parag. 26.</w:t>
      </w:r>
    </w:p>
  </w:footnote>
  <w:footnote w:id="105">
    <w:p w14:paraId="0391EA2C" w14:textId="64021EB9" w:rsidR="00CB7B96" w:rsidRPr="004E1C58" w:rsidRDefault="00CB7B96" w:rsidP="000604B6">
      <w:pPr>
        <w:spacing w:before="1" w:line="205" w:lineRule="exact"/>
        <w:rPr>
          <w:sz w:val="18"/>
          <w:szCs w:val="18"/>
        </w:rPr>
      </w:pPr>
      <w:r w:rsidRPr="004E1C58">
        <w:rPr>
          <w:rStyle w:val="DipnotBavurusu"/>
          <w:sz w:val="18"/>
          <w:szCs w:val="18"/>
        </w:rPr>
        <w:footnoteRef/>
      </w:r>
      <w:r w:rsidRPr="004E1C58">
        <w:rPr>
          <w:sz w:val="18"/>
          <w:szCs w:val="18"/>
        </w:rPr>
        <w:t xml:space="preserve"> </w:t>
      </w:r>
      <w:r w:rsidRPr="004E1C58">
        <w:rPr>
          <w:sz w:val="18"/>
          <w:szCs w:val="18"/>
          <w:lang w:val="tr-TR"/>
        </w:rPr>
        <w:t>UN DOC. A/HRC/15/13, s. 20-22.</w:t>
      </w:r>
    </w:p>
  </w:footnote>
  <w:footnote w:id="106">
    <w:p w14:paraId="4A0E2AF3" w14:textId="77777777" w:rsidR="00A0179A" w:rsidRPr="00605856" w:rsidRDefault="00A0179A" w:rsidP="00A0179A">
      <w:pPr>
        <w:pStyle w:val="DipnotMetni"/>
        <w:rPr>
          <w:sz w:val="18"/>
          <w:szCs w:val="18"/>
          <w:lang w:val="tr-TR"/>
        </w:rPr>
      </w:pPr>
      <w:r w:rsidRPr="00605856">
        <w:rPr>
          <w:rStyle w:val="DipnotBavurusu"/>
          <w:sz w:val="18"/>
          <w:szCs w:val="18"/>
          <w:lang w:val="tr-TR"/>
        </w:rPr>
        <w:footnoteRef/>
      </w:r>
      <w:r w:rsidRPr="00605856">
        <w:rPr>
          <w:sz w:val="18"/>
          <w:szCs w:val="18"/>
          <w:lang w:val="tr-TR"/>
        </w:rPr>
        <w:t xml:space="preserve"> AGİT, Türk Ceza Kanunu Taslağı Hakkında İnceleme: Medya Özgürlüğüne ilişkin Endişeler, Viyana, Mayıs 2005, s. 10.</w:t>
      </w:r>
    </w:p>
  </w:footnote>
  <w:footnote w:id="107">
    <w:p w14:paraId="0E9946C0" w14:textId="0C265A5F" w:rsidR="00A87A6D" w:rsidRPr="00605856" w:rsidRDefault="00A87A6D">
      <w:pPr>
        <w:pStyle w:val="DipnotMetni"/>
        <w:rPr>
          <w:sz w:val="18"/>
          <w:szCs w:val="18"/>
          <w:lang w:val="tr-TR"/>
        </w:rPr>
      </w:pPr>
      <w:r w:rsidRPr="00605856">
        <w:rPr>
          <w:rStyle w:val="DipnotBavurusu"/>
          <w:sz w:val="18"/>
          <w:szCs w:val="18"/>
          <w:lang w:val="tr-TR"/>
        </w:rPr>
        <w:footnoteRef/>
      </w:r>
      <w:r w:rsidRPr="00605856">
        <w:rPr>
          <w:sz w:val="18"/>
          <w:szCs w:val="18"/>
          <w:lang w:val="tr-TR"/>
        </w:rPr>
        <w:t xml:space="preserve"> Uluslararası Af Örgütü, </w:t>
      </w:r>
      <w:r w:rsidRPr="00605856">
        <w:rPr>
          <w:i/>
          <w:iCs/>
          <w:sz w:val="18"/>
          <w:szCs w:val="18"/>
          <w:lang w:val="tr-TR"/>
        </w:rPr>
        <w:t xml:space="preserve">301. </w:t>
      </w:r>
      <w:r w:rsidR="00241305" w:rsidRPr="00605856">
        <w:rPr>
          <w:i/>
          <w:iCs/>
          <w:sz w:val="18"/>
          <w:szCs w:val="18"/>
          <w:lang w:val="tr-TR"/>
        </w:rPr>
        <w:t>Madde</w:t>
      </w:r>
      <w:r w:rsidRPr="00605856">
        <w:rPr>
          <w:i/>
          <w:iCs/>
          <w:sz w:val="18"/>
          <w:szCs w:val="18"/>
          <w:lang w:val="tr-TR"/>
        </w:rPr>
        <w:t>: Sona Erdirin, Değiştirmeyin</w:t>
      </w:r>
      <w:r w:rsidRPr="00605856">
        <w:rPr>
          <w:sz w:val="18"/>
          <w:szCs w:val="18"/>
          <w:lang w:val="tr-TR"/>
        </w:rPr>
        <w:t>, 3 Nisan 2013.</w:t>
      </w:r>
    </w:p>
  </w:footnote>
  <w:footnote w:id="108">
    <w:p w14:paraId="50C16020" w14:textId="521A90EA" w:rsidR="00A60A20" w:rsidRPr="00605856" w:rsidRDefault="00A60A20">
      <w:pPr>
        <w:pStyle w:val="DipnotMetni"/>
        <w:rPr>
          <w:sz w:val="18"/>
          <w:szCs w:val="18"/>
          <w:lang w:val="tr-TR"/>
        </w:rPr>
      </w:pPr>
      <w:r w:rsidRPr="00605856">
        <w:rPr>
          <w:rStyle w:val="DipnotBavurusu"/>
          <w:sz w:val="18"/>
          <w:szCs w:val="18"/>
          <w:lang w:val="tr-TR"/>
        </w:rPr>
        <w:footnoteRef/>
      </w:r>
      <w:r w:rsidRPr="00605856">
        <w:rPr>
          <w:sz w:val="18"/>
          <w:szCs w:val="18"/>
          <w:lang w:val="tr-TR"/>
        </w:rPr>
        <w:t xml:space="preserve"> </w:t>
      </w:r>
      <w:proofErr w:type="spellStart"/>
      <w:r w:rsidRPr="00605856">
        <w:rPr>
          <w:sz w:val="18"/>
          <w:szCs w:val="18"/>
          <w:lang w:val="tr-TR"/>
        </w:rPr>
        <w:t>Freedom</w:t>
      </w:r>
      <w:proofErr w:type="spellEnd"/>
      <w:r w:rsidRPr="00605856">
        <w:rPr>
          <w:sz w:val="18"/>
          <w:szCs w:val="18"/>
          <w:lang w:val="tr-TR"/>
        </w:rPr>
        <w:t xml:space="preserve"> House, </w:t>
      </w:r>
      <w:r w:rsidR="007D3A6C" w:rsidRPr="00605856">
        <w:rPr>
          <w:sz w:val="18"/>
          <w:szCs w:val="18"/>
          <w:lang w:val="tr-TR"/>
        </w:rPr>
        <w:t>Türkiye</w:t>
      </w:r>
      <w:r w:rsidRPr="00605856">
        <w:rPr>
          <w:sz w:val="18"/>
          <w:szCs w:val="18"/>
          <w:lang w:val="tr-TR"/>
        </w:rPr>
        <w:t xml:space="preserve">: Basın </w:t>
      </w:r>
      <w:r w:rsidR="007D3A6C" w:rsidRPr="00605856">
        <w:rPr>
          <w:sz w:val="18"/>
          <w:szCs w:val="18"/>
          <w:lang w:val="tr-TR"/>
        </w:rPr>
        <w:t>Ö</w:t>
      </w:r>
      <w:r w:rsidRPr="00605856">
        <w:rPr>
          <w:sz w:val="18"/>
          <w:szCs w:val="18"/>
          <w:lang w:val="tr-TR"/>
        </w:rPr>
        <w:t xml:space="preserve">zgürlüğünde </w:t>
      </w:r>
      <w:r w:rsidR="007D3A6C" w:rsidRPr="00605856">
        <w:rPr>
          <w:sz w:val="18"/>
          <w:szCs w:val="18"/>
          <w:lang w:val="tr-TR"/>
        </w:rPr>
        <w:t>5-Yıllık Düşüş</w:t>
      </w:r>
      <w:r w:rsidRPr="00605856">
        <w:rPr>
          <w:sz w:val="18"/>
          <w:szCs w:val="18"/>
          <w:lang w:val="tr-TR"/>
        </w:rPr>
        <w:t xml:space="preserve">, </w:t>
      </w:r>
      <w:r w:rsidR="007D3A6C" w:rsidRPr="00605856">
        <w:rPr>
          <w:sz w:val="18"/>
          <w:szCs w:val="18"/>
          <w:lang w:val="tr-TR"/>
        </w:rPr>
        <w:t>Aralık</w:t>
      </w:r>
      <w:r w:rsidRPr="00605856">
        <w:rPr>
          <w:sz w:val="18"/>
          <w:szCs w:val="18"/>
          <w:lang w:val="tr-TR"/>
        </w:rPr>
        <w:t xml:space="preserve"> 2015</w:t>
      </w:r>
    </w:p>
  </w:footnote>
  <w:footnote w:id="109">
    <w:p w14:paraId="703223A0" w14:textId="48ADB2C0" w:rsidR="00656C3F" w:rsidRPr="00605856" w:rsidRDefault="00656C3F">
      <w:pPr>
        <w:pStyle w:val="DipnotMetni"/>
        <w:rPr>
          <w:sz w:val="18"/>
          <w:szCs w:val="18"/>
          <w:lang w:val="tr-TR"/>
        </w:rPr>
      </w:pPr>
      <w:r w:rsidRPr="00605856">
        <w:rPr>
          <w:rStyle w:val="DipnotBavurusu"/>
          <w:sz w:val="18"/>
          <w:szCs w:val="18"/>
          <w:lang w:val="tr-TR"/>
        </w:rPr>
        <w:footnoteRef/>
      </w:r>
      <w:r w:rsidRPr="00605856">
        <w:rPr>
          <w:sz w:val="18"/>
          <w:szCs w:val="18"/>
          <w:lang w:val="tr-TR"/>
        </w:rPr>
        <w:t xml:space="preserve"> AİHM, </w:t>
      </w:r>
      <w:r w:rsidRPr="00605856">
        <w:rPr>
          <w:i/>
          <w:iCs/>
          <w:sz w:val="18"/>
          <w:szCs w:val="18"/>
          <w:lang w:val="tr-TR"/>
        </w:rPr>
        <w:t>Dink – Türkiye davası</w:t>
      </w:r>
      <w:r w:rsidRPr="00605856">
        <w:rPr>
          <w:sz w:val="18"/>
          <w:szCs w:val="18"/>
          <w:lang w:val="tr-TR"/>
        </w:rPr>
        <w:t>, parag. 137.</w:t>
      </w:r>
    </w:p>
  </w:footnote>
  <w:footnote w:id="110">
    <w:p w14:paraId="4582CF11" w14:textId="4213CF4C" w:rsidR="004C2592" w:rsidRPr="00605856" w:rsidRDefault="004C2592">
      <w:pPr>
        <w:pStyle w:val="DipnotMetni"/>
        <w:rPr>
          <w:sz w:val="18"/>
          <w:szCs w:val="18"/>
          <w:lang w:val="tr-TR"/>
        </w:rPr>
      </w:pPr>
      <w:r w:rsidRPr="00605856">
        <w:rPr>
          <w:rStyle w:val="DipnotBavurusu"/>
          <w:sz w:val="18"/>
          <w:szCs w:val="18"/>
          <w:lang w:val="tr-TR"/>
        </w:rPr>
        <w:footnoteRef/>
      </w:r>
      <w:r w:rsidRPr="00605856">
        <w:rPr>
          <w:sz w:val="18"/>
          <w:szCs w:val="18"/>
          <w:lang w:val="tr-TR"/>
        </w:rPr>
        <w:t xml:space="preserve"> AİHS </w:t>
      </w:r>
      <w:r w:rsidR="00241305" w:rsidRPr="00605856">
        <w:rPr>
          <w:sz w:val="18"/>
          <w:szCs w:val="18"/>
          <w:lang w:val="tr-TR"/>
        </w:rPr>
        <w:t>Madde</w:t>
      </w:r>
      <w:r w:rsidRPr="00605856">
        <w:rPr>
          <w:sz w:val="18"/>
          <w:szCs w:val="18"/>
          <w:lang w:val="tr-TR"/>
        </w:rPr>
        <w:t xml:space="preserve"> 7, ICCPR </w:t>
      </w:r>
      <w:r w:rsidR="00241305" w:rsidRPr="00605856">
        <w:rPr>
          <w:sz w:val="18"/>
          <w:szCs w:val="18"/>
          <w:lang w:val="tr-TR"/>
        </w:rPr>
        <w:t>Madde</w:t>
      </w:r>
      <w:r w:rsidRPr="00605856">
        <w:rPr>
          <w:sz w:val="18"/>
          <w:szCs w:val="18"/>
          <w:lang w:val="tr-TR"/>
        </w:rPr>
        <w:t xml:space="preserve"> 15(1).</w:t>
      </w:r>
    </w:p>
  </w:footnote>
  <w:footnote w:id="111">
    <w:p w14:paraId="2AC06506" w14:textId="692FBA03" w:rsidR="00ED1FC2" w:rsidRPr="00605856" w:rsidRDefault="00ED1FC2">
      <w:pPr>
        <w:pStyle w:val="DipnotMetni"/>
        <w:rPr>
          <w:sz w:val="18"/>
          <w:szCs w:val="18"/>
          <w:lang w:val="tr-TR"/>
        </w:rPr>
      </w:pPr>
      <w:r w:rsidRPr="00605856">
        <w:rPr>
          <w:rStyle w:val="DipnotBavurusu"/>
          <w:sz w:val="18"/>
          <w:szCs w:val="18"/>
          <w:lang w:val="tr-TR"/>
        </w:rPr>
        <w:footnoteRef/>
      </w:r>
      <w:r w:rsidRPr="00605856">
        <w:rPr>
          <w:sz w:val="18"/>
          <w:szCs w:val="18"/>
          <w:lang w:val="tr-TR"/>
        </w:rPr>
        <w:t xml:space="preserve"> </w:t>
      </w:r>
      <w:r w:rsidR="00552C11" w:rsidRPr="00605856">
        <w:rPr>
          <w:sz w:val="18"/>
          <w:szCs w:val="18"/>
          <w:lang w:val="tr-TR"/>
        </w:rPr>
        <w:t xml:space="preserve">AİHM, </w:t>
      </w:r>
      <w:r w:rsidR="00552C11" w:rsidRPr="00605856">
        <w:rPr>
          <w:i/>
          <w:iCs/>
          <w:sz w:val="18"/>
          <w:szCs w:val="18"/>
          <w:lang w:val="tr-TR"/>
        </w:rPr>
        <w:t>Dink – Türkiye davası</w:t>
      </w:r>
      <w:r w:rsidR="00552C11" w:rsidRPr="00605856">
        <w:rPr>
          <w:sz w:val="18"/>
          <w:szCs w:val="18"/>
          <w:lang w:val="tr-TR"/>
        </w:rPr>
        <w:t>, parag. 28</w:t>
      </w:r>
    </w:p>
  </w:footnote>
  <w:footnote w:id="112">
    <w:p w14:paraId="2182F77F" w14:textId="51890FF3" w:rsidR="00552C11" w:rsidRPr="00605856" w:rsidRDefault="00552C11">
      <w:pPr>
        <w:pStyle w:val="DipnotMetni"/>
        <w:rPr>
          <w:sz w:val="18"/>
          <w:szCs w:val="18"/>
          <w:lang w:val="tr-TR"/>
        </w:rPr>
      </w:pPr>
      <w:r w:rsidRPr="00605856">
        <w:rPr>
          <w:rStyle w:val="DipnotBavurusu"/>
          <w:sz w:val="18"/>
          <w:szCs w:val="18"/>
          <w:lang w:val="tr-TR"/>
        </w:rPr>
        <w:footnoteRef/>
      </w:r>
      <w:r w:rsidRPr="00605856">
        <w:rPr>
          <w:sz w:val="18"/>
          <w:szCs w:val="18"/>
          <w:lang w:val="tr-TR"/>
        </w:rPr>
        <w:t xml:space="preserve"> </w:t>
      </w:r>
      <w:r w:rsidR="005E77E9" w:rsidRPr="00605856">
        <w:rPr>
          <w:i/>
          <w:iCs/>
          <w:sz w:val="18"/>
          <w:szCs w:val="18"/>
          <w:lang w:val="tr-TR"/>
        </w:rPr>
        <w:t>Dink – Türkiye davası</w:t>
      </w:r>
      <w:r w:rsidR="005E77E9" w:rsidRPr="00605856">
        <w:rPr>
          <w:sz w:val="18"/>
          <w:szCs w:val="18"/>
          <w:lang w:val="tr-TR"/>
        </w:rPr>
        <w:t>, parag. 116</w:t>
      </w:r>
    </w:p>
  </w:footnote>
  <w:footnote w:id="113">
    <w:p w14:paraId="32B7532C" w14:textId="009E4E8E" w:rsidR="009022CE" w:rsidRPr="00605856" w:rsidRDefault="009022CE">
      <w:pPr>
        <w:pStyle w:val="DipnotMetni"/>
        <w:rPr>
          <w:i/>
          <w:sz w:val="18"/>
          <w:szCs w:val="18"/>
          <w:lang w:val="tr-TR"/>
        </w:rPr>
      </w:pPr>
      <w:r w:rsidRPr="00605856">
        <w:rPr>
          <w:rStyle w:val="DipnotBavurusu"/>
          <w:sz w:val="18"/>
          <w:szCs w:val="18"/>
          <w:lang w:val="tr-TR"/>
        </w:rPr>
        <w:footnoteRef/>
      </w:r>
      <w:r w:rsidRPr="00605856">
        <w:rPr>
          <w:sz w:val="18"/>
          <w:szCs w:val="18"/>
          <w:lang w:val="tr-TR"/>
        </w:rPr>
        <w:t xml:space="preserve"> </w:t>
      </w:r>
      <w:r w:rsidRPr="00605856">
        <w:rPr>
          <w:i/>
          <w:sz w:val="18"/>
          <w:szCs w:val="18"/>
          <w:lang w:val="tr-TR"/>
        </w:rPr>
        <w:t xml:space="preserve">Taner Akçam – Türkiye, </w:t>
      </w:r>
      <w:r w:rsidRPr="00605856">
        <w:rPr>
          <w:sz w:val="18"/>
          <w:szCs w:val="18"/>
          <w:lang w:val="tr-TR"/>
        </w:rPr>
        <w:t>parag. 92.</w:t>
      </w:r>
    </w:p>
  </w:footnote>
  <w:footnote w:id="114">
    <w:p w14:paraId="046BF361" w14:textId="245E5BA6" w:rsidR="00955F6C" w:rsidRPr="00605856" w:rsidRDefault="00955F6C">
      <w:pPr>
        <w:pStyle w:val="DipnotMetni"/>
        <w:rPr>
          <w:sz w:val="18"/>
          <w:szCs w:val="18"/>
          <w:lang w:val="tr-TR"/>
        </w:rPr>
      </w:pPr>
      <w:r w:rsidRPr="00605856">
        <w:rPr>
          <w:rStyle w:val="DipnotBavurusu"/>
          <w:sz w:val="18"/>
          <w:szCs w:val="18"/>
          <w:lang w:val="tr-TR"/>
        </w:rPr>
        <w:footnoteRef/>
      </w:r>
      <w:r w:rsidRPr="00605856">
        <w:rPr>
          <w:sz w:val="18"/>
          <w:szCs w:val="18"/>
          <w:lang w:val="tr-TR"/>
        </w:rPr>
        <w:t xml:space="preserve"> </w:t>
      </w:r>
      <w:proofErr w:type="spellStart"/>
      <w:r w:rsidRPr="00605856">
        <w:rPr>
          <w:sz w:val="18"/>
          <w:szCs w:val="18"/>
          <w:lang w:val="tr-TR"/>
        </w:rPr>
        <w:t>a.g.e</w:t>
      </w:r>
      <w:proofErr w:type="spellEnd"/>
      <w:r w:rsidRPr="00605856">
        <w:rPr>
          <w:sz w:val="18"/>
          <w:szCs w:val="18"/>
          <w:lang w:val="tr-TR"/>
        </w:rPr>
        <w:t>.</w:t>
      </w:r>
      <w:r w:rsidR="00333F4E" w:rsidRPr="00605856">
        <w:rPr>
          <w:sz w:val="18"/>
          <w:szCs w:val="18"/>
          <w:lang w:val="tr-TR"/>
        </w:rPr>
        <w:t xml:space="preserve"> parag.93. Ayrıca bakınız İnsan Hakları Komitesi, Genel Yorum No. 34, parag. 25 (</w:t>
      </w:r>
      <w:r w:rsidR="00493AAB" w:rsidRPr="00605856">
        <w:rPr>
          <w:sz w:val="18"/>
          <w:szCs w:val="18"/>
          <w:lang w:val="tr-TR"/>
        </w:rPr>
        <w:t>“bir normun “kanun” olarak nitelendirilmesi için, bireylerin davranışların</w:t>
      </w:r>
      <w:r w:rsidR="005F226D" w:rsidRPr="00605856">
        <w:rPr>
          <w:sz w:val="18"/>
          <w:szCs w:val="18"/>
          <w:lang w:val="tr-TR"/>
        </w:rPr>
        <w:t>ı</w:t>
      </w:r>
      <w:r w:rsidR="00493AAB" w:rsidRPr="00605856">
        <w:rPr>
          <w:sz w:val="18"/>
          <w:szCs w:val="18"/>
          <w:lang w:val="tr-TR"/>
        </w:rPr>
        <w:t xml:space="preserve"> </w:t>
      </w:r>
      <w:r w:rsidR="00457052" w:rsidRPr="00605856">
        <w:rPr>
          <w:sz w:val="18"/>
          <w:szCs w:val="18"/>
          <w:lang w:val="tr-TR"/>
        </w:rPr>
        <w:t xml:space="preserve">buna uygun olarak düzenlemesine </w:t>
      </w:r>
      <w:proofErr w:type="gramStart"/>
      <w:r w:rsidR="00457052" w:rsidRPr="00605856">
        <w:rPr>
          <w:sz w:val="18"/>
          <w:szCs w:val="18"/>
          <w:lang w:val="tr-TR"/>
        </w:rPr>
        <w:t>imkan</w:t>
      </w:r>
      <w:proofErr w:type="gramEnd"/>
      <w:r w:rsidR="00457052" w:rsidRPr="00605856">
        <w:rPr>
          <w:sz w:val="18"/>
          <w:szCs w:val="18"/>
          <w:lang w:val="tr-TR"/>
        </w:rPr>
        <w:t xml:space="preserve"> vere</w:t>
      </w:r>
      <w:r w:rsidR="00B87A83" w:rsidRPr="00605856">
        <w:rPr>
          <w:sz w:val="18"/>
          <w:szCs w:val="18"/>
          <w:lang w:val="tr-TR"/>
        </w:rPr>
        <w:t xml:space="preserve">n </w:t>
      </w:r>
      <w:r w:rsidR="00457052" w:rsidRPr="00605856">
        <w:rPr>
          <w:sz w:val="18"/>
          <w:szCs w:val="18"/>
          <w:lang w:val="tr-TR"/>
        </w:rPr>
        <w:t xml:space="preserve">yeterli </w:t>
      </w:r>
      <w:r w:rsidR="00B97286" w:rsidRPr="00605856">
        <w:rPr>
          <w:sz w:val="18"/>
          <w:szCs w:val="18"/>
          <w:lang w:val="tr-TR"/>
        </w:rPr>
        <w:t xml:space="preserve">bir </w:t>
      </w:r>
      <w:r w:rsidR="00C90AAB">
        <w:rPr>
          <w:sz w:val="18"/>
          <w:szCs w:val="18"/>
          <w:lang w:val="tr-TR"/>
        </w:rPr>
        <w:t>açıklık</w:t>
      </w:r>
      <w:r w:rsidR="00457052" w:rsidRPr="00605856">
        <w:rPr>
          <w:sz w:val="18"/>
          <w:szCs w:val="18"/>
          <w:lang w:val="tr-TR"/>
        </w:rPr>
        <w:t xml:space="preserve"> ile formüle e</w:t>
      </w:r>
      <w:r w:rsidR="006B7080" w:rsidRPr="00605856">
        <w:rPr>
          <w:sz w:val="18"/>
          <w:szCs w:val="18"/>
          <w:lang w:val="tr-TR"/>
        </w:rPr>
        <w:t>dilme</w:t>
      </w:r>
      <w:r w:rsidR="004D332A" w:rsidRPr="00605856">
        <w:rPr>
          <w:sz w:val="18"/>
          <w:szCs w:val="18"/>
          <w:lang w:val="tr-TR"/>
        </w:rPr>
        <w:t>lidir</w:t>
      </w:r>
      <w:r w:rsidR="006B7080" w:rsidRPr="00605856">
        <w:rPr>
          <w:sz w:val="18"/>
          <w:szCs w:val="18"/>
          <w:lang w:val="tr-TR"/>
        </w:rPr>
        <w:t xml:space="preserve"> ve kamu</w:t>
      </w:r>
      <w:r w:rsidR="00474F44" w:rsidRPr="00605856">
        <w:rPr>
          <w:sz w:val="18"/>
          <w:szCs w:val="18"/>
          <w:lang w:val="tr-TR"/>
        </w:rPr>
        <w:t xml:space="preserve"> tarafından</w:t>
      </w:r>
      <w:r w:rsidR="006B7080" w:rsidRPr="00605856">
        <w:rPr>
          <w:sz w:val="18"/>
          <w:szCs w:val="18"/>
          <w:lang w:val="tr-TR"/>
        </w:rPr>
        <w:t xml:space="preserve"> erişilebilir olması gerekir.</w:t>
      </w:r>
      <w:r w:rsidR="006C7314" w:rsidRPr="00605856">
        <w:rPr>
          <w:sz w:val="18"/>
          <w:szCs w:val="18"/>
          <w:lang w:val="tr-TR"/>
        </w:rPr>
        <w:t xml:space="preserve"> Kanunlar</w:t>
      </w:r>
      <w:r w:rsidR="0094351A" w:rsidRPr="00605856">
        <w:rPr>
          <w:sz w:val="18"/>
          <w:szCs w:val="18"/>
          <w:lang w:val="tr-TR"/>
        </w:rPr>
        <w:t>, kanunun</w:t>
      </w:r>
      <w:r w:rsidR="006C7314" w:rsidRPr="00605856">
        <w:rPr>
          <w:sz w:val="18"/>
          <w:szCs w:val="18"/>
          <w:lang w:val="tr-TR"/>
        </w:rPr>
        <w:t xml:space="preserve"> </w:t>
      </w:r>
      <w:r w:rsidR="000B3BEE" w:rsidRPr="00605856">
        <w:rPr>
          <w:sz w:val="18"/>
          <w:szCs w:val="18"/>
          <w:lang w:val="tr-TR"/>
        </w:rPr>
        <w:t>u</w:t>
      </w:r>
      <w:r w:rsidR="00375C8B" w:rsidRPr="00605856">
        <w:rPr>
          <w:sz w:val="18"/>
          <w:szCs w:val="18"/>
          <w:lang w:val="tr-TR"/>
        </w:rPr>
        <w:t>ygulama</w:t>
      </w:r>
      <w:r w:rsidR="0094351A" w:rsidRPr="00605856">
        <w:rPr>
          <w:sz w:val="18"/>
          <w:szCs w:val="18"/>
          <w:lang w:val="tr-TR"/>
        </w:rPr>
        <w:t>sından</w:t>
      </w:r>
      <w:r w:rsidR="00375C8B" w:rsidRPr="00605856">
        <w:rPr>
          <w:sz w:val="18"/>
          <w:szCs w:val="18"/>
          <w:lang w:val="tr-TR"/>
        </w:rPr>
        <w:t xml:space="preserve"> sorumlu olanlar</w:t>
      </w:r>
      <w:r w:rsidR="0094351A" w:rsidRPr="00605856">
        <w:rPr>
          <w:sz w:val="18"/>
          <w:szCs w:val="18"/>
          <w:lang w:val="tr-TR"/>
        </w:rPr>
        <w:t>a</w:t>
      </w:r>
      <w:r w:rsidR="00375C8B" w:rsidRPr="00605856">
        <w:rPr>
          <w:sz w:val="18"/>
          <w:szCs w:val="18"/>
          <w:lang w:val="tr-TR"/>
        </w:rPr>
        <w:t xml:space="preserve"> ifade özgürlüğüne kısıtlama</w:t>
      </w:r>
      <w:r w:rsidR="0094351A" w:rsidRPr="00605856">
        <w:rPr>
          <w:sz w:val="18"/>
          <w:szCs w:val="18"/>
          <w:lang w:val="tr-TR"/>
        </w:rPr>
        <w:t xml:space="preserve"> konusunda sınırsız takdir yetkisi vermemelidir.</w:t>
      </w:r>
      <w:r w:rsidR="00474F44" w:rsidRPr="00605856">
        <w:rPr>
          <w:sz w:val="18"/>
          <w:szCs w:val="18"/>
          <w:lang w:val="tr-TR"/>
        </w:rPr>
        <w:t>”)</w:t>
      </w:r>
    </w:p>
  </w:footnote>
  <w:footnote w:id="115">
    <w:p w14:paraId="7D82B084" w14:textId="0F104D27" w:rsidR="005F4DD7" w:rsidRPr="007C3EB8" w:rsidRDefault="005F4DD7">
      <w:pPr>
        <w:pStyle w:val="DipnotMetni"/>
        <w:rPr>
          <w:sz w:val="18"/>
          <w:szCs w:val="18"/>
          <w:lang w:val="tr-TR"/>
        </w:rPr>
      </w:pPr>
      <w:r w:rsidRPr="007C3EB8">
        <w:rPr>
          <w:rStyle w:val="DipnotBavurusu"/>
          <w:sz w:val="18"/>
          <w:szCs w:val="18"/>
          <w:lang w:val="tr-TR"/>
        </w:rPr>
        <w:footnoteRef/>
      </w:r>
      <w:r w:rsidRPr="007C3EB8">
        <w:rPr>
          <w:sz w:val="18"/>
          <w:szCs w:val="18"/>
          <w:lang w:val="tr-TR"/>
        </w:rPr>
        <w:t xml:space="preserve"> </w:t>
      </w:r>
      <w:r w:rsidR="00E2428C" w:rsidRPr="007C3EB8">
        <w:rPr>
          <w:i/>
          <w:iCs/>
          <w:sz w:val="18"/>
          <w:szCs w:val="18"/>
          <w:lang w:val="tr-TR"/>
        </w:rPr>
        <w:t>Dink – Türkiye davası</w:t>
      </w:r>
      <w:r w:rsidR="00E2428C" w:rsidRPr="007C3EB8">
        <w:rPr>
          <w:sz w:val="18"/>
          <w:szCs w:val="18"/>
          <w:lang w:val="tr-TR"/>
        </w:rPr>
        <w:t xml:space="preserve">, parag. 118. Ayrıca bakınız Genel Yorum No. 34, parag. </w:t>
      </w:r>
      <w:r w:rsidR="00A741FD" w:rsidRPr="007C3EB8">
        <w:rPr>
          <w:sz w:val="18"/>
          <w:szCs w:val="18"/>
          <w:lang w:val="tr-TR"/>
        </w:rPr>
        <w:t xml:space="preserve">38 (“Taraf </w:t>
      </w:r>
      <w:r w:rsidR="00265312" w:rsidRPr="007C3EB8">
        <w:rPr>
          <w:sz w:val="18"/>
          <w:szCs w:val="18"/>
          <w:lang w:val="tr-TR"/>
        </w:rPr>
        <w:t xml:space="preserve">Devletler, </w:t>
      </w:r>
      <w:r w:rsidR="00D36B7A" w:rsidRPr="007C3EB8">
        <w:rPr>
          <w:sz w:val="18"/>
          <w:szCs w:val="18"/>
          <w:lang w:val="tr-TR"/>
        </w:rPr>
        <w:t xml:space="preserve">ordu ya da idare gibi kurumların eleştirilmesini yasaklamamalıdır”). </w:t>
      </w:r>
    </w:p>
  </w:footnote>
  <w:footnote w:id="116">
    <w:p w14:paraId="533315C7" w14:textId="62A42351" w:rsidR="004B762C" w:rsidRPr="007C3EB8" w:rsidRDefault="004B762C">
      <w:pPr>
        <w:pStyle w:val="DipnotMetni"/>
        <w:rPr>
          <w:sz w:val="18"/>
          <w:szCs w:val="18"/>
          <w:lang w:val="tr-TR"/>
        </w:rPr>
      </w:pPr>
      <w:r w:rsidRPr="007C3EB8">
        <w:rPr>
          <w:rStyle w:val="DipnotBavurusu"/>
          <w:sz w:val="18"/>
          <w:szCs w:val="18"/>
          <w:lang w:val="tr-TR"/>
        </w:rPr>
        <w:footnoteRef/>
      </w:r>
      <w:r w:rsidRPr="007C3EB8">
        <w:rPr>
          <w:sz w:val="18"/>
          <w:szCs w:val="18"/>
          <w:lang w:val="tr-TR"/>
        </w:rPr>
        <w:t xml:space="preserve"> </w:t>
      </w:r>
      <w:r w:rsidRPr="007C3EB8">
        <w:rPr>
          <w:i/>
          <w:iCs/>
          <w:sz w:val="18"/>
          <w:szCs w:val="18"/>
          <w:lang w:val="tr-TR"/>
        </w:rPr>
        <w:t>Dink – Türkiye davası</w:t>
      </w:r>
      <w:r w:rsidRPr="007C3EB8">
        <w:rPr>
          <w:sz w:val="18"/>
          <w:szCs w:val="18"/>
          <w:lang w:val="tr-TR"/>
        </w:rPr>
        <w:t xml:space="preserve">, parag. 133 </w:t>
      </w:r>
    </w:p>
  </w:footnote>
  <w:footnote w:id="117">
    <w:p w14:paraId="23E8D9F7" w14:textId="5AF78F0E" w:rsidR="00666955" w:rsidRPr="007C3EB8" w:rsidRDefault="00666955">
      <w:pPr>
        <w:pStyle w:val="DipnotMetni"/>
        <w:rPr>
          <w:sz w:val="18"/>
          <w:szCs w:val="18"/>
          <w:lang w:val="tr-TR"/>
        </w:rPr>
      </w:pPr>
      <w:r w:rsidRPr="007C3EB8">
        <w:rPr>
          <w:rStyle w:val="DipnotBavurusu"/>
          <w:sz w:val="18"/>
          <w:szCs w:val="18"/>
          <w:lang w:val="tr-TR"/>
        </w:rPr>
        <w:footnoteRef/>
      </w:r>
      <w:r w:rsidRPr="007C3EB8">
        <w:rPr>
          <w:sz w:val="18"/>
          <w:szCs w:val="18"/>
          <w:lang w:val="tr-TR"/>
        </w:rPr>
        <w:t xml:space="preserve"> </w:t>
      </w:r>
      <w:proofErr w:type="spellStart"/>
      <w:r w:rsidR="0042324C" w:rsidRPr="007C3EB8">
        <w:rPr>
          <w:sz w:val="18"/>
          <w:szCs w:val="18"/>
          <w:lang w:val="tr-TR"/>
        </w:rPr>
        <w:t>a.g.e</w:t>
      </w:r>
      <w:proofErr w:type="spellEnd"/>
      <w:r w:rsidR="0042324C" w:rsidRPr="007C3EB8">
        <w:rPr>
          <w:sz w:val="18"/>
          <w:szCs w:val="18"/>
          <w:lang w:val="tr-TR"/>
        </w:rPr>
        <w:t>., parag. 133.</w:t>
      </w:r>
    </w:p>
  </w:footnote>
  <w:footnote w:id="118">
    <w:p w14:paraId="4928D157" w14:textId="555E1B07" w:rsidR="00F94D71" w:rsidRPr="007C3EB8" w:rsidRDefault="00F94D71">
      <w:pPr>
        <w:pStyle w:val="DipnotMetni"/>
        <w:rPr>
          <w:sz w:val="18"/>
          <w:szCs w:val="18"/>
          <w:lang w:val="tr-TR"/>
        </w:rPr>
      </w:pPr>
      <w:r w:rsidRPr="007C3EB8">
        <w:rPr>
          <w:rStyle w:val="DipnotBavurusu"/>
          <w:sz w:val="18"/>
          <w:szCs w:val="18"/>
          <w:lang w:val="tr-TR"/>
        </w:rPr>
        <w:footnoteRef/>
      </w:r>
      <w:r w:rsidRPr="007C3EB8">
        <w:rPr>
          <w:sz w:val="18"/>
          <w:szCs w:val="18"/>
          <w:lang w:val="tr-TR"/>
        </w:rPr>
        <w:t xml:space="preserve"> E. 2009/25, K. 2009/57.</w:t>
      </w:r>
    </w:p>
  </w:footnote>
  <w:footnote w:id="119">
    <w:p w14:paraId="7A911091" w14:textId="26AE24B2" w:rsidR="00962E6B" w:rsidRPr="007C3EB8" w:rsidRDefault="00962E6B">
      <w:pPr>
        <w:pStyle w:val="DipnotMetni"/>
        <w:rPr>
          <w:sz w:val="18"/>
          <w:szCs w:val="18"/>
          <w:lang w:val="tr-TR"/>
        </w:rPr>
      </w:pPr>
      <w:r w:rsidRPr="007C3EB8">
        <w:rPr>
          <w:rStyle w:val="DipnotBavurusu"/>
          <w:sz w:val="18"/>
          <w:szCs w:val="18"/>
          <w:lang w:val="tr-TR"/>
        </w:rPr>
        <w:footnoteRef/>
      </w:r>
      <w:r w:rsidRPr="007C3EB8">
        <w:rPr>
          <w:sz w:val="18"/>
          <w:szCs w:val="18"/>
          <w:lang w:val="tr-TR"/>
        </w:rPr>
        <w:t xml:space="preserve"> </w:t>
      </w:r>
      <w:r w:rsidRPr="007C3EB8">
        <w:rPr>
          <w:i/>
          <w:iCs/>
          <w:sz w:val="18"/>
          <w:szCs w:val="18"/>
          <w:lang w:val="tr-TR"/>
        </w:rPr>
        <w:t>Taner Akçam – Türkiye davası</w:t>
      </w:r>
      <w:r w:rsidRPr="007C3EB8">
        <w:rPr>
          <w:sz w:val="18"/>
          <w:szCs w:val="18"/>
          <w:lang w:val="tr-TR"/>
        </w:rPr>
        <w:t>, parag. 94.</w:t>
      </w:r>
    </w:p>
  </w:footnote>
  <w:footnote w:id="120">
    <w:p w14:paraId="7735775A" w14:textId="2ABC9350" w:rsidR="008A6004" w:rsidRPr="00682494" w:rsidRDefault="008A6004">
      <w:pPr>
        <w:pStyle w:val="DipnotMetni"/>
        <w:rPr>
          <w:sz w:val="18"/>
          <w:szCs w:val="18"/>
          <w:lang w:val="tr-TR"/>
        </w:rPr>
      </w:pPr>
      <w:r w:rsidRPr="00682494">
        <w:rPr>
          <w:rStyle w:val="DipnotBavurusu"/>
          <w:sz w:val="18"/>
          <w:szCs w:val="18"/>
          <w:lang w:val="tr-TR"/>
        </w:rPr>
        <w:footnoteRef/>
      </w:r>
      <w:r w:rsidRPr="00682494">
        <w:rPr>
          <w:sz w:val="18"/>
          <w:szCs w:val="18"/>
          <w:lang w:val="tr-TR"/>
        </w:rPr>
        <w:t xml:space="preserve"> </w:t>
      </w:r>
      <w:r w:rsidR="00903BD3" w:rsidRPr="00682494">
        <w:rPr>
          <w:sz w:val="18"/>
          <w:szCs w:val="18"/>
          <w:lang w:val="tr-TR"/>
        </w:rPr>
        <w:t>“</w:t>
      </w:r>
      <w:r w:rsidR="00DC5C2B" w:rsidRPr="00682494">
        <w:rPr>
          <w:sz w:val="18"/>
          <w:szCs w:val="18"/>
          <w:lang w:val="tr-TR"/>
        </w:rPr>
        <w:t xml:space="preserve">Usulüne göre yürürlüğe konulmuş Milletlerarası </w:t>
      </w:r>
      <w:proofErr w:type="spellStart"/>
      <w:r w:rsidR="00DC5C2B" w:rsidRPr="00682494">
        <w:rPr>
          <w:sz w:val="18"/>
          <w:szCs w:val="18"/>
          <w:lang w:val="tr-TR"/>
        </w:rPr>
        <w:t>andlaşmalar</w:t>
      </w:r>
      <w:proofErr w:type="spellEnd"/>
      <w:r w:rsidR="00DC5C2B" w:rsidRPr="00682494">
        <w:rPr>
          <w:sz w:val="18"/>
          <w:szCs w:val="18"/>
          <w:lang w:val="tr-TR"/>
        </w:rPr>
        <w:t xml:space="preserve"> kanun hükmündedir. Bunlar hakkında Anayasaya aykırılık iddiası ile Anayasa Mahkemesine başvurulamaz. Usulüne göre yürürlüğe konulmuş temel hak ve özgürlüklere ilişkin milletlerarası </w:t>
      </w:r>
      <w:proofErr w:type="spellStart"/>
      <w:r w:rsidR="00DC5C2B" w:rsidRPr="00682494">
        <w:rPr>
          <w:sz w:val="18"/>
          <w:szCs w:val="18"/>
          <w:lang w:val="tr-TR"/>
        </w:rPr>
        <w:t>andlaşmalarla</w:t>
      </w:r>
      <w:proofErr w:type="spellEnd"/>
      <w:r w:rsidR="00DC5C2B" w:rsidRPr="00682494">
        <w:rPr>
          <w:sz w:val="18"/>
          <w:szCs w:val="18"/>
          <w:lang w:val="tr-TR"/>
        </w:rPr>
        <w:t xml:space="preserve"> kanunların aynı konuda farklı hükümler içermesi nedeniyle çıkabilecek uyuşmazlıklarda milletlerarası </w:t>
      </w:r>
      <w:proofErr w:type="spellStart"/>
      <w:r w:rsidR="00DC5C2B" w:rsidRPr="00682494">
        <w:rPr>
          <w:sz w:val="18"/>
          <w:szCs w:val="18"/>
          <w:lang w:val="tr-TR"/>
        </w:rPr>
        <w:t>andlaşma</w:t>
      </w:r>
      <w:proofErr w:type="spellEnd"/>
      <w:r w:rsidR="00DC5C2B" w:rsidRPr="00682494">
        <w:rPr>
          <w:sz w:val="18"/>
          <w:szCs w:val="18"/>
          <w:lang w:val="tr-TR"/>
        </w:rPr>
        <w:t xml:space="preserve"> hükümleri esas alınır.</w:t>
      </w:r>
      <w:r w:rsidR="00A41D39" w:rsidRPr="00682494">
        <w:rPr>
          <w:sz w:val="18"/>
          <w:szCs w:val="18"/>
          <w:lang w:val="tr-TR"/>
        </w:rPr>
        <w:t>”</w:t>
      </w:r>
    </w:p>
  </w:footnote>
  <w:footnote w:id="121">
    <w:p w14:paraId="57CAFE34" w14:textId="07D51276" w:rsidR="00282D1C" w:rsidRPr="00682494" w:rsidRDefault="00282D1C">
      <w:pPr>
        <w:pStyle w:val="DipnotMetni"/>
        <w:rPr>
          <w:sz w:val="18"/>
          <w:szCs w:val="18"/>
          <w:lang w:val="tr-TR"/>
        </w:rPr>
      </w:pPr>
      <w:r w:rsidRPr="00682494">
        <w:rPr>
          <w:rStyle w:val="DipnotBavurusu"/>
          <w:sz w:val="18"/>
          <w:szCs w:val="18"/>
          <w:lang w:val="tr-TR"/>
        </w:rPr>
        <w:footnoteRef/>
      </w:r>
      <w:r w:rsidRPr="00682494">
        <w:rPr>
          <w:sz w:val="18"/>
          <w:szCs w:val="18"/>
          <w:lang w:val="tr-TR"/>
        </w:rPr>
        <w:t xml:space="preserve"> AİHM</w:t>
      </w:r>
      <w:r w:rsidRPr="00682494">
        <w:rPr>
          <w:i/>
          <w:iCs/>
          <w:sz w:val="18"/>
          <w:szCs w:val="18"/>
          <w:lang w:val="tr-TR"/>
        </w:rPr>
        <w:t>, Dink</w:t>
      </w:r>
      <w:r w:rsidR="0054691A" w:rsidRPr="00682494">
        <w:rPr>
          <w:i/>
          <w:iCs/>
          <w:sz w:val="18"/>
          <w:szCs w:val="18"/>
          <w:lang w:val="tr-TR"/>
        </w:rPr>
        <w:t xml:space="preserve"> – Türkiye davası</w:t>
      </w:r>
      <w:r w:rsidR="0054691A" w:rsidRPr="00682494">
        <w:rPr>
          <w:sz w:val="18"/>
          <w:szCs w:val="18"/>
          <w:lang w:val="tr-TR"/>
        </w:rPr>
        <w:t xml:space="preserve">, </w:t>
      </w:r>
      <w:r w:rsidRPr="00682494">
        <w:rPr>
          <w:sz w:val="18"/>
          <w:szCs w:val="18"/>
          <w:lang w:val="tr-TR"/>
        </w:rPr>
        <w:t>para</w:t>
      </w:r>
      <w:r w:rsidR="0054691A" w:rsidRPr="00682494">
        <w:rPr>
          <w:sz w:val="18"/>
          <w:szCs w:val="18"/>
          <w:lang w:val="tr-TR"/>
        </w:rPr>
        <w:t>g</w:t>
      </w:r>
      <w:r w:rsidRPr="00682494">
        <w:rPr>
          <w:sz w:val="18"/>
          <w:szCs w:val="18"/>
          <w:lang w:val="tr-TR"/>
        </w:rPr>
        <w:t>. 118.</w:t>
      </w:r>
    </w:p>
  </w:footnote>
  <w:footnote w:id="122">
    <w:p w14:paraId="3B5FFBF9" w14:textId="08519B0C" w:rsidR="0076226A" w:rsidRPr="00097675" w:rsidRDefault="0076226A">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9. Ceza Dairesi, E. 2013/9229, K. 2013/13608, 13 Kasım 2013.</w:t>
      </w:r>
    </w:p>
  </w:footnote>
  <w:footnote w:id="123">
    <w:p w14:paraId="322D14C1" w14:textId="44D8BF88" w:rsidR="00C352FA" w:rsidRPr="00097675" w:rsidRDefault="00C352FA">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9. Ceza Dairesi, E. 2013/3018, K. 2013/6315, 24 Nisan 2013.</w:t>
      </w:r>
    </w:p>
  </w:footnote>
  <w:footnote w:id="124">
    <w:p w14:paraId="396D7FF6" w14:textId="571DCC2D" w:rsidR="00F85102" w:rsidRPr="00097675" w:rsidRDefault="00F85102">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9. Ceza Dairesi, E. 2012/4191, K. 2013/3971, 14 Mart 2013.</w:t>
      </w:r>
    </w:p>
  </w:footnote>
  <w:footnote w:id="125">
    <w:p w14:paraId="1EAEF2D3" w14:textId="2AD7F8AB" w:rsidR="00440D01" w:rsidRPr="00097675" w:rsidRDefault="00440D01">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w:t>
      </w:r>
      <w:r w:rsidR="000021EC" w:rsidRPr="00097675">
        <w:rPr>
          <w:sz w:val="18"/>
          <w:szCs w:val="18"/>
          <w:lang w:val="tr-TR"/>
        </w:rPr>
        <w:t>Yargıtay 9. Ceza Dairesi, E. 2010/2839, K. 2012/1406, 6 Şubat 2012.</w:t>
      </w:r>
    </w:p>
  </w:footnote>
  <w:footnote w:id="126">
    <w:p w14:paraId="05B8188C" w14:textId="428E9BE0" w:rsidR="00F86FCD" w:rsidRPr="00097675" w:rsidRDefault="00F86FCD">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9. Ceza Dairesi, E. 2007/11916, K. 2009/1340, 4 Şubat 2009.</w:t>
      </w:r>
    </w:p>
  </w:footnote>
  <w:footnote w:id="127">
    <w:p w14:paraId="30F1668E" w14:textId="015FFBD7" w:rsidR="00AB4B3F" w:rsidRPr="00097675" w:rsidRDefault="00AB4B3F">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9. Ceza Dairesi, E. 2007/5744, K. 2007/5430, 20 Haziran 2007.</w:t>
      </w:r>
    </w:p>
  </w:footnote>
  <w:footnote w:id="128">
    <w:p w14:paraId="7CA7C151" w14:textId="7DC4CC44" w:rsidR="004D7542" w:rsidRPr="00097675" w:rsidRDefault="004D7542">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9. Ceza Dairesi, E. 2008/2010, K. 2009/11270, 11 Kasım 2009.</w:t>
      </w:r>
    </w:p>
  </w:footnote>
  <w:footnote w:id="129">
    <w:p w14:paraId="6DED1E19" w14:textId="732FC1FD" w:rsidR="00F82154" w:rsidRPr="00097675" w:rsidRDefault="00F82154">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9. Ceza Dairesi, E. 2010/16588, K. 2011/1626, 09 Mart 2011.</w:t>
      </w:r>
    </w:p>
  </w:footnote>
  <w:footnote w:id="130">
    <w:p w14:paraId="2B29FAEC" w14:textId="37F4B268" w:rsidR="00FD58E8" w:rsidRPr="00097675" w:rsidRDefault="00FD58E8">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16. Ceza Dairesi, E. 2015/4767, K. 2015/1862, 16 Haziran 2015.</w:t>
      </w:r>
    </w:p>
  </w:footnote>
  <w:footnote w:id="131">
    <w:p w14:paraId="33320613" w14:textId="6655B73F" w:rsidR="00FA6A4F" w:rsidRPr="00097675" w:rsidRDefault="00FA6A4F">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9. Ceza Dairesi, E. 2009/851, K. 2011/1311, 28 Şubat 2011.</w:t>
      </w:r>
    </w:p>
  </w:footnote>
  <w:footnote w:id="132">
    <w:p w14:paraId="6C5A5A18" w14:textId="5C52BDC5" w:rsidR="00FA6A4F" w:rsidRPr="00097675" w:rsidRDefault="00FA6A4F">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9. Ceza Dairesi, E. 2009/12804, K. 2011/2467, 25 Nisan 2011.</w:t>
      </w:r>
    </w:p>
  </w:footnote>
  <w:footnote w:id="133">
    <w:p w14:paraId="7A505C50" w14:textId="4ECD654E" w:rsidR="00896DCF" w:rsidRPr="00097675" w:rsidRDefault="00896DCF">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Bakınız </w:t>
      </w:r>
      <w:r w:rsidR="00D52114" w:rsidRPr="00097675">
        <w:rPr>
          <w:sz w:val="18"/>
          <w:szCs w:val="18"/>
          <w:lang w:val="tr-TR"/>
        </w:rPr>
        <w:t>bir sonraki başlık “</w:t>
      </w:r>
      <w:r w:rsidR="00811D71" w:rsidRPr="00097675">
        <w:rPr>
          <w:sz w:val="18"/>
          <w:szCs w:val="18"/>
          <w:lang w:val="tr-TR"/>
        </w:rPr>
        <w:t xml:space="preserve">314. </w:t>
      </w:r>
      <w:r w:rsidR="00241305" w:rsidRPr="00097675">
        <w:rPr>
          <w:sz w:val="18"/>
          <w:szCs w:val="18"/>
          <w:lang w:val="tr-TR"/>
        </w:rPr>
        <w:t>Madde</w:t>
      </w:r>
      <w:r w:rsidR="00811D71" w:rsidRPr="00097675">
        <w:rPr>
          <w:sz w:val="18"/>
          <w:szCs w:val="18"/>
          <w:lang w:val="tr-TR"/>
        </w:rPr>
        <w:t xml:space="preserve">nin 220. </w:t>
      </w:r>
      <w:r w:rsidR="00241305" w:rsidRPr="00097675">
        <w:rPr>
          <w:sz w:val="18"/>
          <w:szCs w:val="18"/>
          <w:lang w:val="tr-TR"/>
        </w:rPr>
        <w:t>Madde</w:t>
      </w:r>
      <w:r w:rsidR="00811D71" w:rsidRPr="00097675">
        <w:rPr>
          <w:sz w:val="18"/>
          <w:szCs w:val="18"/>
          <w:lang w:val="tr-TR"/>
        </w:rPr>
        <w:t xml:space="preserve"> ile </w:t>
      </w:r>
      <w:r w:rsidR="00917E95">
        <w:rPr>
          <w:sz w:val="18"/>
          <w:szCs w:val="18"/>
          <w:lang w:val="tr-TR"/>
        </w:rPr>
        <w:t>B</w:t>
      </w:r>
      <w:r w:rsidR="00811D71" w:rsidRPr="00097675">
        <w:rPr>
          <w:sz w:val="18"/>
          <w:szCs w:val="18"/>
          <w:lang w:val="tr-TR"/>
        </w:rPr>
        <w:t>irlikte Uygulanması</w:t>
      </w:r>
      <w:r w:rsidR="00D52114" w:rsidRPr="00097675">
        <w:rPr>
          <w:sz w:val="18"/>
          <w:szCs w:val="18"/>
          <w:lang w:val="tr-TR"/>
        </w:rPr>
        <w:t xml:space="preserve">”. </w:t>
      </w:r>
    </w:p>
  </w:footnote>
  <w:footnote w:id="134">
    <w:p w14:paraId="7BB90B8D" w14:textId="152FC5D0" w:rsidR="0047102C" w:rsidRPr="00097675" w:rsidRDefault="0047102C">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9. Ceza Dairesi, E. 2008/9178, K. 2010/3894, 6 Nisan 2010.</w:t>
      </w:r>
    </w:p>
  </w:footnote>
  <w:footnote w:id="135">
    <w:p w14:paraId="6EA85B98" w14:textId="35C9E85E" w:rsidR="00C952DC" w:rsidRPr="00097675" w:rsidRDefault="00C952DC">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9. Ceza Dairesi, E. 2009/11886, K. 2011/2637, 2 Şubat 2011.</w:t>
      </w:r>
    </w:p>
  </w:footnote>
  <w:footnote w:id="136">
    <w:p w14:paraId="70981481" w14:textId="61C3206B" w:rsidR="00B14D2E" w:rsidRPr="00097675" w:rsidRDefault="00B14D2E">
      <w:pPr>
        <w:pStyle w:val="DipnotMetni"/>
        <w:rPr>
          <w:sz w:val="18"/>
          <w:szCs w:val="18"/>
          <w:lang w:val="tr-TR"/>
        </w:rPr>
      </w:pPr>
      <w:r w:rsidRPr="00097675">
        <w:rPr>
          <w:rStyle w:val="DipnotBavurusu"/>
          <w:sz w:val="18"/>
          <w:szCs w:val="18"/>
          <w:lang w:val="tr-TR"/>
        </w:rPr>
        <w:footnoteRef/>
      </w:r>
      <w:r w:rsidRPr="00097675">
        <w:rPr>
          <w:sz w:val="18"/>
          <w:szCs w:val="18"/>
          <w:lang w:val="tr-TR"/>
        </w:rPr>
        <w:t xml:space="preserve"> Yargıtay Ceza Genel Kurulu, E. 2007/9-282, K. 2008/44, 4 Mart 2008.</w:t>
      </w:r>
    </w:p>
  </w:footnote>
  <w:footnote w:id="137">
    <w:p w14:paraId="748B8F9B" w14:textId="08BA67E1" w:rsidR="00912DFB" w:rsidRPr="009D5681" w:rsidRDefault="00912DFB">
      <w:pPr>
        <w:pStyle w:val="DipnotMetni"/>
        <w:rPr>
          <w:sz w:val="18"/>
          <w:szCs w:val="18"/>
          <w:lang w:val="tr-TR"/>
        </w:rPr>
      </w:pPr>
      <w:r w:rsidRPr="009D5681">
        <w:rPr>
          <w:rStyle w:val="DipnotBavurusu"/>
          <w:sz w:val="18"/>
          <w:szCs w:val="18"/>
          <w:lang w:val="tr-TR"/>
        </w:rPr>
        <w:footnoteRef/>
      </w:r>
      <w:r w:rsidRPr="009D5681">
        <w:rPr>
          <w:sz w:val="18"/>
          <w:szCs w:val="18"/>
          <w:lang w:val="tr-TR"/>
        </w:rPr>
        <w:t xml:space="preserve"> </w:t>
      </w:r>
      <w:proofErr w:type="spellStart"/>
      <w:r w:rsidRPr="009D5681">
        <w:rPr>
          <w:sz w:val="18"/>
          <w:szCs w:val="18"/>
          <w:lang w:val="tr-TR"/>
        </w:rPr>
        <w:t>Freedom</w:t>
      </w:r>
      <w:proofErr w:type="spellEnd"/>
      <w:r w:rsidRPr="009D5681">
        <w:rPr>
          <w:sz w:val="18"/>
          <w:szCs w:val="18"/>
          <w:lang w:val="tr-TR"/>
        </w:rPr>
        <w:t xml:space="preserve"> House, Türkiye: Basın </w:t>
      </w:r>
      <w:r w:rsidR="009D5681" w:rsidRPr="009D5681">
        <w:rPr>
          <w:sz w:val="18"/>
          <w:szCs w:val="18"/>
          <w:lang w:val="tr-TR"/>
        </w:rPr>
        <w:t>Özgürlüğünde</w:t>
      </w:r>
      <w:r w:rsidRPr="009D5681">
        <w:rPr>
          <w:sz w:val="18"/>
          <w:szCs w:val="18"/>
          <w:lang w:val="tr-TR"/>
        </w:rPr>
        <w:t xml:space="preserve"> 5 Yıllık Düşü</w:t>
      </w:r>
      <w:r w:rsidR="00533ADE" w:rsidRPr="009D5681">
        <w:rPr>
          <w:sz w:val="18"/>
          <w:szCs w:val="18"/>
          <w:lang w:val="tr-TR"/>
        </w:rPr>
        <w:t>ş, Aralık</w:t>
      </w:r>
      <w:r w:rsidRPr="009D5681">
        <w:rPr>
          <w:sz w:val="18"/>
          <w:szCs w:val="18"/>
          <w:lang w:val="tr-TR"/>
        </w:rPr>
        <w:t xml:space="preserve"> 2015.</w:t>
      </w:r>
    </w:p>
  </w:footnote>
  <w:footnote w:id="138">
    <w:p w14:paraId="00180773" w14:textId="1A46D566" w:rsidR="00703563" w:rsidRPr="009D5681" w:rsidRDefault="00703563" w:rsidP="00703563">
      <w:pPr>
        <w:pStyle w:val="DipnotMetni"/>
        <w:rPr>
          <w:sz w:val="18"/>
          <w:szCs w:val="18"/>
          <w:lang w:val="tr-TR"/>
        </w:rPr>
      </w:pPr>
      <w:r w:rsidRPr="009D5681">
        <w:rPr>
          <w:rStyle w:val="DipnotBavurusu"/>
          <w:sz w:val="18"/>
          <w:szCs w:val="18"/>
          <w:lang w:val="tr-TR"/>
        </w:rPr>
        <w:footnoteRef/>
      </w:r>
      <w:r w:rsidRPr="009D5681">
        <w:rPr>
          <w:sz w:val="18"/>
          <w:szCs w:val="18"/>
          <w:lang w:val="tr-TR"/>
        </w:rPr>
        <w:t xml:space="preserve"> Uluslararası Af Örgütü, </w:t>
      </w:r>
      <w:r w:rsidR="00473437" w:rsidRPr="009D5681">
        <w:rPr>
          <w:sz w:val="18"/>
          <w:szCs w:val="18"/>
          <w:lang w:val="tr-TR"/>
        </w:rPr>
        <w:t>Türkiye: Muhalif Görüşlerin Suç Olmaktan Çıkarılması / İfade Özgürlüğünün Tam Zamanı</w:t>
      </w:r>
      <w:r w:rsidR="003445C3" w:rsidRPr="009D5681">
        <w:rPr>
          <w:sz w:val="18"/>
          <w:szCs w:val="18"/>
          <w:lang w:val="tr-TR"/>
        </w:rPr>
        <w:t>,</w:t>
      </w:r>
      <w:r w:rsidRPr="009D5681">
        <w:rPr>
          <w:sz w:val="18"/>
          <w:szCs w:val="18"/>
          <w:lang w:val="tr-TR"/>
        </w:rPr>
        <w:t xml:space="preserve"> EUR 44/001/2013, 2013, </w:t>
      </w:r>
      <w:r w:rsidR="003445C3" w:rsidRPr="009D5681">
        <w:rPr>
          <w:sz w:val="18"/>
          <w:szCs w:val="18"/>
          <w:lang w:val="tr-TR"/>
        </w:rPr>
        <w:t>s</w:t>
      </w:r>
      <w:r w:rsidRPr="009D5681">
        <w:rPr>
          <w:sz w:val="18"/>
          <w:szCs w:val="18"/>
          <w:lang w:val="tr-TR"/>
        </w:rPr>
        <w:t xml:space="preserve">. 19 </w:t>
      </w:r>
      <w:r w:rsidR="003445C3" w:rsidRPr="009D5681">
        <w:rPr>
          <w:sz w:val="18"/>
          <w:szCs w:val="18"/>
          <w:lang w:val="tr-TR"/>
        </w:rPr>
        <w:t>ve takip eden sayfalar</w:t>
      </w:r>
      <w:r w:rsidRPr="009D5681">
        <w:rPr>
          <w:sz w:val="18"/>
          <w:szCs w:val="18"/>
          <w:lang w:val="tr-TR"/>
        </w:rPr>
        <w:t>.</w:t>
      </w:r>
    </w:p>
  </w:footnote>
  <w:footnote w:id="139">
    <w:p w14:paraId="51590D7B" w14:textId="789CAAC9" w:rsidR="00F775D9" w:rsidRPr="009D5681" w:rsidRDefault="00F775D9">
      <w:pPr>
        <w:pStyle w:val="DipnotMetni"/>
        <w:rPr>
          <w:sz w:val="18"/>
          <w:szCs w:val="18"/>
          <w:lang w:val="tr-TR"/>
        </w:rPr>
      </w:pPr>
      <w:r w:rsidRPr="009D5681">
        <w:rPr>
          <w:rStyle w:val="DipnotBavurusu"/>
          <w:sz w:val="18"/>
          <w:szCs w:val="18"/>
          <w:lang w:val="tr-TR"/>
        </w:rPr>
        <w:footnoteRef/>
      </w:r>
      <w:r w:rsidRPr="009D5681">
        <w:rPr>
          <w:sz w:val="18"/>
          <w:szCs w:val="18"/>
          <w:lang w:val="tr-TR"/>
        </w:rPr>
        <w:t xml:space="preserve"> </w:t>
      </w:r>
      <w:proofErr w:type="spellStart"/>
      <w:r w:rsidRPr="009D5681">
        <w:rPr>
          <w:sz w:val="18"/>
          <w:szCs w:val="18"/>
          <w:lang w:val="tr-TR"/>
        </w:rPr>
        <w:t>a.g.e</w:t>
      </w:r>
      <w:proofErr w:type="spellEnd"/>
      <w:r w:rsidRPr="009D5681">
        <w:rPr>
          <w:sz w:val="18"/>
          <w:szCs w:val="18"/>
          <w:lang w:val="tr-TR"/>
        </w:rPr>
        <w:t>. s. 20.</w:t>
      </w:r>
    </w:p>
  </w:footnote>
  <w:footnote w:id="140">
    <w:p w14:paraId="1008FB8B" w14:textId="4632A95D" w:rsidR="002D36AC" w:rsidRPr="009D5681" w:rsidRDefault="002D36AC" w:rsidP="00D00871">
      <w:pPr>
        <w:pStyle w:val="DipnotMetni"/>
        <w:rPr>
          <w:sz w:val="18"/>
          <w:szCs w:val="18"/>
          <w:lang w:val="tr-TR"/>
        </w:rPr>
      </w:pPr>
      <w:r w:rsidRPr="009D5681">
        <w:rPr>
          <w:rStyle w:val="DipnotBavurusu"/>
          <w:sz w:val="18"/>
          <w:szCs w:val="18"/>
          <w:lang w:val="tr-TR"/>
        </w:rPr>
        <w:footnoteRef/>
      </w:r>
      <w:r w:rsidRPr="009D5681">
        <w:rPr>
          <w:sz w:val="18"/>
          <w:szCs w:val="18"/>
          <w:lang w:val="tr-TR"/>
        </w:rPr>
        <w:t xml:space="preserve"> Şirin – Türkiye davası (ba</w:t>
      </w:r>
      <w:r w:rsidR="006E7C7E" w:rsidRPr="009D5681">
        <w:rPr>
          <w:sz w:val="18"/>
          <w:szCs w:val="18"/>
          <w:lang w:val="tr-TR"/>
        </w:rPr>
        <w:t>ş</w:t>
      </w:r>
      <w:r w:rsidRPr="009D5681">
        <w:rPr>
          <w:sz w:val="18"/>
          <w:szCs w:val="18"/>
          <w:lang w:val="tr-TR"/>
        </w:rPr>
        <w:t xml:space="preserve">vurunun kabul edilebilirliğine ilişkin karar), Başvuru </w:t>
      </w:r>
      <w:proofErr w:type="spellStart"/>
      <w:r w:rsidRPr="009D5681">
        <w:rPr>
          <w:sz w:val="18"/>
          <w:szCs w:val="18"/>
          <w:lang w:val="tr-TR"/>
        </w:rPr>
        <w:t>no</w:t>
      </w:r>
      <w:proofErr w:type="spellEnd"/>
      <w:r w:rsidRPr="009D5681">
        <w:rPr>
          <w:sz w:val="18"/>
          <w:szCs w:val="18"/>
          <w:lang w:val="tr-TR"/>
        </w:rPr>
        <w:t xml:space="preserve">. </w:t>
      </w:r>
      <w:r w:rsidR="0093631A" w:rsidRPr="009D5681">
        <w:rPr>
          <w:sz w:val="18"/>
          <w:szCs w:val="18"/>
          <w:lang w:val="tr-TR"/>
        </w:rPr>
        <w:t xml:space="preserve">47328/99; Kılıç </w:t>
      </w:r>
      <w:r w:rsidR="006E7C7E" w:rsidRPr="009D5681">
        <w:rPr>
          <w:sz w:val="18"/>
          <w:szCs w:val="18"/>
          <w:lang w:val="tr-TR"/>
        </w:rPr>
        <w:t>– Türkiye davası</w:t>
      </w:r>
      <w:r w:rsidR="0093631A" w:rsidRPr="009D5681">
        <w:rPr>
          <w:sz w:val="18"/>
          <w:szCs w:val="18"/>
          <w:lang w:val="tr-TR"/>
        </w:rPr>
        <w:t xml:space="preserve"> (</w:t>
      </w:r>
      <w:r w:rsidR="006E7C7E" w:rsidRPr="009D5681">
        <w:rPr>
          <w:sz w:val="18"/>
          <w:szCs w:val="18"/>
          <w:lang w:val="tr-TR"/>
        </w:rPr>
        <w:t>başvurunun kabul edilebilirliğine ilişkin karar</w:t>
      </w:r>
      <w:r w:rsidR="0093631A" w:rsidRPr="009D5681">
        <w:rPr>
          <w:sz w:val="18"/>
          <w:szCs w:val="18"/>
          <w:lang w:val="tr-TR"/>
        </w:rPr>
        <w:t xml:space="preserve">), Başvuru No. 40498/98; Siz </w:t>
      </w:r>
      <w:r w:rsidR="006E7C7E" w:rsidRPr="009D5681">
        <w:rPr>
          <w:sz w:val="18"/>
          <w:szCs w:val="18"/>
          <w:lang w:val="tr-TR"/>
        </w:rPr>
        <w:t xml:space="preserve">– Türkiye davası </w:t>
      </w:r>
      <w:r w:rsidR="0093631A" w:rsidRPr="009D5681">
        <w:rPr>
          <w:sz w:val="18"/>
          <w:szCs w:val="18"/>
          <w:lang w:val="tr-TR"/>
        </w:rPr>
        <w:t>(</w:t>
      </w:r>
      <w:r w:rsidR="006E7C7E" w:rsidRPr="009D5681">
        <w:rPr>
          <w:sz w:val="18"/>
          <w:szCs w:val="18"/>
          <w:lang w:val="tr-TR"/>
        </w:rPr>
        <w:t>başvurunun kabul edilebilirliğine ilişkin karar</w:t>
      </w:r>
      <w:r w:rsidR="0093631A" w:rsidRPr="009D5681">
        <w:rPr>
          <w:sz w:val="18"/>
          <w:szCs w:val="18"/>
          <w:lang w:val="tr-TR"/>
        </w:rPr>
        <w:t xml:space="preserve">), Başvuru No. 895/02; Turan </w:t>
      </w:r>
      <w:r w:rsidR="006E7C7E" w:rsidRPr="009D5681">
        <w:rPr>
          <w:sz w:val="18"/>
          <w:szCs w:val="18"/>
          <w:lang w:val="tr-TR"/>
        </w:rPr>
        <w:t xml:space="preserve">– Türkiye davası </w:t>
      </w:r>
      <w:r w:rsidR="0093631A" w:rsidRPr="009D5681">
        <w:rPr>
          <w:sz w:val="18"/>
          <w:szCs w:val="18"/>
          <w:lang w:val="tr-TR"/>
        </w:rPr>
        <w:t>(</w:t>
      </w:r>
      <w:r w:rsidR="006E7C7E" w:rsidRPr="009D5681">
        <w:rPr>
          <w:sz w:val="18"/>
          <w:szCs w:val="18"/>
          <w:lang w:val="tr-TR"/>
        </w:rPr>
        <w:t>başvurunun kabul edilebilirliğine ilişkin karar</w:t>
      </w:r>
      <w:r w:rsidR="0093631A" w:rsidRPr="009D5681">
        <w:rPr>
          <w:sz w:val="18"/>
          <w:szCs w:val="18"/>
          <w:lang w:val="tr-TR"/>
        </w:rPr>
        <w:t xml:space="preserve">), Başvuru No. 879/02; Arslan </w:t>
      </w:r>
      <w:r w:rsidR="006E7C7E" w:rsidRPr="009D5681">
        <w:rPr>
          <w:sz w:val="18"/>
          <w:szCs w:val="18"/>
          <w:lang w:val="tr-TR"/>
        </w:rPr>
        <w:t xml:space="preserve">– Türkiye davası </w:t>
      </w:r>
      <w:r w:rsidR="0093631A" w:rsidRPr="009D5681">
        <w:rPr>
          <w:sz w:val="18"/>
          <w:szCs w:val="18"/>
          <w:lang w:val="tr-TR"/>
        </w:rPr>
        <w:t>(</w:t>
      </w:r>
      <w:r w:rsidR="006E7C7E" w:rsidRPr="009D5681">
        <w:rPr>
          <w:sz w:val="18"/>
          <w:szCs w:val="18"/>
          <w:lang w:val="tr-TR"/>
        </w:rPr>
        <w:t>başvurunun kabul edilebilirliğine ilişkin karar</w:t>
      </w:r>
      <w:r w:rsidR="0093631A" w:rsidRPr="009D5681">
        <w:rPr>
          <w:sz w:val="18"/>
          <w:szCs w:val="18"/>
          <w:lang w:val="tr-TR"/>
        </w:rPr>
        <w:t xml:space="preserve">), Başvuru No. 31320/02; Kızılöz </w:t>
      </w:r>
      <w:r w:rsidR="006E7C7E" w:rsidRPr="009D5681">
        <w:rPr>
          <w:sz w:val="18"/>
          <w:szCs w:val="18"/>
          <w:lang w:val="tr-TR"/>
        </w:rPr>
        <w:t xml:space="preserve">– Türkiye davası </w:t>
      </w:r>
      <w:r w:rsidR="0093631A" w:rsidRPr="009D5681">
        <w:rPr>
          <w:sz w:val="18"/>
          <w:szCs w:val="18"/>
          <w:lang w:val="tr-TR"/>
        </w:rPr>
        <w:t>(</w:t>
      </w:r>
      <w:r w:rsidR="006E7C7E" w:rsidRPr="009D5681">
        <w:rPr>
          <w:sz w:val="18"/>
          <w:szCs w:val="18"/>
          <w:lang w:val="tr-TR"/>
        </w:rPr>
        <w:t>başvurunun kabul edilebilirliğine ilişkin karar</w:t>
      </w:r>
      <w:r w:rsidR="0093631A" w:rsidRPr="009D5681">
        <w:rPr>
          <w:sz w:val="18"/>
          <w:szCs w:val="18"/>
          <w:lang w:val="tr-TR"/>
        </w:rPr>
        <w:t>), Başvuru No. 32962/96</w:t>
      </w:r>
      <w:r w:rsidR="00D00871" w:rsidRPr="009D5681">
        <w:rPr>
          <w:sz w:val="18"/>
          <w:szCs w:val="18"/>
          <w:lang w:val="tr-TR"/>
        </w:rPr>
        <w:t>.</w:t>
      </w:r>
    </w:p>
  </w:footnote>
  <w:footnote w:id="141">
    <w:p w14:paraId="13469C58" w14:textId="0805839F" w:rsidR="001E5DD3" w:rsidRPr="009D5681" w:rsidRDefault="001E5DD3">
      <w:pPr>
        <w:pStyle w:val="DipnotMetni"/>
        <w:rPr>
          <w:sz w:val="18"/>
          <w:szCs w:val="18"/>
          <w:lang w:val="tr-TR"/>
        </w:rPr>
      </w:pPr>
      <w:r w:rsidRPr="009D5681">
        <w:rPr>
          <w:rStyle w:val="DipnotBavurusu"/>
          <w:sz w:val="18"/>
          <w:szCs w:val="18"/>
          <w:lang w:val="tr-TR"/>
        </w:rPr>
        <w:footnoteRef/>
      </w:r>
      <w:r w:rsidRPr="009D5681">
        <w:rPr>
          <w:sz w:val="18"/>
          <w:szCs w:val="18"/>
          <w:lang w:val="tr-TR"/>
        </w:rPr>
        <w:t xml:space="preserve"> </w:t>
      </w:r>
      <w:r w:rsidR="00BE6A25" w:rsidRPr="009D5681">
        <w:rPr>
          <w:sz w:val="18"/>
          <w:szCs w:val="18"/>
          <w:lang w:val="tr-TR"/>
        </w:rPr>
        <w:t>Hiç kimse, işlendiği zaman ulusal veya uluslararası hukuka göre suç oluşturmayan bir eylem veya ihmalden dolayı suçlu bulunamaz. Aynı biçimde, suçun işlendiği sırada uygulanabilir olan cezadan daha ağır bir ceza verilemez.</w:t>
      </w:r>
    </w:p>
  </w:footnote>
  <w:footnote w:id="142">
    <w:p w14:paraId="62E20DC2" w14:textId="62BF6FEA" w:rsidR="003536D1" w:rsidRPr="00347125" w:rsidRDefault="003536D1">
      <w:pPr>
        <w:pStyle w:val="DipnotMetni"/>
        <w:rPr>
          <w:sz w:val="18"/>
          <w:szCs w:val="18"/>
          <w:lang w:val="tr-TR"/>
        </w:rPr>
      </w:pPr>
      <w:r w:rsidRPr="00347125">
        <w:rPr>
          <w:rStyle w:val="DipnotBavurusu"/>
          <w:sz w:val="18"/>
          <w:szCs w:val="18"/>
          <w:lang w:val="tr-TR"/>
        </w:rPr>
        <w:footnoteRef/>
      </w:r>
      <w:r w:rsidRPr="00347125">
        <w:rPr>
          <w:sz w:val="18"/>
          <w:szCs w:val="18"/>
          <w:lang w:val="tr-TR"/>
        </w:rPr>
        <w:t xml:space="preserve"> Bakınız, AİHM Başkaya ve Okçuoğlu – Türkiye davası (Başvuru sayıları 23536/94 ve 24408/94), 8 Temmuz 1999, parag. 36. Ayrıca bakınız, ICCPR 14(2). </w:t>
      </w:r>
      <w:r w:rsidR="00241305" w:rsidRPr="00347125">
        <w:rPr>
          <w:sz w:val="18"/>
          <w:szCs w:val="18"/>
          <w:lang w:val="tr-TR"/>
        </w:rPr>
        <w:t>Madde</w:t>
      </w:r>
      <w:r w:rsidRPr="00347125">
        <w:rPr>
          <w:sz w:val="18"/>
          <w:szCs w:val="18"/>
          <w:lang w:val="tr-TR"/>
        </w:rPr>
        <w:t>si (“Bir suçla itham edilen herkes, yasalara göre suçlu olduğu</w:t>
      </w:r>
      <w:r w:rsidRPr="003536D1">
        <w:t xml:space="preserve"> </w:t>
      </w:r>
      <w:r w:rsidRPr="00347125">
        <w:rPr>
          <w:sz w:val="18"/>
          <w:szCs w:val="18"/>
          <w:lang w:val="tr-TR"/>
        </w:rPr>
        <w:t>kesinleşene dek masum kabul edilmek hakkına sahiptir”).</w:t>
      </w:r>
    </w:p>
  </w:footnote>
  <w:footnote w:id="143">
    <w:p w14:paraId="0CBA1776" w14:textId="315F1A54" w:rsidR="00C80275" w:rsidRPr="00347125" w:rsidRDefault="00C80275" w:rsidP="00D8112A">
      <w:pPr>
        <w:pStyle w:val="ListeParagraf"/>
        <w:ind w:left="0"/>
        <w:rPr>
          <w:sz w:val="18"/>
          <w:szCs w:val="18"/>
          <w:lang w:val="tr-TR"/>
        </w:rPr>
      </w:pPr>
      <w:r w:rsidRPr="00347125">
        <w:rPr>
          <w:rStyle w:val="DipnotBavurusu"/>
          <w:sz w:val="18"/>
          <w:szCs w:val="18"/>
          <w:lang w:val="tr-TR"/>
        </w:rPr>
        <w:footnoteRef/>
      </w:r>
      <w:r w:rsidRPr="00347125">
        <w:rPr>
          <w:sz w:val="18"/>
          <w:szCs w:val="18"/>
          <w:lang w:val="tr-TR"/>
        </w:rPr>
        <w:t xml:space="preserve"> Yargıtay Ceza Genel Kurulu, E. 2007/9-282 K. 2008/44.</w:t>
      </w:r>
    </w:p>
  </w:footnote>
  <w:footnote w:id="144">
    <w:p w14:paraId="21B71FE8" w14:textId="3AD96653" w:rsidR="0071639E" w:rsidRPr="00347125" w:rsidRDefault="0071639E" w:rsidP="0071639E">
      <w:pPr>
        <w:pStyle w:val="DipnotMetni"/>
        <w:rPr>
          <w:sz w:val="18"/>
          <w:szCs w:val="18"/>
          <w:lang w:val="tr-TR"/>
        </w:rPr>
      </w:pPr>
      <w:r w:rsidRPr="00347125">
        <w:rPr>
          <w:rStyle w:val="DipnotBavurusu"/>
          <w:sz w:val="18"/>
          <w:szCs w:val="18"/>
          <w:lang w:val="tr-TR"/>
        </w:rPr>
        <w:footnoteRef/>
      </w:r>
      <w:r w:rsidRPr="00347125">
        <w:rPr>
          <w:sz w:val="18"/>
          <w:szCs w:val="18"/>
          <w:lang w:val="tr-TR"/>
        </w:rPr>
        <w:t xml:space="preserve"> Diyarbakır Ağır Ceza Mahkemesi, 31 Mayıs 2007, </w:t>
      </w:r>
      <w:r w:rsidR="00F725E3" w:rsidRPr="00347125">
        <w:rPr>
          <w:sz w:val="18"/>
          <w:szCs w:val="18"/>
          <w:lang w:val="tr-TR"/>
        </w:rPr>
        <w:t>AİHM, bu kararı</w:t>
      </w:r>
      <w:r w:rsidRPr="00347125">
        <w:rPr>
          <w:sz w:val="18"/>
          <w:szCs w:val="18"/>
          <w:lang w:val="tr-TR"/>
        </w:rPr>
        <w:t xml:space="preserve"> alıntı yapmıştır, </w:t>
      </w:r>
      <w:r w:rsidRPr="00347125">
        <w:rPr>
          <w:i/>
          <w:iCs/>
          <w:sz w:val="18"/>
          <w:szCs w:val="18"/>
          <w:lang w:val="tr-TR"/>
        </w:rPr>
        <w:t>Gülcü - Türkiye davası</w:t>
      </w:r>
      <w:r w:rsidRPr="00347125">
        <w:rPr>
          <w:sz w:val="18"/>
          <w:szCs w:val="18"/>
          <w:lang w:val="tr-TR"/>
        </w:rPr>
        <w:t>, Başvuru No. 17526/10, 19 Ocak 2016, parag. 58.</w:t>
      </w:r>
    </w:p>
  </w:footnote>
  <w:footnote w:id="145">
    <w:p w14:paraId="6CE030B4" w14:textId="1F6C39FE" w:rsidR="00D87FFC" w:rsidRPr="00347125" w:rsidRDefault="00D87FFC">
      <w:pPr>
        <w:pStyle w:val="DipnotMetni"/>
        <w:rPr>
          <w:sz w:val="18"/>
          <w:szCs w:val="18"/>
          <w:lang w:val="tr-TR"/>
        </w:rPr>
      </w:pPr>
      <w:r w:rsidRPr="00347125">
        <w:rPr>
          <w:rStyle w:val="DipnotBavurusu"/>
          <w:sz w:val="18"/>
          <w:szCs w:val="18"/>
          <w:lang w:val="tr-TR"/>
        </w:rPr>
        <w:footnoteRef/>
      </w:r>
      <w:r w:rsidRPr="00347125">
        <w:rPr>
          <w:sz w:val="18"/>
          <w:szCs w:val="18"/>
          <w:lang w:val="tr-TR"/>
        </w:rPr>
        <w:t xml:space="preserve"> E. 2011/1012- K. 2011/1879.</w:t>
      </w:r>
    </w:p>
  </w:footnote>
  <w:footnote w:id="146">
    <w:p w14:paraId="592F517B" w14:textId="15A9D7C9" w:rsidR="006F2996" w:rsidRPr="00F77CFF" w:rsidRDefault="006F2996">
      <w:pPr>
        <w:pStyle w:val="DipnotMetni"/>
        <w:rPr>
          <w:sz w:val="18"/>
          <w:szCs w:val="18"/>
          <w:lang w:val="tr-TR"/>
        </w:rPr>
      </w:pPr>
      <w:r w:rsidRPr="00F77CFF">
        <w:rPr>
          <w:rStyle w:val="DipnotBavurusu"/>
          <w:sz w:val="18"/>
          <w:szCs w:val="18"/>
          <w:lang w:val="tr-TR"/>
        </w:rPr>
        <w:footnoteRef/>
      </w:r>
      <w:r w:rsidRPr="00F77CFF">
        <w:rPr>
          <w:sz w:val="18"/>
          <w:szCs w:val="18"/>
          <w:lang w:val="tr-TR"/>
        </w:rPr>
        <w:t xml:space="preserve"> AİHM </w:t>
      </w:r>
      <w:r w:rsidRPr="00F77CFF">
        <w:rPr>
          <w:i/>
          <w:iCs/>
          <w:sz w:val="18"/>
          <w:szCs w:val="18"/>
          <w:lang w:val="tr-TR"/>
        </w:rPr>
        <w:t>Nedim Şener – Türkiye davası</w:t>
      </w:r>
      <w:r w:rsidRPr="00F77CFF">
        <w:rPr>
          <w:sz w:val="18"/>
          <w:szCs w:val="18"/>
          <w:lang w:val="tr-TR"/>
        </w:rPr>
        <w:t xml:space="preserve"> </w:t>
      </w:r>
    </w:p>
  </w:footnote>
  <w:footnote w:id="147">
    <w:p w14:paraId="4779AEB2" w14:textId="104B945C" w:rsidR="00265C46" w:rsidRPr="00F77CFF" w:rsidRDefault="00265C46">
      <w:pPr>
        <w:pStyle w:val="DipnotMetni"/>
        <w:rPr>
          <w:sz w:val="18"/>
          <w:szCs w:val="18"/>
          <w:lang w:val="tr-TR"/>
        </w:rPr>
      </w:pPr>
      <w:r w:rsidRPr="00F77CFF">
        <w:rPr>
          <w:rStyle w:val="DipnotBavurusu"/>
          <w:sz w:val="18"/>
          <w:szCs w:val="18"/>
          <w:lang w:val="tr-TR"/>
        </w:rPr>
        <w:footnoteRef/>
      </w:r>
      <w:r w:rsidRPr="00F77CFF">
        <w:rPr>
          <w:sz w:val="18"/>
          <w:szCs w:val="18"/>
          <w:lang w:val="tr-TR"/>
        </w:rPr>
        <w:t xml:space="preserve"> E. 2010/15798 – K. 2012/7455. </w:t>
      </w:r>
      <w:r w:rsidR="004A38EE" w:rsidRPr="00F77CFF">
        <w:rPr>
          <w:sz w:val="18"/>
          <w:szCs w:val="18"/>
          <w:lang w:val="tr-TR"/>
        </w:rPr>
        <w:t>Bu davanın halen Yargıtay Ceza Genel Kurulunda derdest durumda olduğu anlaşılmaktadır.</w:t>
      </w:r>
    </w:p>
  </w:footnote>
  <w:footnote w:id="148">
    <w:p w14:paraId="7A8DEE2E" w14:textId="1BF56354" w:rsidR="00C45734" w:rsidRPr="00F77CFF" w:rsidRDefault="00C45734">
      <w:pPr>
        <w:pStyle w:val="DipnotMetni"/>
        <w:rPr>
          <w:sz w:val="18"/>
          <w:szCs w:val="18"/>
          <w:lang w:val="tr-TR"/>
        </w:rPr>
      </w:pPr>
      <w:r w:rsidRPr="00F77CFF">
        <w:rPr>
          <w:rStyle w:val="DipnotBavurusu"/>
          <w:sz w:val="18"/>
          <w:szCs w:val="18"/>
          <w:lang w:val="tr-TR"/>
        </w:rPr>
        <w:footnoteRef/>
      </w:r>
      <w:r w:rsidRPr="00F77CFF">
        <w:rPr>
          <w:sz w:val="18"/>
          <w:szCs w:val="18"/>
          <w:lang w:val="tr-TR"/>
        </w:rPr>
        <w:t xml:space="preserve"> </w:t>
      </w:r>
      <w:proofErr w:type="spellStart"/>
      <w:r w:rsidRPr="00F77CFF">
        <w:rPr>
          <w:sz w:val="18"/>
          <w:szCs w:val="18"/>
          <w:lang w:val="tr-TR"/>
        </w:rPr>
        <w:t>CommDH</w:t>
      </w:r>
      <w:proofErr w:type="spellEnd"/>
      <w:r w:rsidRPr="00F77CFF">
        <w:rPr>
          <w:sz w:val="18"/>
          <w:szCs w:val="18"/>
          <w:lang w:val="tr-TR"/>
        </w:rPr>
        <w:t xml:space="preserve">(2012)2, </w:t>
      </w:r>
      <w:r w:rsidR="004D1445" w:rsidRPr="00F77CFF">
        <w:rPr>
          <w:iCs/>
          <w:sz w:val="18"/>
          <w:szCs w:val="18"/>
          <w:lang w:val="tr-TR"/>
        </w:rPr>
        <w:t xml:space="preserve">Avrupa Konseyi İnsan Hakları </w:t>
      </w:r>
      <w:r w:rsidRPr="00F77CFF">
        <w:rPr>
          <w:sz w:val="18"/>
          <w:szCs w:val="18"/>
          <w:lang w:val="tr-TR"/>
        </w:rPr>
        <w:t>Komiserin</w:t>
      </w:r>
      <w:r w:rsidR="004D1445" w:rsidRPr="00F77CFF">
        <w:rPr>
          <w:sz w:val="18"/>
          <w:szCs w:val="18"/>
          <w:lang w:val="tr-TR"/>
        </w:rPr>
        <w:t>in</w:t>
      </w:r>
      <w:r w:rsidRPr="00F77CFF">
        <w:rPr>
          <w:sz w:val="18"/>
          <w:szCs w:val="18"/>
          <w:lang w:val="tr-TR"/>
        </w:rPr>
        <w:t>, 10-14 Ekim 2011 tarihleri arasında gerçekleştir</w:t>
      </w:r>
      <w:r w:rsidR="004D1445" w:rsidRPr="00F77CFF">
        <w:rPr>
          <w:sz w:val="18"/>
          <w:szCs w:val="18"/>
          <w:lang w:val="tr-TR"/>
        </w:rPr>
        <w:t>diği</w:t>
      </w:r>
      <w:r w:rsidRPr="00F77CFF">
        <w:rPr>
          <w:sz w:val="18"/>
          <w:szCs w:val="18"/>
          <w:lang w:val="tr-TR"/>
        </w:rPr>
        <w:t xml:space="preserve"> Türkiye ziyareti sonrasında hazırladığı Rapor.</w:t>
      </w:r>
    </w:p>
  </w:footnote>
  <w:footnote w:id="149">
    <w:p w14:paraId="0B5ECFE7" w14:textId="609E48A0" w:rsidR="00197939" w:rsidRPr="00F77CFF" w:rsidRDefault="00197939">
      <w:pPr>
        <w:pStyle w:val="DipnotMetni"/>
        <w:rPr>
          <w:sz w:val="18"/>
          <w:szCs w:val="18"/>
          <w:lang w:val="tr-TR"/>
        </w:rPr>
      </w:pPr>
      <w:r w:rsidRPr="00F77CFF">
        <w:rPr>
          <w:rStyle w:val="DipnotBavurusu"/>
          <w:sz w:val="18"/>
          <w:szCs w:val="18"/>
          <w:lang w:val="tr-TR"/>
        </w:rPr>
        <w:footnoteRef/>
      </w:r>
      <w:r w:rsidRPr="00F77CFF">
        <w:rPr>
          <w:sz w:val="18"/>
          <w:szCs w:val="18"/>
          <w:lang w:val="tr-TR"/>
        </w:rPr>
        <w:t xml:space="preserve"> Uluslararası Af Örgütü</w:t>
      </w:r>
      <w:r w:rsidR="00C16D2C" w:rsidRPr="00F77CFF">
        <w:rPr>
          <w:sz w:val="18"/>
          <w:szCs w:val="18"/>
          <w:lang w:val="tr-TR"/>
        </w:rPr>
        <w:t xml:space="preserve">nün 27 Mart 2013 tarihli raporu «Türkiye: </w:t>
      </w:r>
      <w:r w:rsidR="00473437" w:rsidRPr="00F77CFF">
        <w:rPr>
          <w:sz w:val="18"/>
          <w:szCs w:val="18"/>
          <w:lang w:val="tr-TR"/>
        </w:rPr>
        <w:t>Muhalif Görüşlerin Suç Olmaktan Çıkarılması / İfade Özgürlüğünün Tam Zamanı»</w:t>
      </w:r>
    </w:p>
  </w:footnote>
  <w:footnote w:id="150">
    <w:p w14:paraId="66B74A68" w14:textId="6495EF85" w:rsidR="002A0CC3" w:rsidRPr="005E212F" w:rsidRDefault="002A0CC3">
      <w:pPr>
        <w:pStyle w:val="DipnotMetni"/>
        <w:rPr>
          <w:sz w:val="18"/>
          <w:szCs w:val="18"/>
          <w:lang w:val="tr-TR"/>
        </w:rPr>
      </w:pPr>
      <w:r w:rsidRPr="005E212F">
        <w:rPr>
          <w:rStyle w:val="DipnotBavurusu"/>
          <w:sz w:val="18"/>
          <w:szCs w:val="18"/>
          <w:lang w:val="tr-TR"/>
        </w:rPr>
        <w:footnoteRef/>
      </w:r>
      <w:r w:rsidRPr="005E212F">
        <w:rPr>
          <w:sz w:val="18"/>
          <w:szCs w:val="18"/>
          <w:lang w:val="tr-TR"/>
        </w:rPr>
        <w:t xml:space="preserve"> AİHM, </w:t>
      </w:r>
      <w:r w:rsidRPr="005E212F">
        <w:rPr>
          <w:i/>
          <w:iCs/>
          <w:sz w:val="18"/>
          <w:szCs w:val="18"/>
          <w:lang w:val="tr-TR"/>
        </w:rPr>
        <w:t>Gülc</w:t>
      </w:r>
      <w:r w:rsidR="00280A31" w:rsidRPr="005E212F">
        <w:rPr>
          <w:i/>
          <w:iCs/>
          <w:sz w:val="18"/>
          <w:szCs w:val="18"/>
          <w:lang w:val="tr-TR"/>
        </w:rPr>
        <w:t>ü</w:t>
      </w:r>
      <w:r w:rsidRPr="005E212F">
        <w:rPr>
          <w:i/>
          <w:iCs/>
          <w:sz w:val="18"/>
          <w:szCs w:val="18"/>
          <w:lang w:val="tr-TR"/>
        </w:rPr>
        <w:t xml:space="preserve"> – Türkiye davası</w:t>
      </w:r>
      <w:r w:rsidRPr="005E212F">
        <w:rPr>
          <w:sz w:val="18"/>
          <w:szCs w:val="18"/>
          <w:lang w:val="tr-TR"/>
        </w:rPr>
        <w:t>, Başvuru No. 17526/10, 19 Ocak 2016 (</w:t>
      </w:r>
      <w:r w:rsidR="00280A31" w:rsidRPr="005E212F">
        <w:rPr>
          <w:sz w:val="18"/>
          <w:szCs w:val="18"/>
          <w:lang w:val="tr-TR"/>
        </w:rPr>
        <w:t xml:space="preserve">dava </w:t>
      </w:r>
      <w:r w:rsidRPr="005E212F">
        <w:rPr>
          <w:sz w:val="18"/>
          <w:szCs w:val="18"/>
          <w:lang w:val="tr-TR"/>
        </w:rPr>
        <w:t>h</w:t>
      </w:r>
      <w:r w:rsidR="00280A31" w:rsidRPr="005E212F">
        <w:rPr>
          <w:sz w:val="18"/>
          <w:szCs w:val="18"/>
          <w:lang w:val="tr-TR"/>
        </w:rPr>
        <w:t>ala sürmektedir</w:t>
      </w:r>
      <w:r w:rsidRPr="005E212F">
        <w:rPr>
          <w:sz w:val="18"/>
          <w:szCs w:val="18"/>
          <w:lang w:val="tr-TR"/>
        </w:rPr>
        <w:t>).</w:t>
      </w:r>
    </w:p>
  </w:footnote>
  <w:footnote w:id="151">
    <w:p w14:paraId="17E787D2" w14:textId="7EA81D65" w:rsidR="00A5514F" w:rsidRPr="005E212F" w:rsidRDefault="00A5514F">
      <w:pPr>
        <w:pStyle w:val="DipnotMetni"/>
        <w:rPr>
          <w:sz w:val="18"/>
          <w:szCs w:val="18"/>
          <w:lang w:val="tr-TR"/>
        </w:rPr>
      </w:pPr>
      <w:r w:rsidRPr="005E212F">
        <w:rPr>
          <w:rStyle w:val="DipnotBavurusu"/>
          <w:sz w:val="18"/>
          <w:szCs w:val="18"/>
          <w:lang w:val="tr-TR"/>
        </w:rPr>
        <w:footnoteRef/>
      </w:r>
      <w:r w:rsidRPr="005E212F">
        <w:rPr>
          <w:sz w:val="18"/>
          <w:szCs w:val="18"/>
          <w:lang w:val="tr-TR"/>
        </w:rPr>
        <w:t xml:space="preserve"> AİHM, </w:t>
      </w:r>
      <w:r w:rsidRPr="005E212F">
        <w:rPr>
          <w:i/>
          <w:iCs/>
          <w:sz w:val="18"/>
          <w:szCs w:val="18"/>
          <w:lang w:val="tr-TR"/>
        </w:rPr>
        <w:t xml:space="preserve">Nedim Şener – Türkiye davası, </w:t>
      </w:r>
      <w:r w:rsidRPr="005E212F">
        <w:rPr>
          <w:sz w:val="18"/>
          <w:szCs w:val="18"/>
          <w:lang w:val="tr-TR"/>
        </w:rPr>
        <w:t>Başvuru No. 38270/11, 8 Temmuz 2014.</w:t>
      </w:r>
    </w:p>
  </w:footnote>
  <w:footnote w:id="152">
    <w:p w14:paraId="4C4A806E" w14:textId="778450FA" w:rsidR="00D8383E" w:rsidRPr="005E212F" w:rsidRDefault="00D8383E">
      <w:pPr>
        <w:pStyle w:val="DipnotMetni"/>
        <w:rPr>
          <w:sz w:val="18"/>
          <w:szCs w:val="18"/>
          <w:lang w:val="tr-TR"/>
        </w:rPr>
      </w:pPr>
      <w:r w:rsidRPr="005E212F">
        <w:rPr>
          <w:rStyle w:val="DipnotBavurusu"/>
          <w:sz w:val="18"/>
          <w:szCs w:val="18"/>
          <w:lang w:val="tr-TR"/>
        </w:rPr>
        <w:footnoteRef/>
      </w:r>
      <w:r w:rsidRPr="005E212F">
        <w:rPr>
          <w:sz w:val="18"/>
          <w:szCs w:val="18"/>
          <w:lang w:val="tr-TR"/>
        </w:rPr>
        <w:t xml:space="preserve"> </w:t>
      </w:r>
      <w:proofErr w:type="spellStart"/>
      <w:r w:rsidRPr="005E212F">
        <w:rPr>
          <w:sz w:val="18"/>
          <w:szCs w:val="18"/>
          <w:lang w:val="tr-TR"/>
        </w:rPr>
        <w:t>a.g.e</w:t>
      </w:r>
      <w:proofErr w:type="spellEnd"/>
      <w:r w:rsidRPr="005E212F">
        <w:rPr>
          <w:sz w:val="18"/>
          <w:szCs w:val="18"/>
          <w:lang w:val="tr-TR"/>
        </w:rPr>
        <w:t>., parag. 123.</w:t>
      </w:r>
    </w:p>
  </w:footnote>
  <w:footnote w:id="153">
    <w:p w14:paraId="20357A11" w14:textId="21A12E5A" w:rsidR="00F258C5" w:rsidRPr="005E212F" w:rsidRDefault="00F258C5">
      <w:pPr>
        <w:pStyle w:val="DipnotMetni"/>
        <w:rPr>
          <w:sz w:val="18"/>
          <w:szCs w:val="18"/>
          <w:lang w:val="tr-TR"/>
        </w:rPr>
      </w:pPr>
      <w:r w:rsidRPr="005E212F">
        <w:rPr>
          <w:rStyle w:val="DipnotBavurusu"/>
          <w:sz w:val="18"/>
          <w:szCs w:val="18"/>
          <w:lang w:val="tr-TR"/>
        </w:rPr>
        <w:footnoteRef/>
      </w:r>
      <w:r w:rsidRPr="005E212F">
        <w:rPr>
          <w:sz w:val="18"/>
          <w:szCs w:val="18"/>
          <w:lang w:val="tr-TR"/>
        </w:rPr>
        <w:t xml:space="preserve"> </w:t>
      </w:r>
      <w:proofErr w:type="spellStart"/>
      <w:r w:rsidRPr="005E212F">
        <w:rPr>
          <w:sz w:val="18"/>
          <w:szCs w:val="18"/>
          <w:lang w:val="tr-TR"/>
        </w:rPr>
        <w:t>a.g.e</w:t>
      </w:r>
      <w:proofErr w:type="spellEnd"/>
      <w:r w:rsidRPr="005E212F">
        <w:rPr>
          <w:sz w:val="18"/>
          <w:szCs w:val="18"/>
          <w:lang w:val="tr-TR"/>
        </w:rPr>
        <w:t>., parag. 102.</w:t>
      </w:r>
    </w:p>
  </w:footnote>
  <w:footnote w:id="154">
    <w:p w14:paraId="5DBE5952" w14:textId="799CE87A" w:rsidR="003F7AF8" w:rsidRPr="005E212F" w:rsidRDefault="003F7AF8">
      <w:pPr>
        <w:pStyle w:val="DipnotMetni"/>
        <w:rPr>
          <w:sz w:val="18"/>
          <w:szCs w:val="18"/>
          <w:lang w:val="tr-TR"/>
        </w:rPr>
      </w:pPr>
      <w:r w:rsidRPr="005E212F">
        <w:rPr>
          <w:rStyle w:val="DipnotBavurusu"/>
          <w:sz w:val="18"/>
          <w:szCs w:val="18"/>
          <w:lang w:val="tr-TR"/>
        </w:rPr>
        <w:footnoteRef/>
      </w:r>
      <w:r w:rsidRPr="005E212F">
        <w:rPr>
          <w:sz w:val="18"/>
          <w:szCs w:val="18"/>
          <w:lang w:val="tr-TR"/>
        </w:rPr>
        <w:t xml:space="preserve"> </w:t>
      </w:r>
      <w:proofErr w:type="spellStart"/>
      <w:r w:rsidRPr="005E212F">
        <w:rPr>
          <w:sz w:val="18"/>
          <w:szCs w:val="18"/>
          <w:lang w:val="tr-TR"/>
        </w:rPr>
        <w:t>a.g.e</w:t>
      </w:r>
      <w:proofErr w:type="spellEnd"/>
      <w:r w:rsidRPr="005E212F">
        <w:rPr>
          <w:sz w:val="18"/>
          <w:szCs w:val="18"/>
          <w:lang w:val="tr-TR"/>
        </w:rPr>
        <w:t>., parag.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971" w14:textId="77777777" w:rsidR="00B74CEA" w:rsidRDefault="0051215C">
    <w:pPr>
      <w:pStyle w:val="GvdeMetni"/>
      <w:spacing w:line="14" w:lineRule="auto"/>
      <w:rPr>
        <w:sz w:val="20"/>
      </w:rPr>
    </w:pPr>
    <w:r>
      <w:rPr>
        <w:noProof/>
      </w:rPr>
      <mc:AlternateContent>
        <mc:Choice Requires="wps">
          <w:drawing>
            <wp:anchor distT="0" distB="0" distL="114300" distR="114300" simplePos="0" relativeHeight="487152128" behindDoc="1" locked="0" layoutInCell="1" allowOverlap="1" wp14:anchorId="1EE8B6FB" wp14:editId="60C07F5E">
              <wp:simplePos x="0" y="0"/>
              <wp:positionH relativeFrom="page">
                <wp:posOffset>888365</wp:posOffset>
              </wp:positionH>
              <wp:positionV relativeFrom="page">
                <wp:posOffset>439420</wp:posOffset>
              </wp:positionV>
              <wp:extent cx="1075690" cy="167005"/>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5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0A1E" w14:textId="77777777" w:rsidR="00B74CEA" w:rsidRDefault="00BE381E">
                          <w:pPr>
                            <w:spacing w:before="12"/>
                            <w:ind w:left="20"/>
                            <w:rPr>
                              <w:sz w:val="20"/>
                            </w:rPr>
                          </w:pPr>
                          <w:r>
                            <w:rPr>
                              <w:sz w:val="20"/>
                            </w:rPr>
                            <w:t>CDL-</w:t>
                          </w:r>
                          <w:proofErr w:type="gramStart"/>
                          <w:r>
                            <w:rPr>
                              <w:sz w:val="20"/>
                            </w:rPr>
                            <w:t>AD(</w:t>
                          </w:r>
                          <w:proofErr w:type="gramEnd"/>
                          <w:r>
                            <w:rPr>
                              <w:sz w:val="20"/>
                            </w:rPr>
                            <w:t>2016)002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8B6FB" id="_x0000_t202" coordsize="21600,21600" o:spt="202" path="m,l,21600r21600,l21600,xe">
              <v:stroke joinstyle="miter"/>
              <v:path gradientshapeok="t" o:connecttype="rect"/>
            </v:shapetype>
            <v:shape id="Text Box 4" o:spid="_x0000_s1026" type="#_x0000_t202" style="position:absolute;margin-left:69.95pt;margin-top:34.6pt;width:84.7pt;height:13.1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" filled="f" stroked="f">
              <v:path arrowok="t"/>
              <v:textbox inset="0,0,0,0">
                <w:txbxContent>
                  <w:p w14:paraId="74070A1E" w14:textId="77777777" w:rsidR="00B74CEA" w:rsidRDefault="00BE381E">
                    <w:pPr>
                      <w:spacing w:before="12"/>
                      <w:ind w:left="20"/>
                      <w:rPr>
                        <w:sz w:val="20"/>
                      </w:rPr>
                    </w:pPr>
                    <w:r>
                      <w:rPr>
                        <w:sz w:val="20"/>
                      </w:rPr>
                      <w:t>CDL-</w:t>
                    </w:r>
                    <w:proofErr w:type="gramStart"/>
                    <w:r>
                      <w:rPr>
                        <w:sz w:val="20"/>
                      </w:rPr>
                      <w:t>AD(</w:t>
                    </w:r>
                    <w:proofErr w:type="gramEnd"/>
                    <w:r>
                      <w:rPr>
                        <w:sz w:val="20"/>
                      </w:rPr>
                      <w:t>2016)002</w:t>
                    </w:r>
                  </w:p>
                </w:txbxContent>
              </v:textbox>
              <w10:wrap anchorx="page" anchory="page"/>
            </v:shape>
          </w:pict>
        </mc:Fallback>
      </mc:AlternateContent>
    </w:r>
    <w:r>
      <w:rPr>
        <w:noProof/>
      </w:rPr>
      <mc:AlternateContent>
        <mc:Choice Requires="wps">
          <w:drawing>
            <wp:anchor distT="0" distB="0" distL="114300" distR="114300" simplePos="0" relativeHeight="487152640" behindDoc="1" locked="0" layoutInCell="1" allowOverlap="1" wp14:anchorId="53E31E3A" wp14:editId="4B0B722F">
              <wp:simplePos x="0" y="0"/>
              <wp:positionH relativeFrom="page">
                <wp:posOffset>3712845</wp:posOffset>
              </wp:positionH>
              <wp:positionV relativeFrom="page">
                <wp:posOffset>439420</wp:posOffset>
              </wp:positionV>
              <wp:extent cx="320675" cy="167005"/>
              <wp:effectExtent l="0" t="0" r="0" b="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6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D35D" w14:textId="77777777" w:rsidR="00B74CEA" w:rsidRDefault="00BE381E">
                          <w:pPr>
                            <w:spacing w:before="12"/>
                            <w:ind w:left="20"/>
                            <w:rPr>
                              <w:sz w:val="20"/>
                            </w:rPr>
                          </w:pPr>
                          <w:r>
                            <w:rPr>
                              <w:sz w:val="20"/>
                            </w:rPr>
                            <w:t xml:space="preserve">- </w:t>
                          </w:r>
                          <w:r>
                            <w:fldChar w:fldCharType="begin"/>
                          </w:r>
                          <w:r>
                            <w:rPr>
                              <w:sz w:val="20"/>
                            </w:rPr>
                            <w:instrText xml:space="preserve"> PAGE </w:instrText>
                          </w:r>
                          <w:r>
                            <w:fldChar w:fldCharType="separate"/>
                          </w:r>
                          <w:r>
                            <w:t>10</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1E3A" id="Text Box 3" o:spid="_x0000_s1027" type="#_x0000_t202" style="position:absolute;margin-left:292.35pt;margin-top:34.6pt;width:25.25pt;height:13.15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" filled="f" stroked="f">
              <v:path arrowok="t"/>
              <v:textbox inset="0,0,0,0">
                <w:txbxContent>
                  <w:p w14:paraId="4B42D35D" w14:textId="77777777" w:rsidR="00B74CEA" w:rsidRDefault="00BE381E">
                    <w:pPr>
                      <w:spacing w:before="12"/>
                      <w:ind w:left="20"/>
                      <w:rPr>
                        <w:sz w:val="20"/>
                      </w:rPr>
                    </w:pPr>
                    <w:r>
                      <w:rPr>
                        <w:sz w:val="20"/>
                      </w:rPr>
                      <w:t xml:space="preserve">- </w:t>
                    </w:r>
                    <w:r>
                      <w:fldChar w:fldCharType="begin"/>
                    </w:r>
                    <w:r>
                      <w:rPr>
                        <w:sz w:val="20"/>
                      </w:rPr>
                      <w:instrText xml:space="preserve"> PAGE </w:instrText>
                    </w:r>
                    <w:r>
                      <w:fldChar w:fldCharType="separate"/>
                    </w:r>
                    <w:r>
                      <w:t>10</w:t>
                    </w:r>
                    <w:r>
                      <w:fldChar w:fldCharType="end"/>
                    </w:r>
                    <w:r>
                      <w:rPr>
                        <w:sz w:val="20"/>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89E4" w14:textId="77777777" w:rsidR="00B74CEA" w:rsidRDefault="0051215C">
    <w:pPr>
      <w:pStyle w:val="GvdeMetni"/>
      <w:spacing w:line="14" w:lineRule="auto"/>
      <w:rPr>
        <w:sz w:val="20"/>
      </w:rPr>
    </w:pPr>
    <w:r>
      <w:rPr>
        <w:noProof/>
      </w:rPr>
      <mc:AlternateContent>
        <mc:Choice Requires="wps">
          <w:drawing>
            <wp:anchor distT="0" distB="0" distL="114300" distR="114300" simplePos="0" relativeHeight="487153152" behindDoc="1" locked="0" layoutInCell="1" allowOverlap="1" wp14:anchorId="11284A1F" wp14:editId="51B040F5">
              <wp:simplePos x="0" y="0"/>
              <wp:positionH relativeFrom="page">
                <wp:posOffset>3729355</wp:posOffset>
              </wp:positionH>
              <wp:positionV relativeFrom="page">
                <wp:posOffset>439420</wp:posOffset>
              </wp:positionV>
              <wp:extent cx="320675" cy="16700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6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364F" w14:textId="77777777" w:rsidR="00B74CEA" w:rsidRDefault="00BE381E">
                          <w:pPr>
                            <w:spacing w:before="12"/>
                            <w:ind w:left="20"/>
                            <w:rPr>
                              <w:sz w:val="20"/>
                            </w:rPr>
                          </w:pPr>
                          <w:r>
                            <w:rPr>
                              <w:sz w:val="20"/>
                            </w:rPr>
                            <w:t xml:space="preserve">- </w:t>
                          </w:r>
                          <w:r>
                            <w:fldChar w:fldCharType="begin"/>
                          </w:r>
                          <w:r>
                            <w:rPr>
                              <w:sz w:val="20"/>
                            </w:rPr>
                            <w:instrText xml:space="preserve"> PAGE </w:instrText>
                          </w:r>
                          <w:r>
                            <w:fldChar w:fldCharType="separate"/>
                          </w:r>
                          <w:r>
                            <w:t>11</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84A1F" id="_x0000_t202" coordsize="21600,21600" o:spt="202" path="m,l,21600r21600,l21600,xe">
              <v:stroke joinstyle="miter"/>
              <v:path gradientshapeok="t" o:connecttype="rect"/>
            </v:shapetype>
            <v:shape id="Text Box 2" o:spid="_x0000_s1028" type="#_x0000_t202" style="position:absolute;margin-left:293.65pt;margin-top:34.6pt;width:25.25pt;height:13.1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" filled="f" stroked="f">
              <v:path arrowok="t"/>
              <v:textbox inset="0,0,0,0">
                <w:txbxContent>
                  <w:p w14:paraId="45A7364F" w14:textId="77777777" w:rsidR="00B74CEA" w:rsidRDefault="00BE381E">
                    <w:pPr>
                      <w:spacing w:before="12"/>
                      <w:ind w:left="20"/>
                      <w:rPr>
                        <w:sz w:val="20"/>
                      </w:rPr>
                    </w:pPr>
                    <w:r>
                      <w:rPr>
                        <w:sz w:val="20"/>
                      </w:rPr>
                      <w:t xml:space="preserve">- </w:t>
                    </w:r>
                    <w:r>
                      <w:fldChar w:fldCharType="begin"/>
                    </w:r>
                    <w:r>
                      <w:rPr>
                        <w:sz w:val="20"/>
                      </w:rPr>
                      <w:instrText xml:space="preserve"> PAGE </w:instrText>
                    </w:r>
                    <w:r>
                      <w:fldChar w:fldCharType="separate"/>
                    </w:r>
                    <w:r>
                      <w:t>11</w:t>
                    </w:r>
                    <w:r>
                      <w:fldChar w:fldCharType="end"/>
                    </w:r>
                    <w:r>
                      <w:rPr>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153664" behindDoc="1" locked="0" layoutInCell="1" allowOverlap="1" wp14:anchorId="71B8CB98" wp14:editId="59678931">
              <wp:simplePos x="0" y="0"/>
              <wp:positionH relativeFrom="page">
                <wp:posOffset>5782310</wp:posOffset>
              </wp:positionH>
              <wp:positionV relativeFrom="page">
                <wp:posOffset>439420</wp:posOffset>
              </wp:positionV>
              <wp:extent cx="1076325" cy="1670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3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F3529" w14:textId="77777777" w:rsidR="00B74CEA" w:rsidRDefault="00BE381E">
                          <w:pPr>
                            <w:spacing w:before="12"/>
                            <w:ind w:left="20"/>
                            <w:rPr>
                              <w:sz w:val="20"/>
                            </w:rPr>
                          </w:pPr>
                          <w:r>
                            <w:rPr>
                              <w:sz w:val="20"/>
                            </w:rPr>
                            <w:t>CDL-</w:t>
                          </w:r>
                          <w:proofErr w:type="gramStart"/>
                          <w:r>
                            <w:rPr>
                              <w:sz w:val="20"/>
                            </w:rPr>
                            <w:t>AD(</w:t>
                          </w:r>
                          <w:proofErr w:type="gramEnd"/>
                          <w:r>
                            <w:rPr>
                              <w:sz w:val="20"/>
                            </w:rPr>
                            <w:t>2016)002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CB98" id="Text Box 1" o:spid="_x0000_s1029" type="#_x0000_t202" style="position:absolute;margin-left:455.3pt;margin-top:34.6pt;width:84.75pt;height:13.1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" filled="f" stroked="f">
              <v:path arrowok="t"/>
              <v:textbox inset="0,0,0,0">
                <w:txbxContent>
                  <w:p w14:paraId="0A6F3529" w14:textId="77777777" w:rsidR="00B74CEA" w:rsidRDefault="00BE381E">
                    <w:pPr>
                      <w:spacing w:before="12"/>
                      <w:ind w:left="20"/>
                      <w:rPr>
                        <w:sz w:val="20"/>
                      </w:rPr>
                    </w:pPr>
                    <w:r>
                      <w:rPr>
                        <w:sz w:val="20"/>
                      </w:rPr>
                      <w:t>CDL-</w:t>
                    </w:r>
                    <w:proofErr w:type="gramStart"/>
                    <w:r>
                      <w:rPr>
                        <w:sz w:val="20"/>
                      </w:rPr>
                      <w:t>AD(</w:t>
                    </w:r>
                    <w:proofErr w:type="gramEnd"/>
                    <w:r>
                      <w:rPr>
                        <w:sz w:val="20"/>
                      </w:rPr>
                      <w:t>2016)002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7D7"/>
    <w:multiLevelType w:val="hybridMultilevel"/>
    <w:tmpl w:val="DE587FF4"/>
    <w:lvl w:ilvl="0" w:tplc="2E4A504E">
      <w:start w:val="1"/>
      <w:numFmt w:val="upperRoman"/>
      <w:lvlText w:val="%1."/>
      <w:lvlJc w:val="left"/>
      <w:pPr>
        <w:ind w:left="765" w:hanging="567"/>
      </w:pPr>
      <w:rPr>
        <w:rFonts w:ascii="Arial" w:eastAsia="Arial" w:hAnsi="Arial" w:cs="Arial" w:hint="default"/>
        <w:b/>
        <w:bCs/>
        <w:spacing w:val="0"/>
        <w:w w:val="100"/>
        <w:sz w:val="22"/>
        <w:szCs w:val="22"/>
        <w:lang w:val="en-US" w:eastAsia="en-US" w:bidi="ar-SA"/>
      </w:rPr>
    </w:lvl>
    <w:lvl w:ilvl="1" w:tplc="1C124B8A">
      <w:start w:val="1"/>
      <w:numFmt w:val="upperLetter"/>
      <w:lvlText w:val="%2."/>
      <w:lvlJc w:val="left"/>
      <w:pPr>
        <w:ind w:left="858" w:hanging="440"/>
      </w:pPr>
      <w:rPr>
        <w:rFonts w:ascii="Arial" w:eastAsia="Arial" w:hAnsi="Arial" w:cs="Arial" w:hint="default"/>
        <w:b/>
        <w:bCs/>
        <w:spacing w:val="-6"/>
        <w:w w:val="100"/>
        <w:sz w:val="22"/>
        <w:szCs w:val="22"/>
        <w:lang w:val="en-US" w:eastAsia="en-US" w:bidi="ar-SA"/>
      </w:rPr>
    </w:lvl>
    <w:lvl w:ilvl="2" w:tplc="4A3C65CA">
      <w:start w:val="1"/>
      <w:numFmt w:val="decimal"/>
      <w:lvlText w:val="%3."/>
      <w:lvlJc w:val="left"/>
      <w:pPr>
        <w:ind w:left="1079" w:hanging="442"/>
      </w:pPr>
      <w:rPr>
        <w:rFonts w:ascii="Arial" w:eastAsia="Arial" w:hAnsi="Arial" w:cs="Arial" w:hint="default"/>
        <w:b/>
        <w:bCs/>
        <w:spacing w:val="-1"/>
        <w:w w:val="100"/>
        <w:sz w:val="22"/>
        <w:szCs w:val="22"/>
        <w:lang w:val="en-US" w:eastAsia="en-US" w:bidi="ar-SA"/>
      </w:rPr>
    </w:lvl>
    <w:lvl w:ilvl="3" w:tplc="5E1E2EDE">
      <w:numFmt w:val="bullet"/>
      <w:lvlText w:val="•"/>
      <w:lvlJc w:val="left"/>
      <w:pPr>
        <w:ind w:left="2128" w:hanging="442"/>
      </w:pPr>
      <w:rPr>
        <w:rFonts w:hint="default"/>
        <w:lang w:val="en-US" w:eastAsia="en-US" w:bidi="ar-SA"/>
      </w:rPr>
    </w:lvl>
    <w:lvl w:ilvl="4" w:tplc="423C7D48">
      <w:numFmt w:val="bullet"/>
      <w:lvlText w:val="•"/>
      <w:lvlJc w:val="left"/>
      <w:pPr>
        <w:ind w:left="3176" w:hanging="442"/>
      </w:pPr>
      <w:rPr>
        <w:rFonts w:hint="default"/>
        <w:lang w:val="en-US" w:eastAsia="en-US" w:bidi="ar-SA"/>
      </w:rPr>
    </w:lvl>
    <w:lvl w:ilvl="5" w:tplc="936AC890">
      <w:numFmt w:val="bullet"/>
      <w:lvlText w:val="•"/>
      <w:lvlJc w:val="left"/>
      <w:pPr>
        <w:ind w:left="4224" w:hanging="442"/>
      </w:pPr>
      <w:rPr>
        <w:rFonts w:hint="default"/>
        <w:lang w:val="en-US" w:eastAsia="en-US" w:bidi="ar-SA"/>
      </w:rPr>
    </w:lvl>
    <w:lvl w:ilvl="6" w:tplc="F8BCD076">
      <w:numFmt w:val="bullet"/>
      <w:lvlText w:val="•"/>
      <w:lvlJc w:val="left"/>
      <w:pPr>
        <w:ind w:left="5273" w:hanging="442"/>
      </w:pPr>
      <w:rPr>
        <w:rFonts w:hint="default"/>
        <w:lang w:val="en-US" w:eastAsia="en-US" w:bidi="ar-SA"/>
      </w:rPr>
    </w:lvl>
    <w:lvl w:ilvl="7" w:tplc="F2B84080">
      <w:numFmt w:val="bullet"/>
      <w:lvlText w:val="•"/>
      <w:lvlJc w:val="left"/>
      <w:pPr>
        <w:ind w:left="6321" w:hanging="442"/>
      </w:pPr>
      <w:rPr>
        <w:rFonts w:hint="default"/>
        <w:lang w:val="en-US" w:eastAsia="en-US" w:bidi="ar-SA"/>
      </w:rPr>
    </w:lvl>
    <w:lvl w:ilvl="8" w:tplc="BC382B56">
      <w:numFmt w:val="bullet"/>
      <w:lvlText w:val="•"/>
      <w:lvlJc w:val="left"/>
      <w:pPr>
        <w:ind w:left="7369" w:hanging="442"/>
      </w:pPr>
      <w:rPr>
        <w:rFonts w:hint="default"/>
        <w:lang w:val="en-US" w:eastAsia="en-US" w:bidi="ar-SA"/>
      </w:rPr>
    </w:lvl>
  </w:abstractNum>
  <w:abstractNum w:abstractNumId="1" w15:restartNumberingAfterBreak="0">
    <w:nsid w:val="1C8D0278"/>
    <w:multiLevelType w:val="hybridMultilevel"/>
    <w:tmpl w:val="BF081286"/>
    <w:lvl w:ilvl="0" w:tplc="EAD22CEA">
      <w:start w:val="80"/>
      <w:numFmt w:val="decimal"/>
      <w:lvlText w:val="%1."/>
      <w:lvlJc w:val="left"/>
      <w:pPr>
        <w:ind w:left="198" w:hanging="456"/>
      </w:pPr>
      <w:rPr>
        <w:rFonts w:ascii="Arial" w:eastAsia="Arial" w:hAnsi="Arial" w:cs="Arial" w:hint="default"/>
        <w:spacing w:val="-1"/>
        <w:w w:val="100"/>
        <w:sz w:val="22"/>
        <w:szCs w:val="22"/>
        <w:lang w:val="en-US" w:eastAsia="en-US" w:bidi="ar-SA"/>
      </w:rPr>
    </w:lvl>
    <w:lvl w:ilvl="1" w:tplc="58808C00">
      <w:start w:val="1"/>
      <w:numFmt w:val="decimal"/>
      <w:lvlText w:val="%2."/>
      <w:lvlJc w:val="left"/>
      <w:pPr>
        <w:ind w:left="1638" w:hanging="732"/>
      </w:pPr>
      <w:rPr>
        <w:rFonts w:ascii="Arial" w:eastAsia="Arial" w:hAnsi="Arial" w:cs="Arial" w:hint="default"/>
        <w:b/>
        <w:bCs/>
        <w:spacing w:val="-1"/>
        <w:w w:val="100"/>
        <w:sz w:val="22"/>
        <w:szCs w:val="22"/>
        <w:lang w:val="en-US" w:eastAsia="en-US" w:bidi="ar-SA"/>
      </w:rPr>
    </w:lvl>
    <w:lvl w:ilvl="2" w:tplc="4D460FBC">
      <w:numFmt w:val="bullet"/>
      <w:lvlText w:val="•"/>
      <w:lvlJc w:val="left"/>
      <w:pPr>
        <w:ind w:left="2509" w:hanging="732"/>
      </w:pPr>
      <w:rPr>
        <w:rFonts w:hint="default"/>
        <w:lang w:val="en-US" w:eastAsia="en-US" w:bidi="ar-SA"/>
      </w:rPr>
    </w:lvl>
    <w:lvl w:ilvl="3" w:tplc="F75AE396">
      <w:numFmt w:val="bullet"/>
      <w:lvlText w:val="•"/>
      <w:lvlJc w:val="left"/>
      <w:pPr>
        <w:ind w:left="3379" w:hanging="732"/>
      </w:pPr>
      <w:rPr>
        <w:rFonts w:hint="default"/>
        <w:lang w:val="en-US" w:eastAsia="en-US" w:bidi="ar-SA"/>
      </w:rPr>
    </w:lvl>
    <w:lvl w:ilvl="4" w:tplc="8A5C5618">
      <w:numFmt w:val="bullet"/>
      <w:lvlText w:val="•"/>
      <w:lvlJc w:val="left"/>
      <w:pPr>
        <w:ind w:left="4248" w:hanging="732"/>
      </w:pPr>
      <w:rPr>
        <w:rFonts w:hint="default"/>
        <w:lang w:val="en-US" w:eastAsia="en-US" w:bidi="ar-SA"/>
      </w:rPr>
    </w:lvl>
    <w:lvl w:ilvl="5" w:tplc="2B56C7FA">
      <w:numFmt w:val="bullet"/>
      <w:lvlText w:val="•"/>
      <w:lvlJc w:val="left"/>
      <w:pPr>
        <w:ind w:left="5118" w:hanging="732"/>
      </w:pPr>
      <w:rPr>
        <w:rFonts w:hint="default"/>
        <w:lang w:val="en-US" w:eastAsia="en-US" w:bidi="ar-SA"/>
      </w:rPr>
    </w:lvl>
    <w:lvl w:ilvl="6" w:tplc="7660DAD2">
      <w:numFmt w:val="bullet"/>
      <w:lvlText w:val="•"/>
      <w:lvlJc w:val="left"/>
      <w:pPr>
        <w:ind w:left="5988" w:hanging="732"/>
      </w:pPr>
      <w:rPr>
        <w:rFonts w:hint="default"/>
        <w:lang w:val="en-US" w:eastAsia="en-US" w:bidi="ar-SA"/>
      </w:rPr>
    </w:lvl>
    <w:lvl w:ilvl="7" w:tplc="42B48418">
      <w:numFmt w:val="bullet"/>
      <w:lvlText w:val="•"/>
      <w:lvlJc w:val="left"/>
      <w:pPr>
        <w:ind w:left="6857" w:hanging="732"/>
      </w:pPr>
      <w:rPr>
        <w:rFonts w:hint="default"/>
        <w:lang w:val="en-US" w:eastAsia="en-US" w:bidi="ar-SA"/>
      </w:rPr>
    </w:lvl>
    <w:lvl w:ilvl="8" w:tplc="24A6542C">
      <w:numFmt w:val="bullet"/>
      <w:lvlText w:val="•"/>
      <w:lvlJc w:val="left"/>
      <w:pPr>
        <w:ind w:left="7727" w:hanging="732"/>
      </w:pPr>
      <w:rPr>
        <w:rFonts w:hint="default"/>
        <w:lang w:val="en-US" w:eastAsia="en-US" w:bidi="ar-SA"/>
      </w:rPr>
    </w:lvl>
  </w:abstractNum>
  <w:abstractNum w:abstractNumId="2" w15:restartNumberingAfterBreak="0">
    <w:nsid w:val="2A0661C1"/>
    <w:multiLevelType w:val="hybridMultilevel"/>
    <w:tmpl w:val="C93C7A20"/>
    <w:lvl w:ilvl="0" w:tplc="B97A1C10">
      <w:start w:val="1"/>
      <w:numFmt w:val="upperRoman"/>
      <w:lvlText w:val="%1."/>
      <w:lvlJc w:val="left"/>
      <w:pPr>
        <w:ind w:left="918" w:hanging="720"/>
      </w:pPr>
      <w:rPr>
        <w:rFonts w:ascii="Arial" w:eastAsia="Arial" w:hAnsi="Arial" w:cs="Arial" w:hint="default"/>
        <w:b/>
        <w:bCs/>
        <w:spacing w:val="0"/>
        <w:w w:val="100"/>
        <w:sz w:val="22"/>
        <w:szCs w:val="22"/>
        <w:lang w:val="en-US" w:eastAsia="en-US" w:bidi="ar-SA"/>
      </w:rPr>
    </w:lvl>
    <w:lvl w:ilvl="1" w:tplc="E648E09A">
      <w:start w:val="1"/>
      <w:numFmt w:val="upperLetter"/>
      <w:lvlText w:val="%2."/>
      <w:lvlJc w:val="left"/>
      <w:pPr>
        <w:ind w:left="1331" w:hanging="425"/>
      </w:pPr>
      <w:rPr>
        <w:rFonts w:ascii="Arial" w:eastAsia="Arial" w:hAnsi="Arial" w:cs="Arial" w:hint="default"/>
        <w:b/>
        <w:bCs/>
        <w:spacing w:val="-6"/>
        <w:w w:val="100"/>
        <w:sz w:val="22"/>
        <w:szCs w:val="22"/>
        <w:lang w:val="en-US" w:eastAsia="en-US" w:bidi="ar-SA"/>
      </w:rPr>
    </w:lvl>
    <w:lvl w:ilvl="2" w:tplc="FBDE28D6">
      <w:numFmt w:val="bullet"/>
      <w:lvlText w:val="•"/>
      <w:lvlJc w:val="left"/>
      <w:pPr>
        <w:ind w:left="1640" w:hanging="425"/>
      </w:pPr>
      <w:rPr>
        <w:rFonts w:hint="default"/>
        <w:lang w:val="en-US" w:eastAsia="en-US" w:bidi="ar-SA"/>
      </w:rPr>
    </w:lvl>
    <w:lvl w:ilvl="3" w:tplc="EEEED4FC">
      <w:numFmt w:val="bullet"/>
      <w:lvlText w:val="•"/>
      <w:lvlJc w:val="left"/>
      <w:pPr>
        <w:ind w:left="2618" w:hanging="425"/>
      </w:pPr>
      <w:rPr>
        <w:rFonts w:hint="default"/>
        <w:lang w:val="en-US" w:eastAsia="en-US" w:bidi="ar-SA"/>
      </w:rPr>
    </w:lvl>
    <w:lvl w:ilvl="4" w:tplc="4CF0E7DC">
      <w:numFmt w:val="bullet"/>
      <w:lvlText w:val="•"/>
      <w:lvlJc w:val="left"/>
      <w:pPr>
        <w:ind w:left="3596" w:hanging="425"/>
      </w:pPr>
      <w:rPr>
        <w:rFonts w:hint="default"/>
        <w:lang w:val="en-US" w:eastAsia="en-US" w:bidi="ar-SA"/>
      </w:rPr>
    </w:lvl>
    <w:lvl w:ilvl="5" w:tplc="7CA65658">
      <w:numFmt w:val="bullet"/>
      <w:lvlText w:val="•"/>
      <w:lvlJc w:val="left"/>
      <w:pPr>
        <w:ind w:left="4574" w:hanging="425"/>
      </w:pPr>
      <w:rPr>
        <w:rFonts w:hint="default"/>
        <w:lang w:val="en-US" w:eastAsia="en-US" w:bidi="ar-SA"/>
      </w:rPr>
    </w:lvl>
    <w:lvl w:ilvl="6" w:tplc="E1A064FE">
      <w:numFmt w:val="bullet"/>
      <w:lvlText w:val="•"/>
      <w:lvlJc w:val="left"/>
      <w:pPr>
        <w:ind w:left="5553" w:hanging="425"/>
      </w:pPr>
      <w:rPr>
        <w:rFonts w:hint="default"/>
        <w:lang w:val="en-US" w:eastAsia="en-US" w:bidi="ar-SA"/>
      </w:rPr>
    </w:lvl>
    <w:lvl w:ilvl="7" w:tplc="F4A04D06">
      <w:numFmt w:val="bullet"/>
      <w:lvlText w:val="•"/>
      <w:lvlJc w:val="left"/>
      <w:pPr>
        <w:ind w:left="6531" w:hanging="425"/>
      </w:pPr>
      <w:rPr>
        <w:rFonts w:hint="default"/>
        <w:lang w:val="en-US" w:eastAsia="en-US" w:bidi="ar-SA"/>
      </w:rPr>
    </w:lvl>
    <w:lvl w:ilvl="8" w:tplc="712634C0">
      <w:numFmt w:val="bullet"/>
      <w:lvlText w:val="•"/>
      <w:lvlJc w:val="left"/>
      <w:pPr>
        <w:ind w:left="7509" w:hanging="425"/>
      </w:pPr>
      <w:rPr>
        <w:rFonts w:hint="default"/>
        <w:lang w:val="en-US" w:eastAsia="en-US" w:bidi="ar-SA"/>
      </w:rPr>
    </w:lvl>
  </w:abstractNum>
  <w:abstractNum w:abstractNumId="3" w15:restartNumberingAfterBreak="0">
    <w:nsid w:val="39BD44A4"/>
    <w:multiLevelType w:val="hybridMultilevel"/>
    <w:tmpl w:val="05E22B4C"/>
    <w:lvl w:ilvl="0" w:tplc="83B89CF8">
      <w:start w:val="109"/>
      <w:numFmt w:val="decimal"/>
      <w:lvlText w:val="%1."/>
      <w:lvlJc w:val="left"/>
      <w:pPr>
        <w:ind w:left="198" w:hanging="559"/>
      </w:pPr>
      <w:rPr>
        <w:rFonts w:ascii="Arial" w:eastAsia="Arial" w:hAnsi="Arial" w:cs="Arial" w:hint="default"/>
        <w:spacing w:val="-1"/>
        <w:w w:val="100"/>
        <w:sz w:val="22"/>
        <w:szCs w:val="22"/>
        <w:lang w:val="en-US" w:eastAsia="en-US" w:bidi="ar-SA"/>
      </w:rPr>
    </w:lvl>
    <w:lvl w:ilvl="1" w:tplc="66401204">
      <w:numFmt w:val="bullet"/>
      <w:lvlText w:val="•"/>
      <w:lvlJc w:val="left"/>
      <w:pPr>
        <w:ind w:left="1126" w:hanging="559"/>
      </w:pPr>
      <w:rPr>
        <w:rFonts w:hint="default"/>
        <w:lang w:val="en-US" w:eastAsia="en-US" w:bidi="ar-SA"/>
      </w:rPr>
    </w:lvl>
    <w:lvl w:ilvl="2" w:tplc="999EC5C8">
      <w:numFmt w:val="bullet"/>
      <w:lvlText w:val="•"/>
      <w:lvlJc w:val="left"/>
      <w:pPr>
        <w:ind w:left="2053" w:hanging="559"/>
      </w:pPr>
      <w:rPr>
        <w:rFonts w:hint="default"/>
        <w:lang w:val="en-US" w:eastAsia="en-US" w:bidi="ar-SA"/>
      </w:rPr>
    </w:lvl>
    <w:lvl w:ilvl="3" w:tplc="2FF8B99C">
      <w:numFmt w:val="bullet"/>
      <w:lvlText w:val="•"/>
      <w:lvlJc w:val="left"/>
      <w:pPr>
        <w:ind w:left="2979" w:hanging="559"/>
      </w:pPr>
      <w:rPr>
        <w:rFonts w:hint="default"/>
        <w:lang w:val="en-US" w:eastAsia="en-US" w:bidi="ar-SA"/>
      </w:rPr>
    </w:lvl>
    <w:lvl w:ilvl="4" w:tplc="1CF2CD9A">
      <w:numFmt w:val="bullet"/>
      <w:lvlText w:val="•"/>
      <w:lvlJc w:val="left"/>
      <w:pPr>
        <w:ind w:left="3906" w:hanging="559"/>
      </w:pPr>
      <w:rPr>
        <w:rFonts w:hint="default"/>
        <w:lang w:val="en-US" w:eastAsia="en-US" w:bidi="ar-SA"/>
      </w:rPr>
    </w:lvl>
    <w:lvl w:ilvl="5" w:tplc="06A2C5BC">
      <w:numFmt w:val="bullet"/>
      <w:lvlText w:val="•"/>
      <w:lvlJc w:val="left"/>
      <w:pPr>
        <w:ind w:left="4833" w:hanging="559"/>
      </w:pPr>
      <w:rPr>
        <w:rFonts w:hint="default"/>
        <w:lang w:val="en-US" w:eastAsia="en-US" w:bidi="ar-SA"/>
      </w:rPr>
    </w:lvl>
    <w:lvl w:ilvl="6" w:tplc="60B46158">
      <w:numFmt w:val="bullet"/>
      <w:lvlText w:val="•"/>
      <w:lvlJc w:val="left"/>
      <w:pPr>
        <w:ind w:left="5759" w:hanging="559"/>
      </w:pPr>
      <w:rPr>
        <w:rFonts w:hint="default"/>
        <w:lang w:val="en-US" w:eastAsia="en-US" w:bidi="ar-SA"/>
      </w:rPr>
    </w:lvl>
    <w:lvl w:ilvl="7" w:tplc="FFF617EA">
      <w:numFmt w:val="bullet"/>
      <w:lvlText w:val="•"/>
      <w:lvlJc w:val="left"/>
      <w:pPr>
        <w:ind w:left="6686" w:hanging="559"/>
      </w:pPr>
      <w:rPr>
        <w:rFonts w:hint="default"/>
        <w:lang w:val="en-US" w:eastAsia="en-US" w:bidi="ar-SA"/>
      </w:rPr>
    </w:lvl>
    <w:lvl w:ilvl="8" w:tplc="EBDCF5B2">
      <w:numFmt w:val="bullet"/>
      <w:lvlText w:val="•"/>
      <w:lvlJc w:val="left"/>
      <w:pPr>
        <w:ind w:left="7613" w:hanging="559"/>
      </w:pPr>
      <w:rPr>
        <w:rFonts w:hint="default"/>
        <w:lang w:val="en-US" w:eastAsia="en-US" w:bidi="ar-SA"/>
      </w:rPr>
    </w:lvl>
  </w:abstractNum>
  <w:abstractNum w:abstractNumId="4" w15:restartNumberingAfterBreak="0">
    <w:nsid w:val="4AFC6D46"/>
    <w:multiLevelType w:val="hybridMultilevel"/>
    <w:tmpl w:val="C7080C7A"/>
    <w:lvl w:ilvl="0" w:tplc="252A0658">
      <w:start w:val="53"/>
      <w:numFmt w:val="decimal"/>
      <w:lvlText w:val="%1."/>
      <w:lvlJc w:val="left"/>
      <w:pPr>
        <w:ind w:left="198" w:hanging="439"/>
      </w:pPr>
      <w:rPr>
        <w:rFonts w:ascii="Arial" w:eastAsia="Arial" w:hAnsi="Arial" w:cs="Arial" w:hint="default"/>
        <w:spacing w:val="-1"/>
        <w:w w:val="100"/>
        <w:sz w:val="22"/>
        <w:szCs w:val="22"/>
        <w:lang w:val="en-US" w:eastAsia="en-US" w:bidi="ar-SA"/>
      </w:rPr>
    </w:lvl>
    <w:lvl w:ilvl="1" w:tplc="C914B324">
      <w:numFmt w:val="bullet"/>
      <w:lvlText w:val="•"/>
      <w:lvlJc w:val="left"/>
      <w:pPr>
        <w:ind w:left="1126" w:hanging="439"/>
      </w:pPr>
      <w:rPr>
        <w:rFonts w:hint="default"/>
        <w:lang w:val="en-US" w:eastAsia="en-US" w:bidi="ar-SA"/>
      </w:rPr>
    </w:lvl>
    <w:lvl w:ilvl="2" w:tplc="E6AA8A9C">
      <w:numFmt w:val="bullet"/>
      <w:lvlText w:val="•"/>
      <w:lvlJc w:val="left"/>
      <w:pPr>
        <w:ind w:left="2053" w:hanging="439"/>
      </w:pPr>
      <w:rPr>
        <w:rFonts w:hint="default"/>
        <w:lang w:val="en-US" w:eastAsia="en-US" w:bidi="ar-SA"/>
      </w:rPr>
    </w:lvl>
    <w:lvl w:ilvl="3" w:tplc="0A327AF2">
      <w:numFmt w:val="bullet"/>
      <w:lvlText w:val="•"/>
      <w:lvlJc w:val="left"/>
      <w:pPr>
        <w:ind w:left="2979" w:hanging="439"/>
      </w:pPr>
      <w:rPr>
        <w:rFonts w:hint="default"/>
        <w:lang w:val="en-US" w:eastAsia="en-US" w:bidi="ar-SA"/>
      </w:rPr>
    </w:lvl>
    <w:lvl w:ilvl="4" w:tplc="3C5C24B6">
      <w:numFmt w:val="bullet"/>
      <w:lvlText w:val="•"/>
      <w:lvlJc w:val="left"/>
      <w:pPr>
        <w:ind w:left="3906" w:hanging="439"/>
      </w:pPr>
      <w:rPr>
        <w:rFonts w:hint="default"/>
        <w:lang w:val="en-US" w:eastAsia="en-US" w:bidi="ar-SA"/>
      </w:rPr>
    </w:lvl>
    <w:lvl w:ilvl="5" w:tplc="B9F0B5A8">
      <w:numFmt w:val="bullet"/>
      <w:lvlText w:val="•"/>
      <w:lvlJc w:val="left"/>
      <w:pPr>
        <w:ind w:left="4833" w:hanging="439"/>
      </w:pPr>
      <w:rPr>
        <w:rFonts w:hint="default"/>
        <w:lang w:val="en-US" w:eastAsia="en-US" w:bidi="ar-SA"/>
      </w:rPr>
    </w:lvl>
    <w:lvl w:ilvl="6" w:tplc="9140D56C">
      <w:numFmt w:val="bullet"/>
      <w:lvlText w:val="•"/>
      <w:lvlJc w:val="left"/>
      <w:pPr>
        <w:ind w:left="5759" w:hanging="439"/>
      </w:pPr>
      <w:rPr>
        <w:rFonts w:hint="default"/>
        <w:lang w:val="en-US" w:eastAsia="en-US" w:bidi="ar-SA"/>
      </w:rPr>
    </w:lvl>
    <w:lvl w:ilvl="7" w:tplc="06983422">
      <w:numFmt w:val="bullet"/>
      <w:lvlText w:val="•"/>
      <w:lvlJc w:val="left"/>
      <w:pPr>
        <w:ind w:left="6686" w:hanging="439"/>
      </w:pPr>
      <w:rPr>
        <w:rFonts w:hint="default"/>
        <w:lang w:val="en-US" w:eastAsia="en-US" w:bidi="ar-SA"/>
      </w:rPr>
    </w:lvl>
    <w:lvl w:ilvl="8" w:tplc="87125FEE">
      <w:numFmt w:val="bullet"/>
      <w:lvlText w:val="•"/>
      <w:lvlJc w:val="left"/>
      <w:pPr>
        <w:ind w:left="7613" w:hanging="439"/>
      </w:pPr>
      <w:rPr>
        <w:rFonts w:hint="default"/>
        <w:lang w:val="en-US" w:eastAsia="en-US" w:bidi="ar-SA"/>
      </w:rPr>
    </w:lvl>
  </w:abstractNum>
  <w:abstractNum w:abstractNumId="5" w15:restartNumberingAfterBreak="0">
    <w:nsid w:val="4EFC659C"/>
    <w:multiLevelType w:val="hybridMultilevel"/>
    <w:tmpl w:val="CBE00AD8"/>
    <w:lvl w:ilvl="0" w:tplc="51F0E3D2">
      <w:start w:val="1"/>
      <w:numFmt w:val="decimal"/>
      <w:lvlText w:val="%1."/>
      <w:lvlJc w:val="left"/>
      <w:pPr>
        <w:ind w:left="198" w:hanging="343"/>
      </w:pPr>
      <w:rPr>
        <w:rFonts w:ascii="Arial" w:eastAsia="Arial" w:hAnsi="Arial" w:cs="Arial" w:hint="default"/>
        <w:spacing w:val="-1"/>
        <w:w w:val="100"/>
        <w:sz w:val="22"/>
        <w:szCs w:val="22"/>
        <w:lang w:val="en-US" w:eastAsia="en-US" w:bidi="ar-SA"/>
      </w:rPr>
    </w:lvl>
    <w:lvl w:ilvl="1" w:tplc="6C209A10">
      <w:start w:val="1"/>
      <w:numFmt w:val="decimal"/>
      <w:lvlText w:val="(%2)"/>
      <w:lvlJc w:val="left"/>
      <w:pPr>
        <w:ind w:left="918" w:hanging="720"/>
      </w:pPr>
      <w:rPr>
        <w:rFonts w:hint="default"/>
        <w:i/>
        <w:w w:val="100"/>
        <w:lang w:val="en-US" w:eastAsia="en-US" w:bidi="ar-SA"/>
      </w:rPr>
    </w:lvl>
    <w:lvl w:ilvl="2" w:tplc="EDBAC1DE">
      <w:numFmt w:val="bullet"/>
      <w:lvlText w:val="•"/>
      <w:lvlJc w:val="left"/>
      <w:pPr>
        <w:ind w:left="920" w:hanging="720"/>
      </w:pPr>
      <w:rPr>
        <w:rFonts w:hint="default"/>
        <w:lang w:val="en-US" w:eastAsia="en-US" w:bidi="ar-SA"/>
      </w:rPr>
    </w:lvl>
    <w:lvl w:ilvl="3" w:tplc="FD02E724">
      <w:numFmt w:val="bullet"/>
      <w:lvlText w:val="•"/>
      <w:lvlJc w:val="left"/>
      <w:pPr>
        <w:ind w:left="1988" w:hanging="720"/>
      </w:pPr>
      <w:rPr>
        <w:rFonts w:hint="default"/>
        <w:lang w:val="en-US" w:eastAsia="en-US" w:bidi="ar-SA"/>
      </w:rPr>
    </w:lvl>
    <w:lvl w:ilvl="4" w:tplc="F672379C">
      <w:numFmt w:val="bullet"/>
      <w:lvlText w:val="•"/>
      <w:lvlJc w:val="left"/>
      <w:pPr>
        <w:ind w:left="3056" w:hanging="720"/>
      </w:pPr>
      <w:rPr>
        <w:rFonts w:hint="default"/>
        <w:lang w:val="en-US" w:eastAsia="en-US" w:bidi="ar-SA"/>
      </w:rPr>
    </w:lvl>
    <w:lvl w:ilvl="5" w:tplc="D40C6402">
      <w:numFmt w:val="bullet"/>
      <w:lvlText w:val="•"/>
      <w:lvlJc w:val="left"/>
      <w:pPr>
        <w:ind w:left="4124" w:hanging="720"/>
      </w:pPr>
      <w:rPr>
        <w:rFonts w:hint="default"/>
        <w:lang w:val="en-US" w:eastAsia="en-US" w:bidi="ar-SA"/>
      </w:rPr>
    </w:lvl>
    <w:lvl w:ilvl="6" w:tplc="1B1EB49C">
      <w:numFmt w:val="bullet"/>
      <w:lvlText w:val="•"/>
      <w:lvlJc w:val="left"/>
      <w:pPr>
        <w:ind w:left="5193" w:hanging="720"/>
      </w:pPr>
      <w:rPr>
        <w:rFonts w:hint="default"/>
        <w:lang w:val="en-US" w:eastAsia="en-US" w:bidi="ar-SA"/>
      </w:rPr>
    </w:lvl>
    <w:lvl w:ilvl="7" w:tplc="61E612F0">
      <w:numFmt w:val="bullet"/>
      <w:lvlText w:val="•"/>
      <w:lvlJc w:val="left"/>
      <w:pPr>
        <w:ind w:left="6261" w:hanging="720"/>
      </w:pPr>
      <w:rPr>
        <w:rFonts w:hint="default"/>
        <w:lang w:val="en-US" w:eastAsia="en-US" w:bidi="ar-SA"/>
      </w:rPr>
    </w:lvl>
    <w:lvl w:ilvl="8" w:tplc="094291DE">
      <w:numFmt w:val="bullet"/>
      <w:lvlText w:val="•"/>
      <w:lvlJc w:val="left"/>
      <w:pPr>
        <w:ind w:left="7329" w:hanging="720"/>
      </w:pPr>
      <w:rPr>
        <w:rFonts w:hint="default"/>
        <w:lang w:val="en-US" w:eastAsia="en-US" w:bidi="ar-SA"/>
      </w:rPr>
    </w:lvl>
  </w:abstractNum>
  <w:num w:numId="1" w16cid:durableId="1972903772">
    <w:abstractNumId w:val="3"/>
  </w:num>
  <w:num w:numId="2" w16cid:durableId="1467577333">
    <w:abstractNumId w:val="1"/>
  </w:num>
  <w:num w:numId="3" w16cid:durableId="1852839840">
    <w:abstractNumId w:val="4"/>
  </w:num>
  <w:num w:numId="4" w16cid:durableId="227807079">
    <w:abstractNumId w:val="5"/>
  </w:num>
  <w:num w:numId="5" w16cid:durableId="1978797905">
    <w:abstractNumId w:val="2"/>
  </w:num>
  <w:num w:numId="6" w16cid:durableId="129474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EA"/>
    <w:rsid w:val="000021EC"/>
    <w:rsid w:val="0000401A"/>
    <w:rsid w:val="0000533C"/>
    <w:rsid w:val="00007AA7"/>
    <w:rsid w:val="00011EC7"/>
    <w:rsid w:val="00012C65"/>
    <w:rsid w:val="0001330E"/>
    <w:rsid w:val="00013957"/>
    <w:rsid w:val="00013E3D"/>
    <w:rsid w:val="000143B8"/>
    <w:rsid w:val="0001442C"/>
    <w:rsid w:val="000144CC"/>
    <w:rsid w:val="00014E6C"/>
    <w:rsid w:val="00020338"/>
    <w:rsid w:val="000208A4"/>
    <w:rsid w:val="00020E1E"/>
    <w:rsid w:val="00022BAC"/>
    <w:rsid w:val="00023423"/>
    <w:rsid w:val="0002438C"/>
    <w:rsid w:val="000250D5"/>
    <w:rsid w:val="00026E78"/>
    <w:rsid w:val="00027D14"/>
    <w:rsid w:val="00027EA2"/>
    <w:rsid w:val="0003114E"/>
    <w:rsid w:val="00032AAF"/>
    <w:rsid w:val="00032E5A"/>
    <w:rsid w:val="00033432"/>
    <w:rsid w:val="00036C5E"/>
    <w:rsid w:val="00036ED4"/>
    <w:rsid w:val="00037C39"/>
    <w:rsid w:val="00037E40"/>
    <w:rsid w:val="00040E03"/>
    <w:rsid w:val="00040F15"/>
    <w:rsid w:val="000415CF"/>
    <w:rsid w:val="00041D54"/>
    <w:rsid w:val="00042594"/>
    <w:rsid w:val="00042C7E"/>
    <w:rsid w:val="000433F5"/>
    <w:rsid w:val="0004468C"/>
    <w:rsid w:val="000469E8"/>
    <w:rsid w:val="000470C4"/>
    <w:rsid w:val="00050180"/>
    <w:rsid w:val="00050308"/>
    <w:rsid w:val="00050657"/>
    <w:rsid w:val="0005188A"/>
    <w:rsid w:val="00052339"/>
    <w:rsid w:val="000536D7"/>
    <w:rsid w:val="00053938"/>
    <w:rsid w:val="00054E81"/>
    <w:rsid w:val="0005529B"/>
    <w:rsid w:val="000560C9"/>
    <w:rsid w:val="0005638E"/>
    <w:rsid w:val="000568D4"/>
    <w:rsid w:val="00056D07"/>
    <w:rsid w:val="000576A8"/>
    <w:rsid w:val="000604B6"/>
    <w:rsid w:val="00061585"/>
    <w:rsid w:val="00061A99"/>
    <w:rsid w:val="0006217E"/>
    <w:rsid w:val="00062D02"/>
    <w:rsid w:val="00062E7E"/>
    <w:rsid w:val="000642E2"/>
    <w:rsid w:val="00064401"/>
    <w:rsid w:val="000655E3"/>
    <w:rsid w:val="0006586B"/>
    <w:rsid w:val="00065A73"/>
    <w:rsid w:val="00071098"/>
    <w:rsid w:val="00072A31"/>
    <w:rsid w:val="00072D80"/>
    <w:rsid w:val="00073226"/>
    <w:rsid w:val="0007542B"/>
    <w:rsid w:val="00075816"/>
    <w:rsid w:val="000764D7"/>
    <w:rsid w:val="00077646"/>
    <w:rsid w:val="00077BC2"/>
    <w:rsid w:val="000811B7"/>
    <w:rsid w:val="000821DE"/>
    <w:rsid w:val="00082285"/>
    <w:rsid w:val="00082A5D"/>
    <w:rsid w:val="00085A2C"/>
    <w:rsid w:val="00086BF6"/>
    <w:rsid w:val="000901DA"/>
    <w:rsid w:val="00092334"/>
    <w:rsid w:val="00093B7F"/>
    <w:rsid w:val="00093D48"/>
    <w:rsid w:val="0009419A"/>
    <w:rsid w:val="00094A6A"/>
    <w:rsid w:val="00094ECC"/>
    <w:rsid w:val="0009522F"/>
    <w:rsid w:val="0009651A"/>
    <w:rsid w:val="0009685D"/>
    <w:rsid w:val="00096E75"/>
    <w:rsid w:val="00097675"/>
    <w:rsid w:val="0009798D"/>
    <w:rsid w:val="000A16FC"/>
    <w:rsid w:val="000A22B2"/>
    <w:rsid w:val="000A2681"/>
    <w:rsid w:val="000A2687"/>
    <w:rsid w:val="000A44EC"/>
    <w:rsid w:val="000A4BDC"/>
    <w:rsid w:val="000A590E"/>
    <w:rsid w:val="000A7711"/>
    <w:rsid w:val="000A7B7A"/>
    <w:rsid w:val="000A7CB0"/>
    <w:rsid w:val="000B06B9"/>
    <w:rsid w:val="000B07B9"/>
    <w:rsid w:val="000B11D0"/>
    <w:rsid w:val="000B1536"/>
    <w:rsid w:val="000B2A48"/>
    <w:rsid w:val="000B3203"/>
    <w:rsid w:val="000B3BEE"/>
    <w:rsid w:val="000B4E72"/>
    <w:rsid w:val="000B59FB"/>
    <w:rsid w:val="000B7758"/>
    <w:rsid w:val="000C20F6"/>
    <w:rsid w:val="000C2829"/>
    <w:rsid w:val="000C28E2"/>
    <w:rsid w:val="000C2CF8"/>
    <w:rsid w:val="000C3538"/>
    <w:rsid w:val="000C354F"/>
    <w:rsid w:val="000C417C"/>
    <w:rsid w:val="000C4294"/>
    <w:rsid w:val="000C5A66"/>
    <w:rsid w:val="000C7588"/>
    <w:rsid w:val="000C7CB8"/>
    <w:rsid w:val="000D008B"/>
    <w:rsid w:val="000D08A0"/>
    <w:rsid w:val="000D1552"/>
    <w:rsid w:val="000D1CA7"/>
    <w:rsid w:val="000D28F6"/>
    <w:rsid w:val="000D332C"/>
    <w:rsid w:val="000D41F6"/>
    <w:rsid w:val="000D450A"/>
    <w:rsid w:val="000D6407"/>
    <w:rsid w:val="000E10BF"/>
    <w:rsid w:val="000E41EA"/>
    <w:rsid w:val="000E4A8B"/>
    <w:rsid w:val="000E4FA7"/>
    <w:rsid w:val="000E6D78"/>
    <w:rsid w:val="000F08B2"/>
    <w:rsid w:val="000F26E4"/>
    <w:rsid w:val="000F33FD"/>
    <w:rsid w:val="000F3F62"/>
    <w:rsid w:val="000F4141"/>
    <w:rsid w:val="000F5AC6"/>
    <w:rsid w:val="000F6D8D"/>
    <w:rsid w:val="000F7701"/>
    <w:rsid w:val="00100003"/>
    <w:rsid w:val="00100893"/>
    <w:rsid w:val="00100F44"/>
    <w:rsid w:val="00101CC1"/>
    <w:rsid w:val="00101D75"/>
    <w:rsid w:val="00102100"/>
    <w:rsid w:val="00102F13"/>
    <w:rsid w:val="001036CD"/>
    <w:rsid w:val="00104873"/>
    <w:rsid w:val="00106E21"/>
    <w:rsid w:val="001074F1"/>
    <w:rsid w:val="0010753C"/>
    <w:rsid w:val="00107598"/>
    <w:rsid w:val="001078E6"/>
    <w:rsid w:val="001105A8"/>
    <w:rsid w:val="001110A9"/>
    <w:rsid w:val="001112BF"/>
    <w:rsid w:val="0011249F"/>
    <w:rsid w:val="00112575"/>
    <w:rsid w:val="00112F0D"/>
    <w:rsid w:val="00113066"/>
    <w:rsid w:val="00113750"/>
    <w:rsid w:val="001154FC"/>
    <w:rsid w:val="00115B49"/>
    <w:rsid w:val="001161CC"/>
    <w:rsid w:val="001167D9"/>
    <w:rsid w:val="0012066A"/>
    <w:rsid w:val="00121309"/>
    <w:rsid w:val="0012139E"/>
    <w:rsid w:val="00121EC2"/>
    <w:rsid w:val="00121F93"/>
    <w:rsid w:val="00123BDB"/>
    <w:rsid w:val="001243D0"/>
    <w:rsid w:val="00124B6E"/>
    <w:rsid w:val="00125958"/>
    <w:rsid w:val="00125AA9"/>
    <w:rsid w:val="00125C71"/>
    <w:rsid w:val="00126140"/>
    <w:rsid w:val="00126832"/>
    <w:rsid w:val="00126F88"/>
    <w:rsid w:val="001301B1"/>
    <w:rsid w:val="001308E6"/>
    <w:rsid w:val="00130AEE"/>
    <w:rsid w:val="001311BC"/>
    <w:rsid w:val="001316EA"/>
    <w:rsid w:val="001317C7"/>
    <w:rsid w:val="00131E3A"/>
    <w:rsid w:val="001324D3"/>
    <w:rsid w:val="00133E6A"/>
    <w:rsid w:val="00135CCE"/>
    <w:rsid w:val="00136684"/>
    <w:rsid w:val="0013751D"/>
    <w:rsid w:val="001375D1"/>
    <w:rsid w:val="001412C8"/>
    <w:rsid w:val="0014196B"/>
    <w:rsid w:val="0014198C"/>
    <w:rsid w:val="00141E98"/>
    <w:rsid w:val="0014215F"/>
    <w:rsid w:val="00142F48"/>
    <w:rsid w:val="00143C8E"/>
    <w:rsid w:val="00145190"/>
    <w:rsid w:val="001470F2"/>
    <w:rsid w:val="00150B0A"/>
    <w:rsid w:val="00150D7D"/>
    <w:rsid w:val="00150D91"/>
    <w:rsid w:val="00151595"/>
    <w:rsid w:val="00152FD6"/>
    <w:rsid w:val="00153F4C"/>
    <w:rsid w:val="001558BA"/>
    <w:rsid w:val="00156308"/>
    <w:rsid w:val="00156AF3"/>
    <w:rsid w:val="00160006"/>
    <w:rsid w:val="00160103"/>
    <w:rsid w:val="00160D3D"/>
    <w:rsid w:val="00161E6E"/>
    <w:rsid w:val="00162883"/>
    <w:rsid w:val="00163A94"/>
    <w:rsid w:val="00163AA2"/>
    <w:rsid w:val="001645E7"/>
    <w:rsid w:val="001645ED"/>
    <w:rsid w:val="00164E8E"/>
    <w:rsid w:val="00165A4B"/>
    <w:rsid w:val="00166013"/>
    <w:rsid w:val="00166540"/>
    <w:rsid w:val="001707BD"/>
    <w:rsid w:val="0017156C"/>
    <w:rsid w:val="00174DF7"/>
    <w:rsid w:val="001750CD"/>
    <w:rsid w:val="001761AD"/>
    <w:rsid w:val="00177556"/>
    <w:rsid w:val="00177F02"/>
    <w:rsid w:val="00180301"/>
    <w:rsid w:val="00180F11"/>
    <w:rsid w:val="001819C8"/>
    <w:rsid w:val="00181DAA"/>
    <w:rsid w:val="00182B91"/>
    <w:rsid w:val="0018448F"/>
    <w:rsid w:val="001846B7"/>
    <w:rsid w:val="00184FB9"/>
    <w:rsid w:val="0018769F"/>
    <w:rsid w:val="00191E22"/>
    <w:rsid w:val="001920B0"/>
    <w:rsid w:val="001927BA"/>
    <w:rsid w:val="00193C35"/>
    <w:rsid w:val="001945EE"/>
    <w:rsid w:val="00194BAE"/>
    <w:rsid w:val="0019510D"/>
    <w:rsid w:val="001956D1"/>
    <w:rsid w:val="001965B7"/>
    <w:rsid w:val="00196DA8"/>
    <w:rsid w:val="001974D4"/>
    <w:rsid w:val="00197529"/>
    <w:rsid w:val="00197939"/>
    <w:rsid w:val="001A13D3"/>
    <w:rsid w:val="001A24BA"/>
    <w:rsid w:val="001A2B53"/>
    <w:rsid w:val="001A2BFB"/>
    <w:rsid w:val="001A2C74"/>
    <w:rsid w:val="001A2D41"/>
    <w:rsid w:val="001A437D"/>
    <w:rsid w:val="001A4EAF"/>
    <w:rsid w:val="001A50D3"/>
    <w:rsid w:val="001A5648"/>
    <w:rsid w:val="001A60BC"/>
    <w:rsid w:val="001A6421"/>
    <w:rsid w:val="001A6AC5"/>
    <w:rsid w:val="001A7E02"/>
    <w:rsid w:val="001B08CB"/>
    <w:rsid w:val="001B0AAA"/>
    <w:rsid w:val="001B0D93"/>
    <w:rsid w:val="001B18CB"/>
    <w:rsid w:val="001B20EF"/>
    <w:rsid w:val="001B238C"/>
    <w:rsid w:val="001B25D8"/>
    <w:rsid w:val="001B2BF3"/>
    <w:rsid w:val="001B42DF"/>
    <w:rsid w:val="001B5B26"/>
    <w:rsid w:val="001B5D0E"/>
    <w:rsid w:val="001B6E5E"/>
    <w:rsid w:val="001C02E4"/>
    <w:rsid w:val="001C055F"/>
    <w:rsid w:val="001C086E"/>
    <w:rsid w:val="001C2A64"/>
    <w:rsid w:val="001C30F3"/>
    <w:rsid w:val="001C3D5C"/>
    <w:rsid w:val="001C40D5"/>
    <w:rsid w:val="001C4E10"/>
    <w:rsid w:val="001C5E4C"/>
    <w:rsid w:val="001C6718"/>
    <w:rsid w:val="001C6C9C"/>
    <w:rsid w:val="001C7304"/>
    <w:rsid w:val="001C79D7"/>
    <w:rsid w:val="001D1B2E"/>
    <w:rsid w:val="001D339A"/>
    <w:rsid w:val="001D3A20"/>
    <w:rsid w:val="001D46F7"/>
    <w:rsid w:val="001E19D4"/>
    <w:rsid w:val="001E2182"/>
    <w:rsid w:val="001E292A"/>
    <w:rsid w:val="001E42E3"/>
    <w:rsid w:val="001E53EB"/>
    <w:rsid w:val="001E5DD3"/>
    <w:rsid w:val="001E603B"/>
    <w:rsid w:val="001E69EC"/>
    <w:rsid w:val="001E6AF1"/>
    <w:rsid w:val="001E6EFA"/>
    <w:rsid w:val="001E718A"/>
    <w:rsid w:val="001E7EB9"/>
    <w:rsid w:val="001F15CB"/>
    <w:rsid w:val="001F20AC"/>
    <w:rsid w:val="001F2147"/>
    <w:rsid w:val="001F25AD"/>
    <w:rsid w:val="001F331C"/>
    <w:rsid w:val="001F3773"/>
    <w:rsid w:val="001F4116"/>
    <w:rsid w:val="001F47FA"/>
    <w:rsid w:val="001F4805"/>
    <w:rsid w:val="001F557A"/>
    <w:rsid w:val="001F57E5"/>
    <w:rsid w:val="001F631D"/>
    <w:rsid w:val="002000D0"/>
    <w:rsid w:val="002006D8"/>
    <w:rsid w:val="00200859"/>
    <w:rsid w:val="00200C67"/>
    <w:rsid w:val="00200D26"/>
    <w:rsid w:val="00200D92"/>
    <w:rsid w:val="002024C6"/>
    <w:rsid w:val="00202E10"/>
    <w:rsid w:val="00204554"/>
    <w:rsid w:val="00204BD2"/>
    <w:rsid w:val="00204C59"/>
    <w:rsid w:val="0020503D"/>
    <w:rsid w:val="00205F67"/>
    <w:rsid w:val="0020630D"/>
    <w:rsid w:val="00206F35"/>
    <w:rsid w:val="00207269"/>
    <w:rsid w:val="002079C5"/>
    <w:rsid w:val="0021129A"/>
    <w:rsid w:val="00211CFE"/>
    <w:rsid w:val="0021290C"/>
    <w:rsid w:val="0021467D"/>
    <w:rsid w:val="0021568B"/>
    <w:rsid w:val="00215AB8"/>
    <w:rsid w:val="0021669F"/>
    <w:rsid w:val="002200AA"/>
    <w:rsid w:val="00220A83"/>
    <w:rsid w:val="00220BF2"/>
    <w:rsid w:val="002211B0"/>
    <w:rsid w:val="002215C3"/>
    <w:rsid w:val="00221A38"/>
    <w:rsid w:val="00221ACC"/>
    <w:rsid w:val="00221DB2"/>
    <w:rsid w:val="00226FBD"/>
    <w:rsid w:val="00227732"/>
    <w:rsid w:val="00230235"/>
    <w:rsid w:val="00232C2D"/>
    <w:rsid w:val="00232FBB"/>
    <w:rsid w:val="00233015"/>
    <w:rsid w:val="00233E09"/>
    <w:rsid w:val="002340A8"/>
    <w:rsid w:val="0023481A"/>
    <w:rsid w:val="00234FC3"/>
    <w:rsid w:val="00235D33"/>
    <w:rsid w:val="00235EB8"/>
    <w:rsid w:val="00236093"/>
    <w:rsid w:val="002361D9"/>
    <w:rsid w:val="0023668F"/>
    <w:rsid w:val="00236B66"/>
    <w:rsid w:val="00237E1C"/>
    <w:rsid w:val="002405BE"/>
    <w:rsid w:val="00240B7E"/>
    <w:rsid w:val="0024120A"/>
    <w:rsid w:val="00241305"/>
    <w:rsid w:val="00242B52"/>
    <w:rsid w:val="00243654"/>
    <w:rsid w:val="00244959"/>
    <w:rsid w:val="00244AC8"/>
    <w:rsid w:val="00244B1E"/>
    <w:rsid w:val="0024515A"/>
    <w:rsid w:val="00245C53"/>
    <w:rsid w:val="00247C1D"/>
    <w:rsid w:val="00250806"/>
    <w:rsid w:val="00250961"/>
    <w:rsid w:val="002511A0"/>
    <w:rsid w:val="002519F5"/>
    <w:rsid w:val="0025393A"/>
    <w:rsid w:val="00253B74"/>
    <w:rsid w:val="00254446"/>
    <w:rsid w:val="00256595"/>
    <w:rsid w:val="0025784C"/>
    <w:rsid w:val="00257B1E"/>
    <w:rsid w:val="00257D84"/>
    <w:rsid w:val="00260F7D"/>
    <w:rsid w:val="00261421"/>
    <w:rsid w:val="00262995"/>
    <w:rsid w:val="00262C0F"/>
    <w:rsid w:val="002632D8"/>
    <w:rsid w:val="002639D5"/>
    <w:rsid w:val="00263D37"/>
    <w:rsid w:val="0026530E"/>
    <w:rsid w:val="00265312"/>
    <w:rsid w:val="00265380"/>
    <w:rsid w:val="00265C37"/>
    <w:rsid w:val="00265C46"/>
    <w:rsid w:val="00265DFA"/>
    <w:rsid w:val="002666C0"/>
    <w:rsid w:val="00267F0C"/>
    <w:rsid w:val="00267FB5"/>
    <w:rsid w:val="002716DE"/>
    <w:rsid w:val="002719BA"/>
    <w:rsid w:val="002726E9"/>
    <w:rsid w:val="0027376C"/>
    <w:rsid w:val="0027392B"/>
    <w:rsid w:val="00273C64"/>
    <w:rsid w:val="00274124"/>
    <w:rsid w:val="0027440F"/>
    <w:rsid w:val="00274637"/>
    <w:rsid w:val="002753C2"/>
    <w:rsid w:val="00275ACA"/>
    <w:rsid w:val="0027654B"/>
    <w:rsid w:val="00277E65"/>
    <w:rsid w:val="00280A31"/>
    <w:rsid w:val="00282D1C"/>
    <w:rsid w:val="00283661"/>
    <w:rsid w:val="00283CBA"/>
    <w:rsid w:val="00284F94"/>
    <w:rsid w:val="002855CB"/>
    <w:rsid w:val="0028611E"/>
    <w:rsid w:val="00286197"/>
    <w:rsid w:val="00287C53"/>
    <w:rsid w:val="002920B1"/>
    <w:rsid w:val="002936DB"/>
    <w:rsid w:val="00293CDC"/>
    <w:rsid w:val="00294ED8"/>
    <w:rsid w:val="00296685"/>
    <w:rsid w:val="00297A7A"/>
    <w:rsid w:val="002A0BEC"/>
    <w:rsid w:val="002A0CB6"/>
    <w:rsid w:val="002A0CC3"/>
    <w:rsid w:val="002A1799"/>
    <w:rsid w:val="002A218D"/>
    <w:rsid w:val="002A28A6"/>
    <w:rsid w:val="002A35D3"/>
    <w:rsid w:val="002A3A75"/>
    <w:rsid w:val="002A5A93"/>
    <w:rsid w:val="002B0BF6"/>
    <w:rsid w:val="002B3CA5"/>
    <w:rsid w:val="002B43FC"/>
    <w:rsid w:val="002B4F9B"/>
    <w:rsid w:val="002B531D"/>
    <w:rsid w:val="002B5A49"/>
    <w:rsid w:val="002B632F"/>
    <w:rsid w:val="002B6C7D"/>
    <w:rsid w:val="002B7155"/>
    <w:rsid w:val="002B78E3"/>
    <w:rsid w:val="002C041C"/>
    <w:rsid w:val="002C0EE2"/>
    <w:rsid w:val="002C1496"/>
    <w:rsid w:val="002C27D6"/>
    <w:rsid w:val="002C3366"/>
    <w:rsid w:val="002C3BAD"/>
    <w:rsid w:val="002C5085"/>
    <w:rsid w:val="002C7CCA"/>
    <w:rsid w:val="002D05F8"/>
    <w:rsid w:val="002D094F"/>
    <w:rsid w:val="002D12C0"/>
    <w:rsid w:val="002D361C"/>
    <w:rsid w:val="002D36AC"/>
    <w:rsid w:val="002D3C62"/>
    <w:rsid w:val="002D41B0"/>
    <w:rsid w:val="002D421E"/>
    <w:rsid w:val="002D4538"/>
    <w:rsid w:val="002D5BC7"/>
    <w:rsid w:val="002E018B"/>
    <w:rsid w:val="002E03AE"/>
    <w:rsid w:val="002E2D95"/>
    <w:rsid w:val="002E3CF0"/>
    <w:rsid w:val="002E4659"/>
    <w:rsid w:val="002E4FE4"/>
    <w:rsid w:val="002E5973"/>
    <w:rsid w:val="002E5A39"/>
    <w:rsid w:val="002E60CD"/>
    <w:rsid w:val="002E730C"/>
    <w:rsid w:val="002E781E"/>
    <w:rsid w:val="002F057B"/>
    <w:rsid w:val="002F075B"/>
    <w:rsid w:val="002F21B7"/>
    <w:rsid w:val="002F29CF"/>
    <w:rsid w:val="002F38A9"/>
    <w:rsid w:val="002F3BCA"/>
    <w:rsid w:val="002F3ED6"/>
    <w:rsid w:val="002F4554"/>
    <w:rsid w:val="002F7080"/>
    <w:rsid w:val="002F7362"/>
    <w:rsid w:val="00301278"/>
    <w:rsid w:val="00302CEC"/>
    <w:rsid w:val="00304937"/>
    <w:rsid w:val="003051BB"/>
    <w:rsid w:val="00305883"/>
    <w:rsid w:val="00305DD7"/>
    <w:rsid w:val="003066D1"/>
    <w:rsid w:val="00310CA9"/>
    <w:rsid w:val="003111D2"/>
    <w:rsid w:val="0031168C"/>
    <w:rsid w:val="00313E78"/>
    <w:rsid w:val="0031404B"/>
    <w:rsid w:val="00314FDE"/>
    <w:rsid w:val="00315D14"/>
    <w:rsid w:val="00316BB3"/>
    <w:rsid w:val="0032005C"/>
    <w:rsid w:val="00320219"/>
    <w:rsid w:val="00324446"/>
    <w:rsid w:val="0032457E"/>
    <w:rsid w:val="0032563B"/>
    <w:rsid w:val="003259F6"/>
    <w:rsid w:val="00326DC2"/>
    <w:rsid w:val="0033021D"/>
    <w:rsid w:val="003307E2"/>
    <w:rsid w:val="00331B51"/>
    <w:rsid w:val="00331BAB"/>
    <w:rsid w:val="003320DB"/>
    <w:rsid w:val="003333C6"/>
    <w:rsid w:val="00333B19"/>
    <w:rsid w:val="00333F4E"/>
    <w:rsid w:val="003346C5"/>
    <w:rsid w:val="003361DC"/>
    <w:rsid w:val="0033698C"/>
    <w:rsid w:val="003376D0"/>
    <w:rsid w:val="00337C26"/>
    <w:rsid w:val="003402D5"/>
    <w:rsid w:val="00340ACC"/>
    <w:rsid w:val="00342DD9"/>
    <w:rsid w:val="003445C3"/>
    <w:rsid w:val="0034665F"/>
    <w:rsid w:val="00346D1A"/>
    <w:rsid w:val="00347125"/>
    <w:rsid w:val="0035007D"/>
    <w:rsid w:val="00350FF1"/>
    <w:rsid w:val="00350FF7"/>
    <w:rsid w:val="00352367"/>
    <w:rsid w:val="003523F6"/>
    <w:rsid w:val="003530B8"/>
    <w:rsid w:val="003536D1"/>
    <w:rsid w:val="00354041"/>
    <w:rsid w:val="00354330"/>
    <w:rsid w:val="00354665"/>
    <w:rsid w:val="00355862"/>
    <w:rsid w:val="00356113"/>
    <w:rsid w:val="00356C32"/>
    <w:rsid w:val="003578AB"/>
    <w:rsid w:val="00357B24"/>
    <w:rsid w:val="00360474"/>
    <w:rsid w:val="00360699"/>
    <w:rsid w:val="00360AC3"/>
    <w:rsid w:val="0036380D"/>
    <w:rsid w:val="003640C7"/>
    <w:rsid w:val="0036428D"/>
    <w:rsid w:val="0036627A"/>
    <w:rsid w:val="00366EBA"/>
    <w:rsid w:val="003672FF"/>
    <w:rsid w:val="00370365"/>
    <w:rsid w:val="003708AB"/>
    <w:rsid w:val="003713F7"/>
    <w:rsid w:val="00371429"/>
    <w:rsid w:val="00371545"/>
    <w:rsid w:val="003724AE"/>
    <w:rsid w:val="00373922"/>
    <w:rsid w:val="00373FC7"/>
    <w:rsid w:val="003740F0"/>
    <w:rsid w:val="0037454C"/>
    <w:rsid w:val="00374884"/>
    <w:rsid w:val="00374D28"/>
    <w:rsid w:val="00375C8B"/>
    <w:rsid w:val="00375F08"/>
    <w:rsid w:val="00376242"/>
    <w:rsid w:val="003801C8"/>
    <w:rsid w:val="003806EB"/>
    <w:rsid w:val="00382936"/>
    <w:rsid w:val="003842F8"/>
    <w:rsid w:val="00384321"/>
    <w:rsid w:val="003858A7"/>
    <w:rsid w:val="003864F9"/>
    <w:rsid w:val="00386D55"/>
    <w:rsid w:val="00387639"/>
    <w:rsid w:val="00390793"/>
    <w:rsid w:val="0039099C"/>
    <w:rsid w:val="003914FC"/>
    <w:rsid w:val="003917D0"/>
    <w:rsid w:val="003920A9"/>
    <w:rsid w:val="003935E4"/>
    <w:rsid w:val="00393BF1"/>
    <w:rsid w:val="00394307"/>
    <w:rsid w:val="003947CE"/>
    <w:rsid w:val="00395111"/>
    <w:rsid w:val="00395386"/>
    <w:rsid w:val="0039617A"/>
    <w:rsid w:val="0039702E"/>
    <w:rsid w:val="003971DE"/>
    <w:rsid w:val="003A0B46"/>
    <w:rsid w:val="003A1D58"/>
    <w:rsid w:val="003A247A"/>
    <w:rsid w:val="003A2892"/>
    <w:rsid w:val="003A2AF3"/>
    <w:rsid w:val="003A2B44"/>
    <w:rsid w:val="003A37B8"/>
    <w:rsid w:val="003A57DD"/>
    <w:rsid w:val="003A63FD"/>
    <w:rsid w:val="003A6FA8"/>
    <w:rsid w:val="003A71E5"/>
    <w:rsid w:val="003B0717"/>
    <w:rsid w:val="003B0BAB"/>
    <w:rsid w:val="003B5300"/>
    <w:rsid w:val="003B55AE"/>
    <w:rsid w:val="003B5E29"/>
    <w:rsid w:val="003B744F"/>
    <w:rsid w:val="003B7630"/>
    <w:rsid w:val="003C0FFF"/>
    <w:rsid w:val="003C174F"/>
    <w:rsid w:val="003C214A"/>
    <w:rsid w:val="003C227A"/>
    <w:rsid w:val="003C6204"/>
    <w:rsid w:val="003C7B02"/>
    <w:rsid w:val="003C7BF3"/>
    <w:rsid w:val="003C7C29"/>
    <w:rsid w:val="003D0692"/>
    <w:rsid w:val="003D0825"/>
    <w:rsid w:val="003D29E5"/>
    <w:rsid w:val="003D41CC"/>
    <w:rsid w:val="003D42A6"/>
    <w:rsid w:val="003D4BC2"/>
    <w:rsid w:val="003D5447"/>
    <w:rsid w:val="003D5D28"/>
    <w:rsid w:val="003D6F33"/>
    <w:rsid w:val="003D7245"/>
    <w:rsid w:val="003D7840"/>
    <w:rsid w:val="003E006B"/>
    <w:rsid w:val="003E03A7"/>
    <w:rsid w:val="003E1D5C"/>
    <w:rsid w:val="003E1D96"/>
    <w:rsid w:val="003E1E5B"/>
    <w:rsid w:val="003E5093"/>
    <w:rsid w:val="003E5679"/>
    <w:rsid w:val="003E68A2"/>
    <w:rsid w:val="003E6E3F"/>
    <w:rsid w:val="003F0EF4"/>
    <w:rsid w:val="003F10F1"/>
    <w:rsid w:val="003F134E"/>
    <w:rsid w:val="003F47AB"/>
    <w:rsid w:val="003F4B87"/>
    <w:rsid w:val="003F6700"/>
    <w:rsid w:val="003F7AF8"/>
    <w:rsid w:val="00400B7C"/>
    <w:rsid w:val="00401FFA"/>
    <w:rsid w:val="00402664"/>
    <w:rsid w:val="0040272B"/>
    <w:rsid w:val="00402CF5"/>
    <w:rsid w:val="004030CB"/>
    <w:rsid w:val="00404155"/>
    <w:rsid w:val="004067FC"/>
    <w:rsid w:val="00407393"/>
    <w:rsid w:val="0040752C"/>
    <w:rsid w:val="00411B82"/>
    <w:rsid w:val="004129F7"/>
    <w:rsid w:val="0041555A"/>
    <w:rsid w:val="00415C89"/>
    <w:rsid w:val="00416954"/>
    <w:rsid w:val="004172C1"/>
    <w:rsid w:val="00417C1C"/>
    <w:rsid w:val="00417F08"/>
    <w:rsid w:val="00420815"/>
    <w:rsid w:val="00421947"/>
    <w:rsid w:val="004219EC"/>
    <w:rsid w:val="00421FD3"/>
    <w:rsid w:val="0042275D"/>
    <w:rsid w:val="0042324C"/>
    <w:rsid w:val="004238CB"/>
    <w:rsid w:val="00423927"/>
    <w:rsid w:val="004239CC"/>
    <w:rsid w:val="00424A1A"/>
    <w:rsid w:val="00425322"/>
    <w:rsid w:val="00425B16"/>
    <w:rsid w:val="00425E77"/>
    <w:rsid w:val="00426715"/>
    <w:rsid w:val="00426AE9"/>
    <w:rsid w:val="00426BE9"/>
    <w:rsid w:val="00426EA4"/>
    <w:rsid w:val="00427714"/>
    <w:rsid w:val="00427FA1"/>
    <w:rsid w:val="00432613"/>
    <w:rsid w:val="00432944"/>
    <w:rsid w:val="00434067"/>
    <w:rsid w:val="004344BC"/>
    <w:rsid w:val="00434575"/>
    <w:rsid w:val="0043596F"/>
    <w:rsid w:val="00436FD3"/>
    <w:rsid w:val="0043727A"/>
    <w:rsid w:val="00440D01"/>
    <w:rsid w:val="004413DF"/>
    <w:rsid w:val="00441BEC"/>
    <w:rsid w:val="0044280D"/>
    <w:rsid w:val="00443076"/>
    <w:rsid w:val="004441F2"/>
    <w:rsid w:val="00444BEE"/>
    <w:rsid w:val="00444F89"/>
    <w:rsid w:val="004456E6"/>
    <w:rsid w:val="00445B87"/>
    <w:rsid w:val="00445E7F"/>
    <w:rsid w:val="00446524"/>
    <w:rsid w:val="00446A22"/>
    <w:rsid w:val="00446D13"/>
    <w:rsid w:val="004474FB"/>
    <w:rsid w:val="00447D58"/>
    <w:rsid w:val="00450370"/>
    <w:rsid w:val="004506E1"/>
    <w:rsid w:val="00450EA2"/>
    <w:rsid w:val="004514F3"/>
    <w:rsid w:val="004517B1"/>
    <w:rsid w:val="00451CF0"/>
    <w:rsid w:val="004529A5"/>
    <w:rsid w:val="00453A47"/>
    <w:rsid w:val="00454354"/>
    <w:rsid w:val="00454498"/>
    <w:rsid w:val="004549FC"/>
    <w:rsid w:val="00457052"/>
    <w:rsid w:val="004570F4"/>
    <w:rsid w:val="00457C0C"/>
    <w:rsid w:val="0046005E"/>
    <w:rsid w:val="00460224"/>
    <w:rsid w:val="00460F65"/>
    <w:rsid w:val="004616CE"/>
    <w:rsid w:val="00462870"/>
    <w:rsid w:val="00463200"/>
    <w:rsid w:val="00463491"/>
    <w:rsid w:val="004636BA"/>
    <w:rsid w:val="00464953"/>
    <w:rsid w:val="00465850"/>
    <w:rsid w:val="00465D39"/>
    <w:rsid w:val="00466004"/>
    <w:rsid w:val="00466108"/>
    <w:rsid w:val="00466508"/>
    <w:rsid w:val="004670B9"/>
    <w:rsid w:val="0047087D"/>
    <w:rsid w:val="0047102C"/>
    <w:rsid w:val="00471187"/>
    <w:rsid w:val="00471B12"/>
    <w:rsid w:val="00472BF3"/>
    <w:rsid w:val="00472F50"/>
    <w:rsid w:val="00473437"/>
    <w:rsid w:val="004741A6"/>
    <w:rsid w:val="0047499F"/>
    <w:rsid w:val="00474F44"/>
    <w:rsid w:val="004756B5"/>
    <w:rsid w:val="004763AE"/>
    <w:rsid w:val="00480127"/>
    <w:rsid w:val="004807BF"/>
    <w:rsid w:val="004811A2"/>
    <w:rsid w:val="00481428"/>
    <w:rsid w:val="00481638"/>
    <w:rsid w:val="0048175D"/>
    <w:rsid w:val="00485061"/>
    <w:rsid w:val="00485A94"/>
    <w:rsid w:val="00485BEC"/>
    <w:rsid w:val="0048664E"/>
    <w:rsid w:val="004876E4"/>
    <w:rsid w:val="00487B25"/>
    <w:rsid w:val="00491256"/>
    <w:rsid w:val="00492929"/>
    <w:rsid w:val="00493173"/>
    <w:rsid w:val="00493AAB"/>
    <w:rsid w:val="004947B9"/>
    <w:rsid w:val="004954E8"/>
    <w:rsid w:val="004958EB"/>
    <w:rsid w:val="004963AA"/>
    <w:rsid w:val="0049692D"/>
    <w:rsid w:val="00496BB9"/>
    <w:rsid w:val="00497CD5"/>
    <w:rsid w:val="00497D39"/>
    <w:rsid w:val="004A02EA"/>
    <w:rsid w:val="004A1CF0"/>
    <w:rsid w:val="004A1F81"/>
    <w:rsid w:val="004A25CF"/>
    <w:rsid w:val="004A3069"/>
    <w:rsid w:val="004A38EE"/>
    <w:rsid w:val="004A45B6"/>
    <w:rsid w:val="004A4640"/>
    <w:rsid w:val="004A5C1D"/>
    <w:rsid w:val="004A7B5C"/>
    <w:rsid w:val="004A7E6C"/>
    <w:rsid w:val="004B1003"/>
    <w:rsid w:val="004B1514"/>
    <w:rsid w:val="004B1921"/>
    <w:rsid w:val="004B2B78"/>
    <w:rsid w:val="004B36D0"/>
    <w:rsid w:val="004B4A29"/>
    <w:rsid w:val="004B4A7B"/>
    <w:rsid w:val="004B6057"/>
    <w:rsid w:val="004B762C"/>
    <w:rsid w:val="004C0F98"/>
    <w:rsid w:val="004C17FC"/>
    <w:rsid w:val="004C2592"/>
    <w:rsid w:val="004C2FBA"/>
    <w:rsid w:val="004C3337"/>
    <w:rsid w:val="004C4147"/>
    <w:rsid w:val="004C5102"/>
    <w:rsid w:val="004C7BD1"/>
    <w:rsid w:val="004D004C"/>
    <w:rsid w:val="004D0172"/>
    <w:rsid w:val="004D0999"/>
    <w:rsid w:val="004D0A19"/>
    <w:rsid w:val="004D1445"/>
    <w:rsid w:val="004D192F"/>
    <w:rsid w:val="004D1B9F"/>
    <w:rsid w:val="004D332A"/>
    <w:rsid w:val="004D36FF"/>
    <w:rsid w:val="004D3DA0"/>
    <w:rsid w:val="004D4E91"/>
    <w:rsid w:val="004D5FE9"/>
    <w:rsid w:val="004D605A"/>
    <w:rsid w:val="004D626D"/>
    <w:rsid w:val="004D7542"/>
    <w:rsid w:val="004E0B07"/>
    <w:rsid w:val="004E1059"/>
    <w:rsid w:val="004E1A5D"/>
    <w:rsid w:val="004E1C58"/>
    <w:rsid w:val="004E2960"/>
    <w:rsid w:val="004E3450"/>
    <w:rsid w:val="004E4BAC"/>
    <w:rsid w:val="004E565B"/>
    <w:rsid w:val="004E59BD"/>
    <w:rsid w:val="004E5B01"/>
    <w:rsid w:val="004E6DD9"/>
    <w:rsid w:val="004E7356"/>
    <w:rsid w:val="004E77B0"/>
    <w:rsid w:val="004F0F6F"/>
    <w:rsid w:val="004F123B"/>
    <w:rsid w:val="004F147D"/>
    <w:rsid w:val="004F3662"/>
    <w:rsid w:val="004F4781"/>
    <w:rsid w:val="004F5A69"/>
    <w:rsid w:val="004F69F5"/>
    <w:rsid w:val="004F724F"/>
    <w:rsid w:val="004F7DE6"/>
    <w:rsid w:val="005008DE"/>
    <w:rsid w:val="00500A7F"/>
    <w:rsid w:val="00503936"/>
    <w:rsid w:val="00503B51"/>
    <w:rsid w:val="00504064"/>
    <w:rsid w:val="00504659"/>
    <w:rsid w:val="00504793"/>
    <w:rsid w:val="00505132"/>
    <w:rsid w:val="0050730F"/>
    <w:rsid w:val="0051215C"/>
    <w:rsid w:val="005131CF"/>
    <w:rsid w:val="0051483F"/>
    <w:rsid w:val="00514984"/>
    <w:rsid w:val="0051503A"/>
    <w:rsid w:val="00515583"/>
    <w:rsid w:val="00515BA6"/>
    <w:rsid w:val="00516114"/>
    <w:rsid w:val="005172CD"/>
    <w:rsid w:val="005172F4"/>
    <w:rsid w:val="005223F8"/>
    <w:rsid w:val="00522462"/>
    <w:rsid w:val="00523A0E"/>
    <w:rsid w:val="00525539"/>
    <w:rsid w:val="0052637A"/>
    <w:rsid w:val="0052788E"/>
    <w:rsid w:val="00530AE0"/>
    <w:rsid w:val="00531874"/>
    <w:rsid w:val="00532535"/>
    <w:rsid w:val="00533ADE"/>
    <w:rsid w:val="0053402C"/>
    <w:rsid w:val="00535B8F"/>
    <w:rsid w:val="00536522"/>
    <w:rsid w:val="00536A4C"/>
    <w:rsid w:val="005375CF"/>
    <w:rsid w:val="00537C9B"/>
    <w:rsid w:val="00540040"/>
    <w:rsid w:val="005417C9"/>
    <w:rsid w:val="00543547"/>
    <w:rsid w:val="00543E66"/>
    <w:rsid w:val="005458DE"/>
    <w:rsid w:val="0054691A"/>
    <w:rsid w:val="005473B3"/>
    <w:rsid w:val="005478CE"/>
    <w:rsid w:val="00551158"/>
    <w:rsid w:val="0055228B"/>
    <w:rsid w:val="005525D5"/>
    <w:rsid w:val="00552C11"/>
    <w:rsid w:val="005543CD"/>
    <w:rsid w:val="005552DD"/>
    <w:rsid w:val="005557A0"/>
    <w:rsid w:val="00555827"/>
    <w:rsid w:val="00556157"/>
    <w:rsid w:val="00556BB0"/>
    <w:rsid w:val="00557FC5"/>
    <w:rsid w:val="00560B9F"/>
    <w:rsid w:val="0056244C"/>
    <w:rsid w:val="00562508"/>
    <w:rsid w:val="005627A0"/>
    <w:rsid w:val="00562EC0"/>
    <w:rsid w:val="00563A55"/>
    <w:rsid w:val="00563B60"/>
    <w:rsid w:val="00564486"/>
    <w:rsid w:val="0056529D"/>
    <w:rsid w:val="005658EA"/>
    <w:rsid w:val="00565E06"/>
    <w:rsid w:val="005669C0"/>
    <w:rsid w:val="00566E61"/>
    <w:rsid w:val="005676EB"/>
    <w:rsid w:val="00567A88"/>
    <w:rsid w:val="00570460"/>
    <w:rsid w:val="00570A88"/>
    <w:rsid w:val="00572053"/>
    <w:rsid w:val="005727B9"/>
    <w:rsid w:val="00572DAA"/>
    <w:rsid w:val="005737F3"/>
    <w:rsid w:val="00574EA6"/>
    <w:rsid w:val="00576271"/>
    <w:rsid w:val="00576F02"/>
    <w:rsid w:val="00581BF7"/>
    <w:rsid w:val="005830BA"/>
    <w:rsid w:val="00583A95"/>
    <w:rsid w:val="00586703"/>
    <w:rsid w:val="00586EF9"/>
    <w:rsid w:val="00587B82"/>
    <w:rsid w:val="005904C0"/>
    <w:rsid w:val="00591705"/>
    <w:rsid w:val="00593563"/>
    <w:rsid w:val="0059364B"/>
    <w:rsid w:val="00594556"/>
    <w:rsid w:val="00594D09"/>
    <w:rsid w:val="00594FBA"/>
    <w:rsid w:val="00595A05"/>
    <w:rsid w:val="005964DE"/>
    <w:rsid w:val="00596E29"/>
    <w:rsid w:val="005A0B32"/>
    <w:rsid w:val="005A0C23"/>
    <w:rsid w:val="005A1A60"/>
    <w:rsid w:val="005A3564"/>
    <w:rsid w:val="005A3BEF"/>
    <w:rsid w:val="005A4AD6"/>
    <w:rsid w:val="005A55B1"/>
    <w:rsid w:val="005A5960"/>
    <w:rsid w:val="005A61F9"/>
    <w:rsid w:val="005A7342"/>
    <w:rsid w:val="005B0F8E"/>
    <w:rsid w:val="005B1B15"/>
    <w:rsid w:val="005B2C0F"/>
    <w:rsid w:val="005B3CCC"/>
    <w:rsid w:val="005B498E"/>
    <w:rsid w:val="005B4F6F"/>
    <w:rsid w:val="005B51C3"/>
    <w:rsid w:val="005B586D"/>
    <w:rsid w:val="005B59A2"/>
    <w:rsid w:val="005B6E77"/>
    <w:rsid w:val="005B7BD0"/>
    <w:rsid w:val="005C0402"/>
    <w:rsid w:val="005C3DCE"/>
    <w:rsid w:val="005C47B5"/>
    <w:rsid w:val="005C47E6"/>
    <w:rsid w:val="005C5AD3"/>
    <w:rsid w:val="005C6A80"/>
    <w:rsid w:val="005C6DDC"/>
    <w:rsid w:val="005C734C"/>
    <w:rsid w:val="005C7CE3"/>
    <w:rsid w:val="005D0C32"/>
    <w:rsid w:val="005D1E5B"/>
    <w:rsid w:val="005D392B"/>
    <w:rsid w:val="005D3D8E"/>
    <w:rsid w:val="005D48EF"/>
    <w:rsid w:val="005D4F96"/>
    <w:rsid w:val="005D7220"/>
    <w:rsid w:val="005D7F50"/>
    <w:rsid w:val="005E006A"/>
    <w:rsid w:val="005E212F"/>
    <w:rsid w:val="005E21F8"/>
    <w:rsid w:val="005E2796"/>
    <w:rsid w:val="005E29BA"/>
    <w:rsid w:val="005E3670"/>
    <w:rsid w:val="005E4C49"/>
    <w:rsid w:val="005E5213"/>
    <w:rsid w:val="005E54E2"/>
    <w:rsid w:val="005E62DD"/>
    <w:rsid w:val="005E65F5"/>
    <w:rsid w:val="005E69BB"/>
    <w:rsid w:val="005E6D31"/>
    <w:rsid w:val="005E6F1C"/>
    <w:rsid w:val="005E77E9"/>
    <w:rsid w:val="005E7940"/>
    <w:rsid w:val="005F0329"/>
    <w:rsid w:val="005F16FA"/>
    <w:rsid w:val="005F226D"/>
    <w:rsid w:val="005F2529"/>
    <w:rsid w:val="005F2784"/>
    <w:rsid w:val="005F2B46"/>
    <w:rsid w:val="005F4011"/>
    <w:rsid w:val="005F4464"/>
    <w:rsid w:val="005F4DD7"/>
    <w:rsid w:val="0060089B"/>
    <w:rsid w:val="00600DE6"/>
    <w:rsid w:val="00601295"/>
    <w:rsid w:val="006019B5"/>
    <w:rsid w:val="00602CE5"/>
    <w:rsid w:val="0060307E"/>
    <w:rsid w:val="006040D6"/>
    <w:rsid w:val="00604C2F"/>
    <w:rsid w:val="00604C70"/>
    <w:rsid w:val="00605856"/>
    <w:rsid w:val="00606039"/>
    <w:rsid w:val="00606215"/>
    <w:rsid w:val="0060629A"/>
    <w:rsid w:val="00606643"/>
    <w:rsid w:val="006066F5"/>
    <w:rsid w:val="00606715"/>
    <w:rsid w:val="00607013"/>
    <w:rsid w:val="006074CB"/>
    <w:rsid w:val="00607CF2"/>
    <w:rsid w:val="00607EB4"/>
    <w:rsid w:val="00607FE6"/>
    <w:rsid w:val="00611109"/>
    <w:rsid w:val="006111DF"/>
    <w:rsid w:val="0061169A"/>
    <w:rsid w:val="00612502"/>
    <w:rsid w:val="00614372"/>
    <w:rsid w:val="00615996"/>
    <w:rsid w:val="00616C52"/>
    <w:rsid w:val="006203CB"/>
    <w:rsid w:val="0062043F"/>
    <w:rsid w:val="00620B89"/>
    <w:rsid w:val="0062306C"/>
    <w:rsid w:val="006235D5"/>
    <w:rsid w:val="00626BB8"/>
    <w:rsid w:val="006304F3"/>
    <w:rsid w:val="00630CB4"/>
    <w:rsid w:val="00630F04"/>
    <w:rsid w:val="00632A88"/>
    <w:rsid w:val="00633211"/>
    <w:rsid w:val="00633DD0"/>
    <w:rsid w:val="00634328"/>
    <w:rsid w:val="00634ED0"/>
    <w:rsid w:val="006350CC"/>
    <w:rsid w:val="00635FCB"/>
    <w:rsid w:val="006365AA"/>
    <w:rsid w:val="00637633"/>
    <w:rsid w:val="006378E3"/>
    <w:rsid w:val="00640051"/>
    <w:rsid w:val="00640EAB"/>
    <w:rsid w:val="0064206A"/>
    <w:rsid w:val="00642C0F"/>
    <w:rsid w:val="00643BCD"/>
    <w:rsid w:val="00643E58"/>
    <w:rsid w:val="006442A9"/>
    <w:rsid w:val="00645CCC"/>
    <w:rsid w:val="00646A8A"/>
    <w:rsid w:val="00646EEB"/>
    <w:rsid w:val="00647156"/>
    <w:rsid w:val="006504D4"/>
    <w:rsid w:val="006508AF"/>
    <w:rsid w:val="00650B21"/>
    <w:rsid w:val="00651BB8"/>
    <w:rsid w:val="00651F48"/>
    <w:rsid w:val="0065250F"/>
    <w:rsid w:val="00652982"/>
    <w:rsid w:val="00652E2D"/>
    <w:rsid w:val="00652E95"/>
    <w:rsid w:val="00653601"/>
    <w:rsid w:val="00654CBB"/>
    <w:rsid w:val="00655915"/>
    <w:rsid w:val="00656166"/>
    <w:rsid w:val="00656C3F"/>
    <w:rsid w:val="00656CAF"/>
    <w:rsid w:val="00656EE9"/>
    <w:rsid w:val="00657F71"/>
    <w:rsid w:val="006614D2"/>
    <w:rsid w:val="00662C4E"/>
    <w:rsid w:val="0066334F"/>
    <w:rsid w:val="00663D58"/>
    <w:rsid w:val="0066436B"/>
    <w:rsid w:val="006646B6"/>
    <w:rsid w:val="006663D9"/>
    <w:rsid w:val="00666955"/>
    <w:rsid w:val="00666CEC"/>
    <w:rsid w:val="00666DA9"/>
    <w:rsid w:val="0066776F"/>
    <w:rsid w:val="00667B48"/>
    <w:rsid w:val="006706FF"/>
    <w:rsid w:val="006719BC"/>
    <w:rsid w:val="00671A0C"/>
    <w:rsid w:val="00671DE4"/>
    <w:rsid w:val="00673832"/>
    <w:rsid w:val="00673FB7"/>
    <w:rsid w:val="00673FBA"/>
    <w:rsid w:val="00674644"/>
    <w:rsid w:val="00675869"/>
    <w:rsid w:val="00675E9D"/>
    <w:rsid w:val="0068095B"/>
    <w:rsid w:val="00681784"/>
    <w:rsid w:val="006817BD"/>
    <w:rsid w:val="00681BA4"/>
    <w:rsid w:val="00681C8D"/>
    <w:rsid w:val="00682494"/>
    <w:rsid w:val="0068308E"/>
    <w:rsid w:val="006835CE"/>
    <w:rsid w:val="00683923"/>
    <w:rsid w:val="006839C2"/>
    <w:rsid w:val="00683EB5"/>
    <w:rsid w:val="00684547"/>
    <w:rsid w:val="00684CC7"/>
    <w:rsid w:val="006858DF"/>
    <w:rsid w:val="006864BC"/>
    <w:rsid w:val="00686E29"/>
    <w:rsid w:val="00687309"/>
    <w:rsid w:val="00687DD8"/>
    <w:rsid w:val="00690170"/>
    <w:rsid w:val="00690ADB"/>
    <w:rsid w:val="006912B0"/>
    <w:rsid w:val="00691586"/>
    <w:rsid w:val="00693174"/>
    <w:rsid w:val="00694466"/>
    <w:rsid w:val="00694ECD"/>
    <w:rsid w:val="00695364"/>
    <w:rsid w:val="00695D57"/>
    <w:rsid w:val="00696051"/>
    <w:rsid w:val="006967EB"/>
    <w:rsid w:val="00696C07"/>
    <w:rsid w:val="006A144E"/>
    <w:rsid w:val="006A198E"/>
    <w:rsid w:val="006A1A45"/>
    <w:rsid w:val="006A65EA"/>
    <w:rsid w:val="006A7C6B"/>
    <w:rsid w:val="006B0830"/>
    <w:rsid w:val="006B143E"/>
    <w:rsid w:val="006B2877"/>
    <w:rsid w:val="006B316C"/>
    <w:rsid w:val="006B3EB0"/>
    <w:rsid w:val="006B4E44"/>
    <w:rsid w:val="006B61B9"/>
    <w:rsid w:val="006B7080"/>
    <w:rsid w:val="006C01B1"/>
    <w:rsid w:val="006C0F47"/>
    <w:rsid w:val="006C11F0"/>
    <w:rsid w:val="006C1A8C"/>
    <w:rsid w:val="006C1F97"/>
    <w:rsid w:val="006C25E2"/>
    <w:rsid w:val="006C4D0C"/>
    <w:rsid w:val="006C5C0C"/>
    <w:rsid w:val="006C6045"/>
    <w:rsid w:val="006C6ABB"/>
    <w:rsid w:val="006C6C0A"/>
    <w:rsid w:val="006C7314"/>
    <w:rsid w:val="006C7A51"/>
    <w:rsid w:val="006C7AF6"/>
    <w:rsid w:val="006D03AF"/>
    <w:rsid w:val="006D0BB1"/>
    <w:rsid w:val="006D0BD7"/>
    <w:rsid w:val="006D0C82"/>
    <w:rsid w:val="006D18EF"/>
    <w:rsid w:val="006D1AD3"/>
    <w:rsid w:val="006D2A5C"/>
    <w:rsid w:val="006D2D04"/>
    <w:rsid w:val="006D2F67"/>
    <w:rsid w:val="006D418E"/>
    <w:rsid w:val="006D4349"/>
    <w:rsid w:val="006D5BBC"/>
    <w:rsid w:val="006D642C"/>
    <w:rsid w:val="006E018D"/>
    <w:rsid w:val="006E0E36"/>
    <w:rsid w:val="006E37A2"/>
    <w:rsid w:val="006E4811"/>
    <w:rsid w:val="006E5259"/>
    <w:rsid w:val="006E5CA2"/>
    <w:rsid w:val="006E7C7E"/>
    <w:rsid w:val="006F034A"/>
    <w:rsid w:val="006F07CA"/>
    <w:rsid w:val="006F2996"/>
    <w:rsid w:val="006F2DA9"/>
    <w:rsid w:val="006F4B9E"/>
    <w:rsid w:val="006F5EFA"/>
    <w:rsid w:val="006F7771"/>
    <w:rsid w:val="006F7AEF"/>
    <w:rsid w:val="006F7C21"/>
    <w:rsid w:val="007002E7"/>
    <w:rsid w:val="00702074"/>
    <w:rsid w:val="00702E4E"/>
    <w:rsid w:val="00703563"/>
    <w:rsid w:val="007035FF"/>
    <w:rsid w:val="007051B0"/>
    <w:rsid w:val="00705BDE"/>
    <w:rsid w:val="00706220"/>
    <w:rsid w:val="00706299"/>
    <w:rsid w:val="007077E9"/>
    <w:rsid w:val="00707E0F"/>
    <w:rsid w:val="00711081"/>
    <w:rsid w:val="0071155C"/>
    <w:rsid w:val="00711D8B"/>
    <w:rsid w:val="00711EBB"/>
    <w:rsid w:val="007127C1"/>
    <w:rsid w:val="0071438D"/>
    <w:rsid w:val="00714C34"/>
    <w:rsid w:val="0071548C"/>
    <w:rsid w:val="007154B6"/>
    <w:rsid w:val="00715788"/>
    <w:rsid w:val="0071639E"/>
    <w:rsid w:val="00716E81"/>
    <w:rsid w:val="0071784B"/>
    <w:rsid w:val="007201D1"/>
    <w:rsid w:val="00720AAA"/>
    <w:rsid w:val="00720B5D"/>
    <w:rsid w:val="0072143F"/>
    <w:rsid w:val="00721AA8"/>
    <w:rsid w:val="00721AD3"/>
    <w:rsid w:val="007238A6"/>
    <w:rsid w:val="0072568B"/>
    <w:rsid w:val="00726CD0"/>
    <w:rsid w:val="00731541"/>
    <w:rsid w:val="00731611"/>
    <w:rsid w:val="007319E9"/>
    <w:rsid w:val="007329B6"/>
    <w:rsid w:val="00733BCB"/>
    <w:rsid w:val="00734893"/>
    <w:rsid w:val="0073504B"/>
    <w:rsid w:val="0073553D"/>
    <w:rsid w:val="0073633E"/>
    <w:rsid w:val="00736A3F"/>
    <w:rsid w:val="00740438"/>
    <w:rsid w:val="00740E0D"/>
    <w:rsid w:val="00740FCA"/>
    <w:rsid w:val="007445CF"/>
    <w:rsid w:val="00744FEC"/>
    <w:rsid w:val="00745240"/>
    <w:rsid w:val="007453D3"/>
    <w:rsid w:val="00745C0F"/>
    <w:rsid w:val="007474DC"/>
    <w:rsid w:val="007503B5"/>
    <w:rsid w:val="0075146F"/>
    <w:rsid w:val="007515D2"/>
    <w:rsid w:val="00751E76"/>
    <w:rsid w:val="007526C3"/>
    <w:rsid w:val="00752919"/>
    <w:rsid w:val="007536FD"/>
    <w:rsid w:val="00754073"/>
    <w:rsid w:val="00754FC3"/>
    <w:rsid w:val="00755657"/>
    <w:rsid w:val="0075600C"/>
    <w:rsid w:val="007577EC"/>
    <w:rsid w:val="00757BE9"/>
    <w:rsid w:val="00757D87"/>
    <w:rsid w:val="00761AE1"/>
    <w:rsid w:val="0076226A"/>
    <w:rsid w:val="007628F7"/>
    <w:rsid w:val="007629DD"/>
    <w:rsid w:val="00764781"/>
    <w:rsid w:val="0076497D"/>
    <w:rsid w:val="00764DDD"/>
    <w:rsid w:val="00766F78"/>
    <w:rsid w:val="00770296"/>
    <w:rsid w:val="007718EA"/>
    <w:rsid w:val="0077230E"/>
    <w:rsid w:val="00772A08"/>
    <w:rsid w:val="007745E6"/>
    <w:rsid w:val="007752C6"/>
    <w:rsid w:val="007754C2"/>
    <w:rsid w:val="00775BD7"/>
    <w:rsid w:val="00777D41"/>
    <w:rsid w:val="00780B2E"/>
    <w:rsid w:val="00781102"/>
    <w:rsid w:val="007841FE"/>
    <w:rsid w:val="00784607"/>
    <w:rsid w:val="007867FB"/>
    <w:rsid w:val="00786ED9"/>
    <w:rsid w:val="00787ED2"/>
    <w:rsid w:val="007906FE"/>
    <w:rsid w:val="00790FF7"/>
    <w:rsid w:val="007932F1"/>
    <w:rsid w:val="007952FF"/>
    <w:rsid w:val="007958BA"/>
    <w:rsid w:val="00795A44"/>
    <w:rsid w:val="00795BFF"/>
    <w:rsid w:val="00797854"/>
    <w:rsid w:val="007A046E"/>
    <w:rsid w:val="007A04A5"/>
    <w:rsid w:val="007A097B"/>
    <w:rsid w:val="007A1F90"/>
    <w:rsid w:val="007A1FEB"/>
    <w:rsid w:val="007A2E75"/>
    <w:rsid w:val="007A3DBE"/>
    <w:rsid w:val="007A44CB"/>
    <w:rsid w:val="007A45C3"/>
    <w:rsid w:val="007A6875"/>
    <w:rsid w:val="007A6AE4"/>
    <w:rsid w:val="007A7490"/>
    <w:rsid w:val="007B0CA9"/>
    <w:rsid w:val="007B10BE"/>
    <w:rsid w:val="007B12C1"/>
    <w:rsid w:val="007B13F2"/>
    <w:rsid w:val="007B2200"/>
    <w:rsid w:val="007B2BDB"/>
    <w:rsid w:val="007B2D2C"/>
    <w:rsid w:val="007B3A01"/>
    <w:rsid w:val="007B4555"/>
    <w:rsid w:val="007B4E69"/>
    <w:rsid w:val="007B51AC"/>
    <w:rsid w:val="007B5236"/>
    <w:rsid w:val="007B7412"/>
    <w:rsid w:val="007C1AD4"/>
    <w:rsid w:val="007C24BA"/>
    <w:rsid w:val="007C27D4"/>
    <w:rsid w:val="007C2CF7"/>
    <w:rsid w:val="007C3400"/>
    <w:rsid w:val="007C34A9"/>
    <w:rsid w:val="007C3EB8"/>
    <w:rsid w:val="007C4EF5"/>
    <w:rsid w:val="007C61F8"/>
    <w:rsid w:val="007D0F35"/>
    <w:rsid w:val="007D0F82"/>
    <w:rsid w:val="007D3641"/>
    <w:rsid w:val="007D3854"/>
    <w:rsid w:val="007D387D"/>
    <w:rsid w:val="007D3A6C"/>
    <w:rsid w:val="007D42A7"/>
    <w:rsid w:val="007D43BF"/>
    <w:rsid w:val="007D4B9D"/>
    <w:rsid w:val="007D585C"/>
    <w:rsid w:val="007D5AD5"/>
    <w:rsid w:val="007D5D8F"/>
    <w:rsid w:val="007D6291"/>
    <w:rsid w:val="007D758C"/>
    <w:rsid w:val="007E0928"/>
    <w:rsid w:val="007E1940"/>
    <w:rsid w:val="007E2332"/>
    <w:rsid w:val="007E24FC"/>
    <w:rsid w:val="007E2DAC"/>
    <w:rsid w:val="007E4AEF"/>
    <w:rsid w:val="007E4F6D"/>
    <w:rsid w:val="007E544A"/>
    <w:rsid w:val="007E5682"/>
    <w:rsid w:val="007E5953"/>
    <w:rsid w:val="007E5E48"/>
    <w:rsid w:val="007E6B62"/>
    <w:rsid w:val="007E7C7B"/>
    <w:rsid w:val="007E7F12"/>
    <w:rsid w:val="007F0E6C"/>
    <w:rsid w:val="007F0FA0"/>
    <w:rsid w:val="007F2292"/>
    <w:rsid w:val="007F323B"/>
    <w:rsid w:val="007F3554"/>
    <w:rsid w:val="007F377C"/>
    <w:rsid w:val="007F4876"/>
    <w:rsid w:val="007F65DA"/>
    <w:rsid w:val="007F7455"/>
    <w:rsid w:val="007F7828"/>
    <w:rsid w:val="00800012"/>
    <w:rsid w:val="008003B6"/>
    <w:rsid w:val="00800A35"/>
    <w:rsid w:val="00801885"/>
    <w:rsid w:val="00802F76"/>
    <w:rsid w:val="0080339D"/>
    <w:rsid w:val="00804025"/>
    <w:rsid w:val="0080522E"/>
    <w:rsid w:val="00805490"/>
    <w:rsid w:val="008058BE"/>
    <w:rsid w:val="00806592"/>
    <w:rsid w:val="00806E02"/>
    <w:rsid w:val="00806E4E"/>
    <w:rsid w:val="00807101"/>
    <w:rsid w:val="00807C67"/>
    <w:rsid w:val="00810519"/>
    <w:rsid w:val="00811D71"/>
    <w:rsid w:val="00811F76"/>
    <w:rsid w:val="00815EB5"/>
    <w:rsid w:val="008167D1"/>
    <w:rsid w:val="00816AAB"/>
    <w:rsid w:val="008175CD"/>
    <w:rsid w:val="008175E2"/>
    <w:rsid w:val="0082311C"/>
    <w:rsid w:val="00823416"/>
    <w:rsid w:val="0082353C"/>
    <w:rsid w:val="00824045"/>
    <w:rsid w:val="00824168"/>
    <w:rsid w:val="008243BA"/>
    <w:rsid w:val="008258AC"/>
    <w:rsid w:val="00826019"/>
    <w:rsid w:val="008260BF"/>
    <w:rsid w:val="008261EE"/>
    <w:rsid w:val="008264E6"/>
    <w:rsid w:val="0082756C"/>
    <w:rsid w:val="00830E00"/>
    <w:rsid w:val="00830E59"/>
    <w:rsid w:val="00831B8B"/>
    <w:rsid w:val="00832A5F"/>
    <w:rsid w:val="008339C2"/>
    <w:rsid w:val="00836EB1"/>
    <w:rsid w:val="0083734B"/>
    <w:rsid w:val="00837541"/>
    <w:rsid w:val="00837719"/>
    <w:rsid w:val="008378D7"/>
    <w:rsid w:val="00837F67"/>
    <w:rsid w:val="0084057C"/>
    <w:rsid w:val="008419E7"/>
    <w:rsid w:val="00841B87"/>
    <w:rsid w:val="0084201F"/>
    <w:rsid w:val="0084264B"/>
    <w:rsid w:val="00842675"/>
    <w:rsid w:val="00842F12"/>
    <w:rsid w:val="008436CE"/>
    <w:rsid w:val="00843AF0"/>
    <w:rsid w:val="00843D1D"/>
    <w:rsid w:val="0084445F"/>
    <w:rsid w:val="00844814"/>
    <w:rsid w:val="00845949"/>
    <w:rsid w:val="00845DFA"/>
    <w:rsid w:val="00846C4D"/>
    <w:rsid w:val="0084708B"/>
    <w:rsid w:val="008470BE"/>
    <w:rsid w:val="0084731D"/>
    <w:rsid w:val="00847452"/>
    <w:rsid w:val="008509B5"/>
    <w:rsid w:val="00850B3A"/>
    <w:rsid w:val="00851CEF"/>
    <w:rsid w:val="00852CAC"/>
    <w:rsid w:val="008534B2"/>
    <w:rsid w:val="0085405E"/>
    <w:rsid w:val="0085455F"/>
    <w:rsid w:val="00854B84"/>
    <w:rsid w:val="00855194"/>
    <w:rsid w:val="0085581A"/>
    <w:rsid w:val="0085707D"/>
    <w:rsid w:val="00861720"/>
    <w:rsid w:val="00861FA0"/>
    <w:rsid w:val="0086367A"/>
    <w:rsid w:val="00863710"/>
    <w:rsid w:val="0086397B"/>
    <w:rsid w:val="00864634"/>
    <w:rsid w:val="0086511F"/>
    <w:rsid w:val="00865141"/>
    <w:rsid w:val="00865C13"/>
    <w:rsid w:val="0086737A"/>
    <w:rsid w:val="00867450"/>
    <w:rsid w:val="00870E6D"/>
    <w:rsid w:val="00870EA5"/>
    <w:rsid w:val="00872D54"/>
    <w:rsid w:val="00873FB7"/>
    <w:rsid w:val="0087403D"/>
    <w:rsid w:val="008741CC"/>
    <w:rsid w:val="00874D33"/>
    <w:rsid w:val="00875284"/>
    <w:rsid w:val="008753E9"/>
    <w:rsid w:val="00875617"/>
    <w:rsid w:val="00875CD9"/>
    <w:rsid w:val="00875F4F"/>
    <w:rsid w:val="00876132"/>
    <w:rsid w:val="008774C7"/>
    <w:rsid w:val="00881C3F"/>
    <w:rsid w:val="00882779"/>
    <w:rsid w:val="00883405"/>
    <w:rsid w:val="00883E8D"/>
    <w:rsid w:val="0088414B"/>
    <w:rsid w:val="00885A21"/>
    <w:rsid w:val="008860AE"/>
    <w:rsid w:val="00886911"/>
    <w:rsid w:val="00887DDD"/>
    <w:rsid w:val="00890576"/>
    <w:rsid w:val="0089089D"/>
    <w:rsid w:val="00890B53"/>
    <w:rsid w:val="00890C2B"/>
    <w:rsid w:val="00890D3F"/>
    <w:rsid w:val="0089104D"/>
    <w:rsid w:val="0089466B"/>
    <w:rsid w:val="00894BBF"/>
    <w:rsid w:val="008950F4"/>
    <w:rsid w:val="008951F6"/>
    <w:rsid w:val="00895B2F"/>
    <w:rsid w:val="00896232"/>
    <w:rsid w:val="00896DCF"/>
    <w:rsid w:val="008977B1"/>
    <w:rsid w:val="00897886"/>
    <w:rsid w:val="00897C18"/>
    <w:rsid w:val="00897DDF"/>
    <w:rsid w:val="00897EC9"/>
    <w:rsid w:val="008A149B"/>
    <w:rsid w:val="008A2349"/>
    <w:rsid w:val="008A2C5F"/>
    <w:rsid w:val="008A346E"/>
    <w:rsid w:val="008A37A8"/>
    <w:rsid w:val="008A3F51"/>
    <w:rsid w:val="008A48DF"/>
    <w:rsid w:val="008A49B3"/>
    <w:rsid w:val="008A6004"/>
    <w:rsid w:val="008A738D"/>
    <w:rsid w:val="008A740E"/>
    <w:rsid w:val="008B093E"/>
    <w:rsid w:val="008B0C03"/>
    <w:rsid w:val="008B23FA"/>
    <w:rsid w:val="008B2747"/>
    <w:rsid w:val="008B35E3"/>
    <w:rsid w:val="008B3781"/>
    <w:rsid w:val="008B3D6F"/>
    <w:rsid w:val="008B4DF4"/>
    <w:rsid w:val="008B5A4A"/>
    <w:rsid w:val="008B5C5C"/>
    <w:rsid w:val="008B5C92"/>
    <w:rsid w:val="008B5E0A"/>
    <w:rsid w:val="008B6A86"/>
    <w:rsid w:val="008B7381"/>
    <w:rsid w:val="008C0333"/>
    <w:rsid w:val="008C0DD6"/>
    <w:rsid w:val="008C0DE6"/>
    <w:rsid w:val="008C25B1"/>
    <w:rsid w:val="008C27B7"/>
    <w:rsid w:val="008C35B9"/>
    <w:rsid w:val="008C37AF"/>
    <w:rsid w:val="008C383D"/>
    <w:rsid w:val="008C3AE6"/>
    <w:rsid w:val="008C4123"/>
    <w:rsid w:val="008C47EA"/>
    <w:rsid w:val="008C4998"/>
    <w:rsid w:val="008C4ACC"/>
    <w:rsid w:val="008C4F24"/>
    <w:rsid w:val="008C556E"/>
    <w:rsid w:val="008C5BB1"/>
    <w:rsid w:val="008C60AD"/>
    <w:rsid w:val="008C7468"/>
    <w:rsid w:val="008C7713"/>
    <w:rsid w:val="008C7BFD"/>
    <w:rsid w:val="008C7C90"/>
    <w:rsid w:val="008D0C53"/>
    <w:rsid w:val="008D16EC"/>
    <w:rsid w:val="008D2469"/>
    <w:rsid w:val="008D330D"/>
    <w:rsid w:val="008D33E5"/>
    <w:rsid w:val="008D34B2"/>
    <w:rsid w:val="008D3784"/>
    <w:rsid w:val="008D3973"/>
    <w:rsid w:val="008D46AC"/>
    <w:rsid w:val="008D5548"/>
    <w:rsid w:val="008D561D"/>
    <w:rsid w:val="008D56A7"/>
    <w:rsid w:val="008D5C21"/>
    <w:rsid w:val="008D5EDD"/>
    <w:rsid w:val="008D62FB"/>
    <w:rsid w:val="008D770D"/>
    <w:rsid w:val="008E02A4"/>
    <w:rsid w:val="008E0614"/>
    <w:rsid w:val="008E1784"/>
    <w:rsid w:val="008E2926"/>
    <w:rsid w:val="008E2DB6"/>
    <w:rsid w:val="008E33A4"/>
    <w:rsid w:val="008E4805"/>
    <w:rsid w:val="008E5C38"/>
    <w:rsid w:val="008E5C7D"/>
    <w:rsid w:val="008E78AB"/>
    <w:rsid w:val="008E7F8D"/>
    <w:rsid w:val="008F1391"/>
    <w:rsid w:val="008F163D"/>
    <w:rsid w:val="008F1795"/>
    <w:rsid w:val="008F2E74"/>
    <w:rsid w:val="008F35FA"/>
    <w:rsid w:val="008F4483"/>
    <w:rsid w:val="008F44D6"/>
    <w:rsid w:val="008F473B"/>
    <w:rsid w:val="008F63C1"/>
    <w:rsid w:val="00900B65"/>
    <w:rsid w:val="009022CE"/>
    <w:rsid w:val="009029B9"/>
    <w:rsid w:val="00903BD3"/>
    <w:rsid w:val="00906A21"/>
    <w:rsid w:val="009115AF"/>
    <w:rsid w:val="00912DFB"/>
    <w:rsid w:val="0091314E"/>
    <w:rsid w:val="00913BAA"/>
    <w:rsid w:val="00914594"/>
    <w:rsid w:val="009146D6"/>
    <w:rsid w:val="00915B75"/>
    <w:rsid w:val="00916174"/>
    <w:rsid w:val="009166EA"/>
    <w:rsid w:val="00916E9B"/>
    <w:rsid w:val="00916FB8"/>
    <w:rsid w:val="0091704E"/>
    <w:rsid w:val="009177CD"/>
    <w:rsid w:val="00917A93"/>
    <w:rsid w:val="00917E95"/>
    <w:rsid w:val="00920F6B"/>
    <w:rsid w:val="009237A5"/>
    <w:rsid w:val="00923B64"/>
    <w:rsid w:val="00923B7C"/>
    <w:rsid w:val="00925A08"/>
    <w:rsid w:val="00925A32"/>
    <w:rsid w:val="00925B73"/>
    <w:rsid w:val="00926E95"/>
    <w:rsid w:val="009271D9"/>
    <w:rsid w:val="00931063"/>
    <w:rsid w:val="00931222"/>
    <w:rsid w:val="009322FC"/>
    <w:rsid w:val="00932BE6"/>
    <w:rsid w:val="009339B5"/>
    <w:rsid w:val="00934065"/>
    <w:rsid w:val="00935CAC"/>
    <w:rsid w:val="0093627E"/>
    <w:rsid w:val="0093631A"/>
    <w:rsid w:val="00940ED3"/>
    <w:rsid w:val="00941289"/>
    <w:rsid w:val="009420EB"/>
    <w:rsid w:val="00942334"/>
    <w:rsid w:val="00942CAE"/>
    <w:rsid w:val="00943391"/>
    <w:rsid w:val="0094351A"/>
    <w:rsid w:val="00943741"/>
    <w:rsid w:val="00943CFC"/>
    <w:rsid w:val="0094509B"/>
    <w:rsid w:val="00945488"/>
    <w:rsid w:val="009459F4"/>
    <w:rsid w:val="009465F4"/>
    <w:rsid w:val="00952B2A"/>
    <w:rsid w:val="00952F6E"/>
    <w:rsid w:val="00955D38"/>
    <w:rsid w:val="00955F6C"/>
    <w:rsid w:val="00956D53"/>
    <w:rsid w:val="009574F1"/>
    <w:rsid w:val="00957DF9"/>
    <w:rsid w:val="0096195F"/>
    <w:rsid w:val="0096263D"/>
    <w:rsid w:val="00962E6B"/>
    <w:rsid w:val="00962E76"/>
    <w:rsid w:val="009632B8"/>
    <w:rsid w:val="009638E7"/>
    <w:rsid w:val="0096588E"/>
    <w:rsid w:val="00965D44"/>
    <w:rsid w:val="00965F96"/>
    <w:rsid w:val="00967864"/>
    <w:rsid w:val="00970782"/>
    <w:rsid w:val="00971C44"/>
    <w:rsid w:val="00972A5E"/>
    <w:rsid w:val="00972CBA"/>
    <w:rsid w:val="00973525"/>
    <w:rsid w:val="00973659"/>
    <w:rsid w:val="00974158"/>
    <w:rsid w:val="00974C81"/>
    <w:rsid w:val="009758B7"/>
    <w:rsid w:val="0097760E"/>
    <w:rsid w:val="00977C0C"/>
    <w:rsid w:val="0098088E"/>
    <w:rsid w:val="009846BA"/>
    <w:rsid w:val="00984F3F"/>
    <w:rsid w:val="00985D81"/>
    <w:rsid w:val="00985F44"/>
    <w:rsid w:val="0098732D"/>
    <w:rsid w:val="00991579"/>
    <w:rsid w:val="009935ED"/>
    <w:rsid w:val="00993D38"/>
    <w:rsid w:val="00994B23"/>
    <w:rsid w:val="00994D17"/>
    <w:rsid w:val="0099505D"/>
    <w:rsid w:val="00996550"/>
    <w:rsid w:val="0099664B"/>
    <w:rsid w:val="009A38B0"/>
    <w:rsid w:val="009A3922"/>
    <w:rsid w:val="009A47A4"/>
    <w:rsid w:val="009A607A"/>
    <w:rsid w:val="009A6E0D"/>
    <w:rsid w:val="009A7F71"/>
    <w:rsid w:val="009B2922"/>
    <w:rsid w:val="009B3041"/>
    <w:rsid w:val="009B3CC2"/>
    <w:rsid w:val="009B5380"/>
    <w:rsid w:val="009B584E"/>
    <w:rsid w:val="009B6EFB"/>
    <w:rsid w:val="009B761B"/>
    <w:rsid w:val="009B7A49"/>
    <w:rsid w:val="009B7E53"/>
    <w:rsid w:val="009C0508"/>
    <w:rsid w:val="009C19E8"/>
    <w:rsid w:val="009C480E"/>
    <w:rsid w:val="009C4C0E"/>
    <w:rsid w:val="009C5F74"/>
    <w:rsid w:val="009C6A25"/>
    <w:rsid w:val="009C79BE"/>
    <w:rsid w:val="009D08F5"/>
    <w:rsid w:val="009D1198"/>
    <w:rsid w:val="009D1B28"/>
    <w:rsid w:val="009D1D7D"/>
    <w:rsid w:val="009D1E19"/>
    <w:rsid w:val="009D2793"/>
    <w:rsid w:val="009D47C0"/>
    <w:rsid w:val="009D5681"/>
    <w:rsid w:val="009D5C14"/>
    <w:rsid w:val="009D67F8"/>
    <w:rsid w:val="009D686F"/>
    <w:rsid w:val="009D7F1A"/>
    <w:rsid w:val="009D7F24"/>
    <w:rsid w:val="009E134D"/>
    <w:rsid w:val="009E13D7"/>
    <w:rsid w:val="009E1462"/>
    <w:rsid w:val="009E1DC6"/>
    <w:rsid w:val="009E2610"/>
    <w:rsid w:val="009E309F"/>
    <w:rsid w:val="009E3B08"/>
    <w:rsid w:val="009E4A90"/>
    <w:rsid w:val="009E4FF1"/>
    <w:rsid w:val="009E502B"/>
    <w:rsid w:val="009E5B38"/>
    <w:rsid w:val="009E5F6D"/>
    <w:rsid w:val="009E63D3"/>
    <w:rsid w:val="009E7730"/>
    <w:rsid w:val="009F068F"/>
    <w:rsid w:val="009F0F4A"/>
    <w:rsid w:val="009F2E38"/>
    <w:rsid w:val="009F38B2"/>
    <w:rsid w:val="009F476C"/>
    <w:rsid w:val="009F754C"/>
    <w:rsid w:val="00A007F4"/>
    <w:rsid w:val="00A0179A"/>
    <w:rsid w:val="00A0198A"/>
    <w:rsid w:val="00A0213D"/>
    <w:rsid w:val="00A02AD1"/>
    <w:rsid w:val="00A02E5F"/>
    <w:rsid w:val="00A04100"/>
    <w:rsid w:val="00A04223"/>
    <w:rsid w:val="00A0428D"/>
    <w:rsid w:val="00A048E7"/>
    <w:rsid w:val="00A04BAE"/>
    <w:rsid w:val="00A054B9"/>
    <w:rsid w:val="00A071D0"/>
    <w:rsid w:val="00A07386"/>
    <w:rsid w:val="00A077C8"/>
    <w:rsid w:val="00A07CEF"/>
    <w:rsid w:val="00A07E5D"/>
    <w:rsid w:val="00A10D6C"/>
    <w:rsid w:val="00A11946"/>
    <w:rsid w:val="00A12AA8"/>
    <w:rsid w:val="00A13024"/>
    <w:rsid w:val="00A14086"/>
    <w:rsid w:val="00A15456"/>
    <w:rsid w:val="00A15A46"/>
    <w:rsid w:val="00A15CDC"/>
    <w:rsid w:val="00A17427"/>
    <w:rsid w:val="00A174A4"/>
    <w:rsid w:val="00A21B45"/>
    <w:rsid w:val="00A21FA5"/>
    <w:rsid w:val="00A232F3"/>
    <w:rsid w:val="00A2352D"/>
    <w:rsid w:val="00A24341"/>
    <w:rsid w:val="00A249F5"/>
    <w:rsid w:val="00A25E66"/>
    <w:rsid w:val="00A27EE7"/>
    <w:rsid w:val="00A30127"/>
    <w:rsid w:val="00A31F2D"/>
    <w:rsid w:val="00A322DC"/>
    <w:rsid w:val="00A32843"/>
    <w:rsid w:val="00A3298E"/>
    <w:rsid w:val="00A33514"/>
    <w:rsid w:val="00A346FD"/>
    <w:rsid w:val="00A34F6A"/>
    <w:rsid w:val="00A350AC"/>
    <w:rsid w:val="00A35E05"/>
    <w:rsid w:val="00A36645"/>
    <w:rsid w:val="00A36E44"/>
    <w:rsid w:val="00A37040"/>
    <w:rsid w:val="00A377FF"/>
    <w:rsid w:val="00A3792A"/>
    <w:rsid w:val="00A379FC"/>
    <w:rsid w:val="00A402FE"/>
    <w:rsid w:val="00A4077F"/>
    <w:rsid w:val="00A41D39"/>
    <w:rsid w:val="00A425CA"/>
    <w:rsid w:val="00A42AA5"/>
    <w:rsid w:val="00A45903"/>
    <w:rsid w:val="00A467F0"/>
    <w:rsid w:val="00A51BC6"/>
    <w:rsid w:val="00A522F4"/>
    <w:rsid w:val="00A5433A"/>
    <w:rsid w:val="00A5514F"/>
    <w:rsid w:val="00A567DB"/>
    <w:rsid w:val="00A568DB"/>
    <w:rsid w:val="00A60A20"/>
    <w:rsid w:val="00A6106E"/>
    <w:rsid w:val="00A63F76"/>
    <w:rsid w:val="00A65AB4"/>
    <w:rsid w:val="00A6661D"/>
    <w:rsid w:val="00A679FD"/>
    <w:rsid w:val="00A70B32"/>
    <w:rsid w:val="00A71ACB"/>
    <w:rsid w:val="00A7211B"/>
    <w:rsid w:val="00A734A2"/>
    <w:rsid w:val="00A741FD"/>
    <w:rsid w:val="00A75073"/>
    <w:rsid w:val="00A751E4"/>
    <w:rsid w:val="00A75637"/>
    <w:rsid w:val="00A764A8"/>
    <w:rsid w:val="00A766CC"/>
    <w:rsid w:val="00A767E8"/>
    <w:rsid w:val="00A7749F"/>
    <w:rsid w:val="00A77590"/>
    <w:rsid w:val="00A80B08"/>
    <w:rsid w:val="00A81693"/>
    <w:rsid w:val="00A819FC"/>
    <w:rsid w:val="00A81BBB"/>
    <w:rsid w:val="00A830C8"/>
    <w:rsid w:val="00A83DC6"/>
    <w:rsid w:val="00A841C3"/>
    <w:rsid w:val="00A84AAE"/>
    <w:rsid w:val="00A85066"/>
    <w:rsid w:val="00A85EE6"/>
    <w:rsid w:val="00A85F25"/>
    <w:rsid w:val="00A8630B"/>
    <w:rsid w:val="00A865BB"/>
    <w:rsid w:val="00A8793C"/>
    <w:rsid w:val="00A87A6D"/>
    <w:rsid w:val="00A903C1"/>
    <w:rsid w:val="00A90564"/>
    <w:rsid w:val="00A90DC8"/>
    <w:rsid w:val="00A90E8C"/>
    <w:rsid w:val="00A915DB"/>
    <w:rsid w:val="00A9185A"/>
    <w:rsid w:val="00A91D07"/>
    <w:rsid w:val="00A931F7"/>
    <w:rsid w:val="00A93C12"/>
    <w:rsid w:val="00A93D1D"/>
    <w:rsid w:val="00A94576"/>
    <w:rsid w:val="00A94F04"/>
    <w:rsid w:val="00A95AAA"/>
    <w:rsid w:val="00A97B85"/>
    <w:rsid w:val="00AA10C6"/>
    <w:rsid w:val="00AA2266"/>
    <w:rsid w:val="00AA26BD"/>
    <w:rsid w:val="00AA2BA6"/>
    <w:rsid w:val="00AA2DC7"/>
    <w:rsid w:val="00AA3633"/>
    <w:rsid w:val="00AA398F"/>
    <w:rsid w:val="00AA5A8F"/>
    <w:rsid w:val="00AA6491"/>
    <w:rsid w:val="00AA6830"/>
    <w:rsid w:val="00AA68F0"/>
    <w:rsid w:val="00AB0176"/>
    <w:rsid w:val="00AB024E"/>
    <w:rsid w:val="00AB0484"/>
    <w:rsid w:val="00AB1028"/>
    <w:rsid w:val="00AB1314"/>
    <w:rsid w:val="00AB15A2"/>
    <w:rsid w:val="00AB2521"/>
    <w:rsid w:val="00AB310B"/>
    <w:rsid w:val="00AB3EED"/>
    <w:rsid w:val="00AB4B3F"/>
    <w:rsid w:val="00AB5870"/>
    <w:rsid w:val="00AC0752"/>
    <w:rsid w:val="00AC0CF0"/>
    <w:rsid w:val="00AC192D"/>
    <w:rsid w:val="00AC22F0"/>
    <w:rsid w:val="00AC2D59"/>
    <w:rsid w:val="00AC3658"/>
    <w:rsid w:val="00AC39EE"/>
    <w:rsid w:val="00AC3CEA"/>
    <w:rsid w:val="00AC3DEB"/>
    <w:rsid w:val="00AC4799"/>
    <w:rsid w:val="00AC479B"/>
    <w:rsid w:val="00AC4B6C"/>
    <w:rsid w:val="00AC4D9C"/>
    <w:rsid w:val="00AC6569"/>
    <w:rsid w:val="00AC7C28"/>
    <w:rsid w:val="00AD0BBE"/>
    <w:rsid w:val="00AD1308"/>
    <w:rsid w:val="00AD26F5"/>
    <w:rsid w:val="00AD2A08"/>
    <w:rsid w:val="00AD42DD"/>
    <w:rsid w:val="00AD5CD7"/>
    <w:rsid w:val="00AD621F"/>
    <w:rsid w:val="00AD6A2C"/>
    <w:rsid w:val="00AD6A63"/>
    <w:rsid w:val="00AE0413"/>
    <w:rsid w:val="00AE0BD3"/>
    <w:rsid w:val="00AE17B7"/>
    <w:rsid w:val="00AE2AC0"/>
    <w:rsid w:val="00AE43AF"/>
    <w:rsid w:val="00AE70A4"/>
    <w:rsid w:val="00AE7397"/>
    <w:rsid w:val="00AE7EFC"/>
    <w:rsid w:val="00AF2916"/>
    <w:rsid w:val="00AF2A6E"/>
    <w:rsid w:val="00AF5BB1"/>
    <w:rsid w:val="00AF614A"/>
    <w:rsid w:val="00AF7FCA"/>
    <w:rsid w:val="00B0023F"/>
    <w:rsid w:val="00B02223"/>
    <w:rsid w:val="00B02409"/>
    <w:rsid w:val="00B04363"/>
    <w:rsid w:val="00B05B08"/>
    <w:rsid w:val="00B0711E"/>
    <w:rsid w:val="00B0788E"/>
    <w:rsid w:val="00B079A3"/>
    <w:rsid w:val="00B07A8E"/>
    <w:rsid w:val="00B07A92"/>
    <w:rsid w:val="00B10BE0"/>
    <w:rsid w:val="00B115AE"/>
    <w:rsid w:val="00B11769"/>
    <w:rsid w:val="00B11A56"/>
    <w:rsid w:val="00B11AD7"/>
    <w:rsid w:val="00B11DB1"/>
    <w:rsid w:val="00B131FC"/>
    <w:rsid w:val="00B14451"/>
    <w:rsid w:val="00B1450C"/>
    <w:rsid w:val="00B1465D"/>
    <w:rsid w:val="00B1483A"/>
    <w:rsid w:val="00B14D2E"/>
    <w:rsid w:val="00B14F33"/>
    <w:rsid w:val="00B151F1"/>
    <w:rsid w:val="00B15DF3"/>
    <w:rsid w:val="00B20035"/>
    <w:rsid w:val="00B21819"/>
    <w:rsid w:val="00B21AD2"/>
    <w:rsid w:val="00B21CC6"/>
    <w:rsid w:val="00B228B9"/>
    <w:rsid w:val="00B22CDF"/>
    <w:rsid w:val="00B246C0"/>
    <w:rsid w:val="00B25F75"/>
    <w:rsid w:val="00B27C52"/>
    <w:rsid w:val="00B30A59"/>
    <w:rsid w:val="00B32746"/>
    <w:rsid w:val="00B33E00"/>
    <w:rsid w:val="00B34759"/>
    <w:rsid w:val="00B3556C"/>
    <w:rsid w:val="00B37FB9"/>
    <w:rsid w:val="00B40454"/>
    <w:rsid w:val="00B40B12"/>
    <w:rsid w:val="00B426E3"/>
    <w:rsid w:val="00B4339D"/>
    <w:rsid w:val="00B4341B"/>
    <w:rsid w:val="00B43974"/>
    <w:rsid w:val="00B449E7"/>
    <w:rsid w:val="00B44F4D"/>
    <w:rsid w:val="00B45FC0"/>
    <w:rsid w:val="00B47913"/>
    <w:rsid w:val="00B47FDE"/>
    <w:rsid w:val="00B50C51"/>
    <w:rsid w:val="00B511F5"/>
    <w:rsid w:val="00B533C8"/>
    <w:rsid w:val="00B53B72"/>
    <w:rsid w:val="00B53C2A"/>
    <w:rsid w:val="00B53CC7"/>
    <w:rsid w:val="00B53E74"/>
    <w:rsid w:val="00B5422A"/>
    <w:rsid w:val="00B5594C"/>
    <w:rsid w:val="00B569AD"/>
    <w:rsid w:val="00B5711B"/>
    <w:rsid w:val="00B602A3"/>
    <w:rsid w:val="00B60394"/>
    <w:rsid w:val="00B60BD3"/>
    <w:rsid w:val="00B61155"/>
    <w:rsid w:val="00B62102"/>
    <w:rsid w:val="00B633AA"/>
    <w:rsid w:val="00B63C69"/>
    <w:rsid w:val="00B65674"/>
    <w:rsid w:val="00B65893"/>
    <w:rsid w:val="00B65EC2"/>
    <w:rsid w:val="00B67244"/>
    <w:rsid w:val="00B673B5"/>
    <w:rsid w:val="00B70B49"/>
    <w:rsid w:val="00B71BA9"/>
    <w:rsid w:val="00B71BD5"/>
    <w:rsid w:val="00B72E36"/>
    <w:rsid w:val="00B733AF"/>
    <w:rsid w:val="00B7396D"/>
    <w:rsid w:val="00B73E2C"/>
    <w:rsid w:val="00B74044"/>
    <w:rsid w:val="00B746BD"/>
    <w:rsid w:val="00B74CEA"/>
    <w:rsid w:val="00B74E9C"/>
    <w:rsid w:val="00B756A9"/>
    <w:rsid w:val="00B77788"/>
    <w:rsid w:val="00B80D29"/>
    <w:rsid w:val="00B80EEA"/>
    <w:rsid w:val="00B81125"/>
    <w:rsid w:val="00B81E29"/>
    <w:rsid w:val="00B8264D"/>
    <w:rsid w:val="00B83921"/>
    <w:rsid w:val="00B84468"/>
    <w:rsid w:val="00B85AC8"/>
    <w:rsid w:val="00B85B3D"/>
    <w:rsid w:val="00B85B89"/>
    <w:rsid w:val="00B86BD5"/>
    <w:rsid w:val="00B87A83"/>
    <w:rsid w:val="00B87B99"/>
    <w:rsid w:val="00B90201"/>
    <w:rsid w:val="00B90500"/>
    <w:rsid w:val="00B90904"/>
    <w:rsid w:val="00B92965"/>
    <w:rsid w:val="00B943AF"/>
    <w:rsid w:val="00B94642"/>
    <w:rsid w:val="00B95C89"/>
    <w:rsid w:val="00B95CC0"/>
    <w:rsid w:val="00B9636D"/>
    <w:rsid w:val="00B96A75"/>
    <w:rsid w:val="00B97286"/>
    <w:rsid w:val="00B9787F"/>
    <w:rsid w:val="00B97901"/>
    <w:rsid w:val="00BA0D6D"/>
    <w:rsid w:val="00BA1200"/>
    <w:rsid w:val="00BA1886"/>
    <w:rsid w:val="00BA23E9"/>
    <w:rsid w:val="00BA3DDA"/>
    <w:rsid w:val="00BA46A1"/>
    <w:rsid w:val="00BA56F8"/>
    <w:rsid w:val="00BA5AB8"/>
    <w:rsid w:val="00BA630E"/>
    <w:rsid w:val="00BA6918"/>
    <w:rsid w:val="00BB1DA1"/>
    <w:rsid w:val="00BB4031"/>
    <w:rsid w:val="00BB46AF"/>
    <w:rsid w:val="00BB54A2"/>
    <w:rsid w:val="00BB5C89"/>
    <w:rsid w:val="00BB5E0A"/>
    <w:rsid w:val="00BB6438"/>
    <w:rsid w:val="00BC1000"/>
    <w:rsid w:val="00BC2231"/>
    <w:rsid w:val="00BC3395"/>
    <w:rsid w:val="00BC415D"/>
    <w:rsid w:val="00BC4BD8"/>
    <w:rsid w:val="00BC5C01"/>
    <w:rsid w:val="00BC5E45"/>
    <w:rsid w:val="00BC74C8"/>
    <w:rsid w:val="00BD0045"/>
    <w:rsid w:val="00BD10DB"/>
    <w:rsid w:val="00BD20D7"/>
    <w:rsid w:val="00BD26C1"/>
    <w:rsid w:val="00BD2C1D"/>
    <w:rsid w:val="00BD3EBC"/>
    <w:rsid w:val="00BD4A2F"/>
    <w:rsid w:val="00BD4CE0"/>
    <w:rsid w:val="00BD518E"/>
    <w:rsid w:val="00BD547A"/>
    <w:rsid w:val="00BD5EC5"/>
    <w:rsid w:val="00BD69B2"/>
    <w:rsid w:val="00BD7C7D"/>
    <w:rsid w:val="00BE191E"/>
    <w:rsid w:val="00BE1CCB"/>
    <w:rsid w:val="00BE381E"/>
    <w:rsid w:val="00BE45B1"/>
    <w:rsid w:val="00BE4A71"/>
    <w:rsid w:val="00BE538C"/>
    <w:rsid w:val="00BE5BF4"/>
    <w:rsid w:val="00BE626E"/>
    <w:rsid w:val="00BE6A25"/>
    <w:rsid w:val="00BE74C6"/>
    <w:rsid w:val="00BF088A"/>
    <w:rsid w:val="00BF1D83"/>
    <w:rsid w:val="00BF6DF8"/>
    <w:rsid w:val="00BF78C5"/>
    <w:rsid w:val="00C007A3"/>
    <w:rsid w:val="00C00A66"/>
    <w:rsid w:val="00C0246F"/>
    <w:rsid w:val="00C02835"/>
    <w:rsid w:val="00C03247"/>
    <w:rsid w:val="00C03FBF"/>
    <w:rsid w:val="00C04EA9"/>
    <w:rsid w:val="00C0550E"/>
    <w:rsid w:val="00C05F6D"/>
    <w:rsid w:val="00C062C8"/>
    <w:rsid w:val="00C06FEE"/>
    <w:rsid w:val="00C07013"/>
    <w:rsid w:val="00C07631"/>
    <w:rsid w:val="00C076A4"/>
    <w:rsid w:val="00C07C14"/>
    <w:rsid w:val="00C10551"/>
    <w:rsid w:val="00C1169C"/>
    <w:rsid w:val="00C1487F"/>
    <w:rsid w:val="00C153C5"/>
    <w:rsid w:val="00C15478"/>
    <w:rsid w:val="00C159E3"/>
    <w:rsid w:val="00C15E8B"/>
    <w:rsid w:val="00C15FFB"/>
    <w:rsid w:val="00C16111"/>
    <w:rsid w:val="00C165C3"/>
    <w:rsid w:val="00C16D2C"/>
    <w:rsid w:val="00C17777"/>
    <w:rsid w:val="00C17FD2"/>
    <w:rsid w:val="00C201C7"/>
    <w:rsid w:val="00C2060E"/>
    <w:rsid w:val="00C20C3D"/>
    <w:rsid w:val="00C2278B"/>
    <w:rsid w:val="00C2364E"/>
    <w:rsid w:val="00C242FE"/>
    <w:rsid w:val="00C2597E"/>
    <w:rsid w:val="00C2615D"/>
    <w:rsid w:val="00C265C7"/>
    <w:rsid w:val="00C27111"/>
    <w:rsid w:val="00C27866"/>
    <w:rsid w:val="00C30EAB"/>
    <w:rsid w:val="00C315F1"/>
    <w:rsid w:val="00C31F3A"/>
    <w:rsid w:val="00C32FC9"/>
    <w:rsid w:val="00C34A85"/>
    <w:rsid w:val="00C34B68"/>
    <w:rsid w:val="00C34FEB"/>
    <w:rsid w:val="00C352FA"/>
    <w:rsid w:val="00C358C4"/>
    <w:rsid w:val="00C359DF"/>
    <w:rsid w:val="00C35E8D"/>
    <w:rsid w:val="00C36470"/>
    <w:rsid w:val="00C36E32"/>
    <w:rsid w:val="00C37B88"/>
    <w:rsid w:val="00C404B8"/>
    <w:rsid w:val="00C40BA8"/>
    <w:rsid w:val="00C40EF1"/>
    <w:rsid w:val="00C411D4"/>
    <w:rsid w:val="00C42327"/>
    <w:rsid w:val="00C4254C"/>
    <w:rsid w:val="00C43DBB"/>
    <w:rsid w:val="00C44158"/>
    <w:rsid w:val="00C44F34"/>
    <w:rsid w:val="00C45734"/>
    <w:rsid w:val="00C45E59"/>
    <w:rsid w:val="00C468A9"/>
    <w:rsid w:val="00C47203"/>
    <w:rsid w:val="00C50378"/>
    <w:rsid w:val="00C50688"/>
    <w:rsid w:val="00C50D02"/>
    <w:rsid w:val="00C51275"/>
    <w:rsid w:val="00C534E4"/>
    <w:rsid w:val="00C53BAB"/>
    <w:rsid w:val="00C53EF2"/>
    <w:rsid w:val="00C540C6"/>
    <w:rsid w:val="00C540E1"/>
    <w:rsid w:val="00C54460"/>
    <w:rsid w:val="00C55486"/>
    <w:rsid w:val="00C56933"/>
    <w:rsid w:val="00C56947"/>
    <w:rsid w:val="00C56AA8"/>
    <w:rsid w:val="00C605C9"/>
    <w:rsid w:val="00C61166"/>
    <w:rsid w:val="00C6127C"/>
    <w:rsid w:val="00C61634"/>
    <w:rsid w:val="00C61B5F"/>
    <w:rsid w:val="00C61E2A"/>
    <w:rsid w:val="00C62D14"/>
    <w:rsid w:val="00C63E00"/>
    <w:rsid w:val="00C644DF"/>
    <w:rsid w:val="00C66753"/>
    <w:rsid w:val="00C66BE4"/>
    <w:rsid w:val="00C67074"/>
    <w:rsid w:val="00C67690"/>
    <w:rsid w:val="00C67FC7"/>
    <w:rsid w:val="00C70010"/>
    <w:rsid w:val="00C7059B"/>
    <w:rsid w:val="00C706AD"/>
    <w:rsid w:val="00C709D1"/>
    <w:rsid w:val="00C71083"/>
    <w:rsid w:val="00C7133F"/>
    <w:rsid w:val="00C71E9F"/>
    <w:rsid w:val="00C7401F"/>
    <w:rsid w:val="00C7468F"/>
    <w:rsid w:val="00C74880"/>
    <w:rsid w:val="00C74ABC"/>
    <w:rsid w:val="00C74CA8"/>
    <w:rsid w:val="00C74CD0"/>
    <w:rsid w:val="00C756E4"/>
    <w:rsid w:val="00C75860"/>
    <w:rsid w:val="00C76404"/>
    <w:rsid w:val="00C77FED"/>
    <w:rsid w:val="00C80275"/>
    <w:rsid w:val="00C8052D"/>
    <w:rsid w:val="00C80AC6"/>
    <w:rsid w:val="00C80EAC"/>
    <w:rsid w:val="00C821DF"/>
    <w:rsid w:val="00C823F5"/>
    <w:rsid w:val="00C82C4B"/>
    <w:rsid w:val="00C83896"/>
    <w:rsid w:val="00C85901"/>
    <w:rsid w:val="00C85B72"/>
    <w:rsid w:val="00C86736"/>
    <w:rsid w:val="00C9007A"/>
    <w:rsid w:val="00C90145"/>
    <w:rsid w:val="00C90405"/>
    <w:rsid w:val="00C90AAB"/>
    <w:rsid w:val="00C916F4"/>
    <w:rsid w:val="00C95160"/>
    <w:rsid w:val="00C952DC"/>
    <w:rsid w:val="00C96630"/>
    <w:rsid w:val="00C973D4"/>
    <w:rsid w:val="00C97EA4"/>
    <w:rsid w:val="00CA0BD3"/>
    <w:rsid w:val="00CA11EC"/>
    <w:rsid w:val="00CA1F00"/>
    <w:rsid w:val="00CA3172"/>
    <w:rsid w:val="00CA3ECB"/>
    <w:rsid w:val="00CA4CE1"/>
    <w:rsid w:val="00CA5192"/>
    <w:rsid w:val="00CA57D7"/>
    <w:rsid w:val="00CA5FC0"/>
    <w:rsid w:val="00CA757A"/>
    <w:rsid w:val="00CA77AC"/>
    <w:rsid w:val="00CA7B75"/>
    <w:rsid w:val="00CA7BD3"/>
    <w:rsid w:val="00CB0290"/>
    <w:rsid w:val="00CB0AE0"/>
    <w:rsid w:val="00CB17B3"/>
    <w:rsid w:val="00CB2240"/>
    <w:rsid w:val="00CB2241"/>
    <w:rsid w:val="00CB3B3D"/>
    <w:rsid w:val="00CB41DE"/>
    <w:rsid w:val="00CB437E"/>
    <w:rsid w:val="00CB4DC5"/>
    <w:rsid w:val="00CB537F"/>
    <w:rsid w:val="00CB5D53"/>
    <w:rsid w:val="00CB5E2B"/>
    <w:rsid w:val="00CB75B0"/>
    <w:rsid w:val="00CB7B96"/>
    <w:rsid w:val="00CB7F3F"/>
    <w:rsid w:val="00CC057C"/>
    <w:rsid w:val="00CC0DC3"/>
    <w:rsid w:val="00CC1383"/>
    <w:rsid w:val="00CC1FBD"/>
    <w:rsid w:val="00CC2028"/>
    <w:rsid w:val="00CC3364"/>
    <w:rsid w:val="00CC336F"/>
    <w:rsid w:val="00CC38AA"/>
    <w:rsid w:val="00CC4AFA"/>
    <w:rsid w:val="00CC4B9B"/>
    <w:rsid w:val="00CC4E32"/>
    <w:rsid w:val="00CC6820"/>
    <w:rsid w:val="00CC718E"/>
    <w:rsid w:val="00CC72C0"/>
    <w:rsid w:val="00CD097E"/>
    <w:rsid w:val="00CD18BC"/>
    <w:rsid w:val="00CD21E3"/>
    <w:rsid w:val="00CD2496"/>
    <w:rsid w:val="00CD265F"/>
    <w:rsid w:val="00CD2BF5"/>
    <w:rsid w:val="00CD3F05"/>
    <w:rsid w:val="00CD4C60"/>
    <w:rsid w:val="00CD4F5E"/>
    <w:rsid w:val="00CD58F3"/>
    <w:rsid w:val="00CD7275"/>
    <w:rsid w:val="00CD7A1A"/>
    <w:rsid w:val="00CE00E7"/>
    <w:rsid w:val="00CE146B"/>
    <w:rsid w:val="00CE1A35"/>
    <w:rsid w:val="00CE21E5"/>
    <w:rsid w:val="00CE5141"/>
    <w:rsid w:val="00CE5460"/>
    <w:rsid w:val="00CE6D44"/>
    <w:rsid w:val="00CE7363"/>
    <w:rsid w:val="00CF0830"/>
    <w:rsid w:val="00CF36B3"/>
    <w:rsid w:val="00CF56C0"/>
    <w:rsid w:val="00CF586E"/>
    <w:rsid w:val="00CF6D31"/>
    <w:rsid w:val="00CF6D5D"/>
    <w:rsid w:val="00CF6DF0"/>
    <w:rsid w:val="00CF7350"/>
    <w:rsid w:val="00D00871"/>
    <w:rsid w:val="00D014EE"/>
    <w:rsid w:val="00D0155C"/>
    <w:rsid w:val="00D0160D"/>
    <w:rsid w:val="00D01A83"/>
    <w:rsid w:val="00D02690"/>
    <w:rsid w:val="00D02EAF"/>
    <w:rsid w:val="00D03598"/>
    <w:rsid w:val="00D035A8"/>
    <w:rsid w:val="00D03845"/>
    <w:rsid w:val="00D038B6"/>
    <w:rsid w:val="00D03F3B"/>
    <w:rsid w:val="00D041D2"/>
    <w:rsid w:val="00D045EB"/>
    <w:rsid w:val="00D047AE"/>
    <w:rsid w:val="00D04E03"/>
    <w:rsid w:val="00D05482"/>
    <w:rsid w:val="00D05E6C"/>
    <w:rsid w:val="00D06492"/>
    <w:rsid w:val="00D068C2"/>
    <w:rsid w:val="00D07040"/>
    <w:rsid w:val="00D138ED"/>
    <w:rsid w:val="00D13FB6"/>
    <w:rsid w:val="00D14ABA"/>
    <w:rsid w:val="00D1552C"/>
    <w:rsid w:val="00D15F08"/>
    <w:rsid w:val="00D15FAB"/>
    <w:rsid w:val="00D16E27"/>
    <w:rsid w:val="00D1769D"/>
    <w:rsid w:val="00D20446"/>
    <w:rsid w:val="00D2194C"/>
    <w:rsid w:val="00D23D19"/>
    <w:rsid w:val="00D23E84"/>
    <w:rsid w:val="00D24B25"/>
    <w:rsid w:val="00D25369"/>
    <w:rsid w:val="00D26495"/>
    <w:rsid w:val="00D267EF"/>
    <w:rsid w:val="00D26D5F"/>
    <w:rsid w:val="00D27239"/>
    <w:rsid w:val="00D300E8"/>
    <w:rsid w:val="00D30ADC"/>
    <w:rsid w:val="00D30AFF"/>
    <w:rsid w:val="00D31313"/>
    <w:rsid w:val="00D32763"/>
    <w:rsid w:val="00D329A3"/>
    <w:rsid w:val="00D32D0B"/>
    <w:rsid w:val="00D3544C"/>
    <w:rsid w:val="00D369C5"/>
    <w:rsid w:val="00D36B7A"/>
    <w:rsid w:val="00D36BDD"/>
    <w:rsid w:val="00D36C48"/>
    <w:rsid w:val="00D36EDC"/>
    <w:rsid w:val="00D3719A"/>
    <w:rsid w:val="00D4070C"/>
    <w:rsid w:val="00D40EFD"/>
    <w:rsid w:val="00D42127"/>
    <w:rsid w:val="00D423DF"/>
    <w:rsid w:val="00D43433"/>
    <w:rsid w:val="00D43477"/>
    <w:rsid w:val="00D43DD7"/>
    <w:rsid w:val="00D444AC"/>
    <w:rsid w:val="00D4551C"/>
    <w:rsid w:val="00D45A6D"/>
    <w:rsid w:val="00D47E74"/>
    <w:rsid w:val="00D50D19"/>
    <w:rsid w:val="00D51406"/>
    <w:rsid w:val="00D5186D"/>
    <w:rsid w:val="00D52114"/>
    <w:rsid w:val="00D53920"/>
    <w:rsid w:val="00D53B9C"/>
    <w:rsid w:val="00D53BD8"/>
    <w:rsid w:val="00D571ED"/>
    <w:rsid w:val="00D573A2"/>
    <w:rsid w:val="00D60468"/>
    <w:rsid w:val="00D6087C"/>
    <w:rsid w:val="00D61821"/>
    <w:rsid w:val="00D6388A"/>
    <w:rsid w:val="00D63A8F"/>
    <w:rsid w:val="00D63BE5"/>
    <w:rsid w:val="00D63CD0"/>
    <w:rsid w:val="00D66EBD"/>
    <w:rsid w:val="00D705DA"/>
    <w:rsid w:val="00D70957"/>
    <w:rsid w:val="00D718BC"/>
    <w:rsid w:val="00D7251B"/>
    <w:rsid w:val="00D72BCD"/>
    <w:rsid w:val="00D7343F"/>
    <w:rsid w:val="00D74717"/>
    <w:rsid w:val="00D74D4F"/>
    <w:rsid w:val="00D7618D"/>
    <w:rsid w:val="00D76B66"/>
    <w:rsid w:val="00D76C0C"/>
    <w:rsid w:val="00D76F14"/>
    <w:rsid w:val="00D77D1E"/>
    <w:rsid w:val="00D8112A"/>
    <w:rsid w:val="00D81552"/>
    <w:rsid w:val="00D82B64"/>
    <w:rsid w:val="00D82BFC"/>
    <w:rsid w:val="00D8383E"/>
    <w:rsid w:val="00D83DAC"/>
    <w:rsid w:val="00D840E5"/>
    <w:rsid w:val="00D84ABE"/>
    <w:rsid w:val="00D854DA"/>
    <w:rsid w:val="00D86311"/>
    <w:rsid w:val="00D8670F"/>
    <w:rsid w:val="00D8755A"/>
    <w:rsid w:val="00D8784D"/>
    <w:rsid w:val="00D87FFC"/>
    <w:rsid w:val="00D90257"/>
    <w:rsid w:val="00D9215B"/>
    <w:rsid w:val="00D927CD"/>
    <w:rsid w:val="00D92B70"/>
    <w:rsid w:val="00D938E0"/>
    <w:rsid w:val="00D9695F"/>
    <w:rsid w:val="00D96F97"/>
    <w:rsid w:val="00D973E1"/>
    <w:rsid w:val="00DA0496"/>
    <w:rsid w:val="00DA25F7"/>
    <w:rsid w:val="00DA3BD2"/>
    <w:rsid w:val="00DA4E27"/>
    <w:rsid w:val="00DA5147"/>
    <w:rsid w:val="00DA7B8B"/>
    <w:rsid w:val="00DB00B3"/>
    <w:rsid w:val="00DB1666"/>
    <w:rsid w:val="00DB2AD0"/>
    <w:rsid w:val="00DB3C53"/>
    <w:rsid w:val="00DB5318"/>
    <w:rsid w:val="00DB6180"/>
    <w:rsid w:val="00DB7AA1"/>
    <w:rsid w:val="00DC1843"/>
    <w:rsid w:val="00DC1D58"/>
    <w:rsid w:val="00DC360E"/>
    <w:rsid w:val="00DC493C"/>
    <w:rsid w:val="00DC4B61"/>
    <w:rsid w:val="00DC58E9"/>
    <w:rsid w:val="00DC5C2B"/>
    <w:rsid w:val="00DC6D00"/>
    <w:rsid w:val="00DD022A"/>
    <w:rsid w:val="00DD27F0"/>
    <w:rsid w:val="00DD2FA4"/>
    <w:rsid w:val="00DD2FC9"/>
    <w:rsid w:val="00DD4156"/>
    <w:rsid w:val="00DD4EEB"/>
    <w:rsid w:val="00DD6421"/>
    <w:rsid w:val="00DD66A6"/>
    <w:rsid w:val="00DD7950"/>
    <w:rsid w:val="00DE02BD"/>
    <w:rsid w:val="00DE0793"/>
    <w:rsid w:val="00DE09B2"/>
    <w:rsid w:val="00DE2C27"/>
    <w:rsid w:val="00DE332E"/>
    <w:rsid w:val="00DE3463"/>
    <w:rsid w:val="00DE46C8"/>
    <w:rsid w:val="00DE492D"/>
    <w:rsid w:val="00DE4D22"/>
    <w:rsid w:val="00DF19D1"/>
    <w:rsid w:val="00DF2274"/>
    <w:rsid w:val="00DF25DC"/>
    <w:rsid w:val="00DF3759"/>
    <w:rsid w:val="00DF4157"/>
    <w:rsid w:val="00DF4E9E"/>
    <w:rsid w:val="00DF4EAB"/>
    <w:rsid w:val="00DF53C5"/>
    <w:rsid w:val="00DF5988"/>
    <w:rsid w:val="00DF5E66"/>
    <w:rsid w:val="00E0200C"/>
    <w:rsid w:val="00E02131"/>
    <w:rsid w:val="00E05513"/>
    <w:rsid w:val="00E05C11"/>
    <w:rsid w:val="00E06FBE"/>
    <w:rsid w:val="00E071DD"/>
    <w:rsid w:val="00E07E17"/>
    <w:rsid w:val="00E07E6F"/>
    <w:rsid w:val="00E10587"/>
    <w:rsid w:val="00E1071E"/>
    <w:rsid w:val="00E117BE"/>
    <w:rsid w:val="00E122C7"/>
    <w:rsid w:val="00E130A8"/>
    <w:rsid w:val="00E13CAE"/>
    <w:rsid w:val="00E14116"/>
    <w:rsid w:val="00E1414D"/>
    <w:rsid w:val="00E14527"/>
    <w:rsid w:val="00E15369"/>
    <w:rsid w:val="00E1643C"/>
    <w:rsid w:val="00E16620"/>
    <w:rsid w:val="00E1685F"/>
    <w:rsid w:val="00E20137"/>
    <w:rsid w:val="00E20FCB"/>
    <w:rsid w:val="00E216DE"/>
    <w:rsid w:val="00E21C64"/>
    <w:rsid w:val="00E222DD"/>
    <w:rsid w:val="00E2428C"/>
    <w:rsid w:val="00E25F12"/>
    <w:rsid w:val="00E301F6"/>
    <w:rsid w:val="00E31A23"/>
    <w:rsid w:val="00E31C8B"/>
    <w:rsid w:val="00E31F91"/>
    <w:rsid w:val="00E32880"/>
    <w:rsid w:val="00E32975"/>
    <w:rsid w:val="00E33860"/>
    <w:rsid w:val="00E33A4C"/>
    <w:rsid w:val="00E33B2C"/>
    <w:rsid w:val="00E342C3"/>
    <w:rsid w:val="00E34672"/>
    <w:rsid w:val="00E34EA5"/>
    <w:rsid w:val="00E350E5"/>
    <w:rsid w:val="00E35CCB"/>
    <w:rsid w:val="00E40939"/>
    <w:rsid w:val="00E41149"/>
    <w:rsid w:val="00E411CD"/>
    <w:rsid w:val="00E41DC6"/>
    <w:rsid w:val="00E4300E"/>
    <w:rsid w:val="00E4310F"/>
    <w:rsid w:val="00E45F5E"/>
    <w:rsid w:val="00E46185"/>
    <w:rsid w:val="00E50203"/>
    <w:rsid w:val="00E5035A"/>
    <w:rsid w:val="00E50380"/>
    <w:rsid w:val="00E505C1"/>
    <w:rsid w:val="00E506A2"/>
    <w:rsid w:val="00E53165"/>
    <w:rsid w:val="00E53502"/>
    <w:rsid w:val="00E536BE"/>
    <w:rsid w:val="00E544A6"/>
    <w:rsid w:val="00E55E3A"/>
    <w:rsid w:val="00E563D9"/>
    <w:rsid w:val="00E564B3"/>
    <w:rsid w:val="00E56C1B"/>
    <w:rsid w:val="00E57020"/>
    <w:rsid w:val="00E578C0"/>
    <w:rsid w:val="00E6015C"/>
    <w:rsid w:val="00E60747"/>
    <w:rsid w:val="00E60818"/>
    <w:rsid w:val="00E60845"/>
    <w:rsid w:val="00E6215B"/>
    <w:rsid w:val="00E62902"/>
    <w:rsid w:val="00E62FB3"/>
    <w:rsid w:val="00E638E9"/>
    <w:rsid w:val="00E63AC1"/>
    <w:rsid w:val="00E646B6"/>
    <w:rsid w:val="00E646C7"/>
    <w:rsid w:val="00E654F9"/>
    <w:rsid w:val="00E67244"/>
    <w:rsid w:val="00E67A67"/>
    <w:rsid w:val="00E67ABB"/>
    <w:rsid w:val="00E67B1D"/>
    <w:rsid w:val="00E67EC2"/>
    <w:rsid w:val="00E708F3"/>
    <w:rsid w:val="00E7263B"/>
    <w:rsid w:val="00E73AF9"/>
    <w:rsid w:val="00E73F68"/>
    <w:rsid w:val="00E750FB"/>
    <w:rsid w:val="00E75986"/>
    <w:rsid w:val="00E75EDA"/>
    <w:rsid w:val="00E76109"/>
    <w:rsid w:val="00E769F7"/>
    <w:rsid w:val="00E77489"/>
    <w:rsid w:val="00E777B4"/>
    <w:rsid w:val="00E8008C"/>
    <w:rsid w:val="00E8021A"/>
    <w:rsid w:val="00E8024D"/>
    <w:rsid w:val="00E81677"/>
    <w:rsid w:val="00E817F1"/>
    <w:rsid w:val="00E829B2"/>
    <w:rsid w:val="00E8310F"/>
    <w:rsid w:val="00E831B4"/>
    <w:rsid w:val="00E83FBA"/>
    <w:rsid w:val="00E84090"/>
    <w:rsid w:val="00E8444F"/>
    <w:rsid w:val="00E84862"/>
    <w:rsid w:val="00E85060"/>
    <w:rsid w:val="00E85D1E"/>
    <w:rsid w:val="00E85FAB"/>
    <w:rsid w:val="00E86EE3"/>
    <w:rsid w:val="00E87EBD"/>
    <w:rsid w:val="00E90149"/>
    <w:rsid w:val="00E90193"/>
    <w:rsid w:val="00E90A06"/>
    <w:rsid w:val="00E91B08"/>
    <w:rsid w:val="00E91ED4"/>
    <w:rsid w:val="00E92BB9"/>
    <w:rsid w:val="00E93E0B"/>
    <w:rsid w:val="00E95BF8"/>
    <w:rsid w:val="00E9704F"/>
    <w:rsid w:val="00E97C71"/>
    <w:rsid w:val="00EA0676"/>
    <w:rsid w:val="00EA0A0F"/>
    <w:rsid w:val="00EA26EC"/>
    <w:rsid w:val="00EA3073"/>
    <w:rsid w:val="00EA3115"/>
    <w:rsid w:val="00EA3DF4"/>
    <w:rsid w:val="00EA4830"/>
    <w:rsid w:val="00EA4A9E"/>
    <w:rsid w:val="00EA4CCD"/>
    <w:rsid w:val="00EA50A9"/>
    <w:rsid w:val="00EA563F"/>
    <w:rsid w:val="00EA6CFE"/>
    <w:rsid w:val="00EB30C7"/>
    <w:rsid w:val="00EB3269"/>
    <w:rsid w:val="00EB3357"/>
    <w:rsid w:val="00EB38B7"/>
    <w:rsid w:val="00EB479E"/>
    <w:rsid w:val="00EB4BA8"/>
    <w:rsid w:val="00EB4CF7"/>
    <w:rsid w:val="00EB598F"/>
    <w:rsid w:val="00EB5C99"/>
    <w:rsid w:val="00EB6648"/>
    <w:rsid w:val="00EB7B2F"/>
    <w:rsid w:val="00EC00D2"/>
    <w:rsid w:val="00EC0E87"/>
    <w:rsid w:val="00EC21D1"/>
    <w:rsid w:val="00EC2407"/>
    <w:rsid w:val="00EC29F2"/>
    <w:rsid w:val="00EC2D61"/>
    <w:rsid w:val="00EC34A4"/>
    <w:rsid w:val="00EC3E36"/>
    <w:rsid w:val="00EC4A67"/>
    <w:rsid w:val="00EC4AC5"/>
    <w:rsid w:val="00EC4BE9"/>
    <w:rsid w:val="00EC4C5E"/>
    <w:rsid w:val="00EC5F29"/>
    <w:rsid w:val="00EC6225"/>
    <w:rsid w:val="00EC66E3"/>
    <w:rsid w:val="00EC6D06"/>
    <w:rsid w:val="00EC6F94"/>
    <w:rsid w:val="00EC7330"/>
    <w:rsid w:val="00ED0F8D"/>
    <w:rsid w:val="00ED1002"/>
    <w:rsid w:val="00ED176D"/>
    <w:rsid w:val="00ED1A30"/>
    <w:rsid w:val="00ED1AFD"/>
    <w:rsid w:val="00ED1FC2"/>
    <w:rsid w:val="00ED24B8"/>
    <w:rsid w:val="00ED33B7"/>
    <w:rsid w:val="00ED35A4"/>
    <w:rsid w:val="00ED3729"/>
    <w:rsid w:val="00ED39CA"/>
    <w:rsid w:val="00ED569A"/>
    <w:rsid w:val="00ED602A"/>
    <w:rsid w:val="00ED6166"/>
    <w:rsid w:val="00EE0391"/>
    <w:rsid w:val="00EE0D62"/>
    <w:rsid w:val="00EE248F"/>
    <w:rsid w:val="00EE2811"/>
    <w:rsid w:val="00EE41AB"/>
    <w:rsid w:val="00EE4B56"/>
    <w:rsid w:val="00EE56A1"/>
    <w:rsid w:val="00EE5E62"/>
    <w:rsid w:val="00EE6753"/>
    <w:rsid w:val="00EE7D4E"/>
    <w:rsid w:val="00EF0143"/>
    <w:rsid w:val="00EF0F78"/>
    <w:rsid w:val="00EF1857"/>
    <w:rsid w:val="00EF349F"/>
    <w:rsid w:val="00EF42FA"/>
    <w:rsid w:val="00EF5C18"/>
    <w:rsid w:val="00EF6094"/>
    <w:rsid w:val="00EF67F0"/>
    <w:rsid w:val="00EF690D"/>
    <w:rsid w:val="00EF6986"/>
    <w:rsid w:val="00EF7704"/>
    <w:rsid w:val="00F016DF"/>
    <w:rsid w:val="00F0231B"/>
    <w:rsid w:val="00F026AB"/>
    <w:rsid w:val="00F026F5"/>
    <w:rsid w:val="00F03953"/>
    <w:rsid w:val="00F04656"/>
    <w:rsid w:val="00F058B5"/>
    <w:rsid w:val="00F05BB5"/>
    <w:rsid w:val="00F05CF5"/>
    <w:rsid w:val="00F075AE"/>
    <w:rsid w:val="00F07EF9"/>
    <w:rsid w:val="00F119A4"/>
    <w:rsid w:val="00F12F94"/>
    <w:rsid w:val="00F13042"/>
    <w:rsid w:val="00F14BC0"/>
    <w:rsid w:val="00F153FB"/>
    <w:rsid w:val="00F1547C"/>
    <w:rsid w:val="00F16199"/>
    <w:rsid w:val="00F171B5"/>
    <w:rsid w:val="00F17FB7"/>
    <w:rsid w:val="00F202C2"/>
    <w:rsid w:val="00F22739"/>
    <w:rsid w:val="00F235F6"/>
    <w:rsid w:val="00F24755"/>
    <w:rsid w:val="00F24CC3"/>
    <w:rsid w:val="00F2585C"/>
    <w:rsid w:val="00F258C5"/>
    <w:rsid w:val="00F2747F"/>
    <w:rsid w:val="00F274C1"/>
    <w:rsid w:val="00F27C35"/>
    <w:rsid w:val="00F314E4"/>
    <w:rsid w:val="00F319BA"/>
    <w:rsid w:val="00F33BB7"/>
    <w:rsid w:val="00F355BE"/>
    <w:rsid w:val="00F35A1C"/>
    <w:rsid w:val="00F35A56"/>
    <w:rsid w:val="00F37753"/>
    <w:rsid w:val="00F37AEC"/>
    <w:rsid w:val="00F4034B"/>
    <w:rsid w:val="00F412AD"/>
    <w:rsid w:val="00F414D1"/>
    <w:rsid w:val="00F4261D"/>
    <w:rsid w:val="00F43AA6"/>
    <w:rsid w:val="00F449F1"/>
    <w:rsid w:val="00F457D0"/>
    <w:rsid w:val="00F4687A"/>
    <w:rsid w:val="00F50900"/>
    <w:rsid w:val="00F51506"/>
    <w:rsid w:val="00F5188A"/>
    <w:rsid w:val="00F541C3"/>
    <w:rsid w:val="00F55224"/>
    <w:rsid w:val="00F556FF"/>
    <w:rsid w:val="00F566F4"/>
    <w:rsid w:val="00F56E59"/>
    <w:rsid w:val="00F60096"/>
    <w:rsid w:val="00F608AA"/>
    <w:rsid w:val="00F6252D"/>
    <w:rsid w:val="00F63A56"/>
    <w:rsid w:val="00F64043"/>
    <w:rsid w:val="00F6532C"/>
    <w:rsid w:val="00F658C3"/>
    <w:rsid w:val="00F65CD1"/>
    <w:rsid w:val="00F65E20"/>
    <w:rsid w:val="00F661E6"/>
    <w:rsid w:val="00F66401"/>
    <w:rsid w:val="00F70042"/>
    <w:rsid w:val="00F706E3"/>
    <w:rsid w:val="00F71E0B"/>
    <w:rsid w:val="00F72528"/>
    <w:rsid w:val="00F7256E"/>
    <w:rsid w:val="00F725E3"/>
    <w:rsid w:val="00F74E41"/>
    <w:rsid w:val="00F75FDC"/>
    <w:rsid w:val="00F775D9"/>
    <w:rsid w:val="00F77CFF"/>
    <w:rsid w:val="00F80101"/>
    <w:rsid w:val="00F81D51"/>
    <w:rsid w:val="00F82154"/>
    <w:rsid w:val="00F82388"/>
    <w:rsid w:val="00F832B2"/>
    <w:rsid w:val="00F8343F"/>
    <w:rsid w:val="00F83B47"/>
    <w:rsid w:val="00F85102"/>
    <w:rsid w:val="00F863DF"/>
    <w:rsid w:val="00F86FCD"/>
    <w:rsid w:val="00F871E3"/>
    <w:rsid w:val="00F909DB"/>
    <w:rsid w:val="00F914A7"/>
    <w:rsid w:val="00F91B6E"/>
    <w:rsid w:val="00F92403"/>
    <w:rsid w:val="00F92B5D"/>
    <w:rsid w:val="00F938BF"/>
    <w:rsid w:val="00F944A1"/>
    <w:rsid w:val="00F94D71"/>
    <w:rsid w:val="00F9626A"/>
    <w:rsid w:val="00F96DC8"/>
    <w:rsid w:val="00F96F3C"/>
    <w:rsid w:val="00F976CD"/>
    <w:rsid w:val="00F97704"/>
    <w:rsid w:val="00F97962"/>
    <w:rsid w:val="00FA065C"/>
    <w:rsid w:val="00FA0701"/>
    <w:rsid w:val="00FA0AA8"/>
    <w:rsid w:val="00FA14AE"/>
    <w:rsid w:val="00FA1A1C"/>
    <w:rsid w:val="00FA36E4"/>
    <w:rsid w:val="00FA39D1"/>
    <w:rsid w:val="00FA4092"/>
    <w:rsid w:val="00FA5131"/>
    <w:rsid w:val="00FA5F16"/>
    <w:rsid w:val="00FA6103"/>
    <w:rsid w:val="00FA6A4F"/>
    <w:rsid w:val="00FA6E65"/>
    <w:rsid w:val="00FA7023"/>
    <w:rsid w:val="00FA7161"/>
    <w:rsid w:val="00FB04CA"/>
    <w:rsid w:val="00FB10FC"/>
    <w:rsid w:val="00FB1181"/>
    <w:rsid w:val="00FB15D6"/>
    <w:rsid w:val="00FB229E"/>
    <w:rsid w:val="00FB231B"/>
    <w:rsid w:val="00FB295B"/>
    <w:rsid w:val="00FB2C40"/>
    <w:rsid w:val="00FB3040"/>
    <w:rsid w:val="00FB3E82"/>
    <w:rsid w:val="00FB4BFA"/>
    <w:rsid w:val="00FB4FC8"/>
    <w:rsid w:val="00FB5338"/>
    <w:rsid w:val="00FB5DB7"/>
    <w:rsid w:val="00FB66E6"/>
    <w:rsid w:val="00FB672C"/>
    <w:rsid w:val="00FB7A2D"/>
    <w:rsid w:val="00FC1B05"/>
    <w:rsid w:val="00FC37F9"/>
    <w:rsid w:val="00FC4934"/>
    <w:rsid w:val="00FC5333"/>
    <w:rsid w:val="00FC6AC1"/>
    <w:rsid w:val="00FC6C0D"/>
    <w:rsid w:val="00FC733D"/>
    <w:rsid w:val="00FC7D60"/>
    <w:rsid w:val="00FD06CE"/>
    <w:rsid w:val="00FD08E0"/>
    <w:rsid w:val="00FD09C9"/>
    <w:rsid w:val="00FD2442"/>
    <w:rsid w:val="00FD2975"/>
    <w:rsid w:val="00FD2A2F"/>
    <w:rsid w:val="00FD2A81"/>
    <w:rsid w:val="00FD3439"/>
    <w:rsid w:val="00FD349B"/>
    <w:rsid w:val="00FD3CE6"/>
    <w:rsid w:val="00FD466C"/>
    <w:rsid w:val="00FD4FA3"/>
    <w:rsid w:val="00FD50BB"/>
    <w:rsid w:val="00FD58E8"/>
    <w:rsid w:val="00FD5A70"/>
    <w:rsid w:val="00FD7361"/>
    <w:rsid w:val="00FE0CA4"/>
    <w:rsid w:val="00FE1702"/>
    <w:rsid w:val="00FE1725"/>
    <w:rsid w:val="00FE29F5"/>
    <w:rsid w:val="00FE2E55"/>
    <w:rsid w:val="00FE3334"/>
    <w:rsid w:val="00FE3914"/>
    <w:rsid w:val="00FE496A"/>
    <w:rsid w:val="00FE5D59"/>
    <w:rsid w:val="00FE620D"/>
    <w:rsid w:val="00FE6F3C"/>
    <w:rsid w:val="00FE761A"/>
    <w:rsid w:val="00FF1E4F"/>
    <w:rsid w:val="00FF2A33"/>
    <w:rsid w:val="00FF3C26"/>
    <w:rsid w:val="00FF3E74"/>
    <w:rsid w:val="00FF45A3"/>
    <w:rsid w:val="00FF58A8"/>
    <w:rsid w:val="00FF59CD"/>
    <w:rsid w:val="00FF5E8D"/>
    <w:rsid w:val="00FF6F0A"/>
    <w:rsid w:val="00FF70B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C514C"/>
  <w15:docId w15:val="{01C91F22-5BA0-0745-AA72-E8848361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Balk1">
    <w:name w:val="heading 1"/>
    <w:basedOn w:val="Normal"/>
    <w:uiPriority w:val="9"/>
    <w:qFormat/>
    <w:pPr>
      <w:ind w:left="1331" w:hanging="72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before="359"/>
      <w:ind w:left="765" w:right="45" w:hanging="766"/>
    </w:pPr>
    <w:rPr>
      <w:b/>
      <w:bCs/>
    </w:rPr>
  </w:style>
  <w:style w:type="paragraph" w:styleId="T2">
    <w:name w:val="toc 2"/>
    <w:basedOn w:val="Normal"/>
    <w:uiPriority w:val="1"/>
    <w:qFormat/>
    <w:pPr>
      <w:spacing w:before="138"/>
      <w:ind w:left="858" w:hanging="440"/>
    </w:pPr>
    <w:rPr>
      <w:b/>
      <w:bCs/>
    </w:rPr>
  </w:style>
  <w:style w:type="paragraph" w:styleId="T3">
    <w:name w:val="toc 3"/>
    <w:basedOn w:val="Normal"/>
    <w:uiPriority w:val="1"/>
    <w:qFormat/>
    <w:pPr>
      <w:spacing w:before="136"/>
      <w:ind w:left="1079" w:hanging="442"/>
    </w:pPr>
    <w:rPr>
      <w:b/>
      <w:bCs/>
    </w:rPr>
  </w:style>
  <w:style w:type="paragraph" w:styleId="GvdeMetni">
    <w:name w:val="Body Text"/>
    <w:basedOn w:val="Normal"/>
    <w:uiPriority w:val="1"/>
    <w:qFormat/>
  </w:style>
  <w:style w:type="paragraph" w:styleId="ListeParagraf">
    <w:name w:val="List Paragraph"/>
    <w:basedOn w:val="Normal"/>
    <w:uiPriority w:val="1"/>
    <w:qFormat/>
    <w:pPr>
      <w:ind w:left="198" w:right="213"/>
      <w:jc w:val="both"/>
    </w:pPr>
  </w:style>
  <w:style w:type="paragraph" w:customStyle="1" w:styleId="TableParagraph">
    <w:name w:val="Table Paragraph"/>
    <w:basedOn w:val="Normal"/>
    <w:uiPriority w:val="1"/>
    <w:qFormat/>
  </w:style>
  <w:style w:type="paragraph" w:styleId="DipnotMetni">
    <w:name w:val="footnote text"/>
    <w:basedOn w:val="Normal"/>
    <w:link w:val="DipnotMetniChar"/>
    <w:uiPriority w:val="99"/>
    <w:unhideWhenUsed/>
    <w:rsid w:val="00515BA6"/>
    <w:rPr>
      <w:sz w:val="20"/>
      <w:szCs w:val="20"/>
    </w:rPr>
  </w:style>
  <w:style w:type="character" w:customStyle="1" w:styleId="DipnotMetniChar">
    <w:name w:val="Dipnot Metni Char"/>
    <w:basedOn w:val="VarsaylanParagrafYazTipi"/>
    <w:link w:val="DipnotMetni"/>
    <w:uiPriority w:val="99"/>
    <w:rsid w:val="00515BA6"/>
    <w:rPr>
      <w:rFonts w:ascii="Arial" w:eastAsia="Arial" w:hAnsi="Arial" w:cs="Arial"/>
      <w:sz w:val="20"/>
      <w:szCs w:val="20"/>
    </w:rPr>
  </w:style>
  <w:style w:type="character" w:styleId="DipnotBavurusu">
    <w:name w:val="footnote reference"/>
    <w:basedOn w:val="VarsaylanParagrafYazTipi"/>
    <w:uiPriority w:val="99"/>
    <w:semiHidden/>
    <w:unhideWhenUsed/>
    <w:rsid w:val="00515BA6"/>
    <w:rPr>
      <w:vertAlign w:val="superscript"/>
    </w:rPr>
  </w:style>
  <w:style w:type="character" w:styleId="Kpr">
    <w:name w:val="Hyperlink"/>
    <w:basedOn w:val="VarsaylanParagrafYazTipi"/>
    <w:uiPriority w:val="99"/>
    <w:unhideWhenUsed/>
    <w:rsid w:val="00254446"/>
    <w:rPr>
      <w:color w:val="0000FF" w:themeColor="hyperlink"/>
      <w:u w:val="single"/>
    </w:rPr>
  </w:style>
  <w:style w:type="character" w:styleId="zmlenmeyenBahsetme">
    <w:name w:val="Unresolved Mention"/>
    <w:basedOn w:val="VarsaylanParagrafYazTipi"/>
    <w:uiPriority w:val="99"/>
    <w:semiHidden/>
    <w:unhideWhenUsed/>
    <w:rsid w:val="0025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70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nice.coe.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bbc.com/news/world-europe-30602250" TargetMode="External"/><Relationship Id="rId3" Type="http://schemas.openxmlformats.org/officeDocument/2006/relationships/hyperlink" Target="http://www.reuters.com/article/us-turkey-president-idUSKCN0UW1FR" TargetMode="External"/><Relationship Id="rId7" Type="http://schemas.openxmlformats.org/officeDocument/2006/relationships/hyperlink" Target="http://dcr.coe.int/Wires/WiresLectureF.asp?WiresID=277192" TargetMode="External"/><Relationship Id="rId2" Type="http://schemas.openxmlformats.org/officeDocument/2006/relationships/hyperlink" Target="http://www.cumhuriyet.com.tr/haber/turkiye/227225/Can_Dundar_in_yazi_dizisine_takipsizlik.html" TargetMode="External"/><Relationship Id="rId1" Type="http://schemas.openxmlformats.org/officeDocument/2006/relationships/hyperlink" Target="http://www.ibtimes.co.uk/turkish-dons-arrested-full-text-declaration-criticising-%20military-campaign-against-kurdish-1538161" TargetMode="External"/><Relationship Id="rId6" Type="http://schemas.openxmlformats.org/officeDocument/2006/relationships/hyperlink" Target="http://www.hurriyet.com.tr/2-karikaturiste-11-er-ay-hapis-28545792" TargetMode="External"/><Relationship Id="rId5" Type="http://schemas.openxmlformats.org/officeDocument/2006/relationships/hyperlink" Target="http://www.theguardian.com/world/2015/sep/15/turkish-magazine-nokta-raided-and-copies-seized-for-mock-erdogan-selfie" TargetMode="External"/><Relationship Id="rId4" Type="http://schemas.openxmlformats.org/officeDocument/2006/relationships/hyperlink" Target="http://www.cumhuriyet.com.tr/haber/turkiye/446146/BirGun_e_acilan%20Erdogan%20davasinda_hapis_cezasi.html" TargetMode="External"/><Relationship Id="rId9" Type="http://schemas.openxmlformats.org/officeDocument/2006/relationships/hyperlink" Target="http://www.internethaber.com/mahkemeden-erdogana-altin-klozet-reddi-1555538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4269</TotalTime>
  <Pages>28</Pages>
  <Words>14588</Words>
  <Characters>83158</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aubry_b</dc:creator>
  <cp:keywords/>
  <dc:description/>
  <cp:lastModifiedBy>Habibe Feray Salman</cp:lastModifiedBy>
  <cp:revision>2798</cp:revision>
  <dcterms:created xsi:type="dcterms:W3CDTF">2021-01-28T15:41:00Z</dcterms:created>
  <dcterms:modified xsi:type="dcterms:W3CDTF">2022-05-12T12:31:00Z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2016-03-15T10:00:00Z</vt:filetime>
  </property>
  <property fmtid="{D5CDD505-2E9C-101B-9397-08002B2CF9AE}" pid="3" name="Creator">
    <vt:lpwstr>Microsoft® Word 2010</vt:lpwstr>
  </property>
  <property fmtid="{D5CDD505-2E9C-101B-9397-08002B2CF9AE}" pid="4" name="LastSaved">
    <vt:filetime>2020-12-07T10:00:00Z</vt:filetime>
  </property>
</Properties>
</file>